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229D">
      <w:pPr>
        <w:adjustRightInd w:val="0"/>
        <w:snapToGrid w:val="0"/>
        <w:spacing w:after="0" w:line="640" w:lineRule="exact"/>
        <w:jc w:val="center"/>
        <w:rPr>
          <w:rFonts w:ascii="方正小标宋简体" w:eastAsia="方正小标宋简体"/>
          <w:b w:val="0"/>
          <w:bCs/>
          <w:snapToGrid w:val="0"/>
          <w:sz w:val="44"/>
          <w:lang w:eastAsia="zh-CN"/>
        </w:rPr>
      </w:pPr>
      <w:r>
        <w:rPr>
          <w:rFonts w:hint="eastAsia" w:ascii="方正小标宋简体" w:eastAsia="方正小标宋简体"/>
          <w:b w:val="0"/>
          <w:bCs/>
          <w:snapToGrid w:val="0"/>
          <w:sz w:val="44"/>
          <w:lang w:val="en-US" w:eastAsia="zh-CN"/>
        </w:rPr>
        <w:t>丰台</w:t>
      </w:r>
      <w:r>
        <w:rPr>
          <w:rFonts w:ascii="方正小标宋简体" w:eastAsia="方正小标宋简体"/>
          <w:b w:val="0"/>
          <w:bCs/>
          <w:snapToGrid w:val="0"/>
          <w:sz w:val="44"/>
          <w:lang w:eastAsia="zh-CN"/>
        </w:rPr>
        <w:t>区</w:t>
      </w:r>
      <w:r>
        <w:rPr>
          <w:rFonts w:hint="eastAsia" w:ascii="方正小标宋简体" w:eastAsia="方正小标宋简体"/>
          <w:b w:val="0"/>
          <w:bCs/>
          <w:snapToGrid w:val="0"/>
          <w:sz w:val="44"/>
          <w:lang w:val="en-US" w:eastAsia="zh-CN"/>
        </w:rPr>
        <w:t>体育局</w:t>
      </w:r>
      <w:r>
        <w:rPr>
          <w:rFonts w:ascii="方正小标宋简体" w:eastAsia="方正小标宋简体"/>
          <w:b w:val="0"/>
          <w:bCs/>
          <w:snapToGrid w:val="0"/>
          <w:sz w:val="44"/>
          <w:lang w:eastAsia="zh-CN"/>
        </w:rPr>
        <w:t>202</w:t>
      </w:r>
      <w:r>
        <w:rPr>
          <w:rFonts w:hint="eastAsia" w:ascii="方正小标宋简体" w:eastAsia="方正小标宋简体"/>
          <w:b w:val="0"/>
          <w:bCs/>
          <w:snapToGrid w:val="0"/>
          <w:sz w:val="44"/>
          <w:lang w:val="en-US" w:eastAsia="zh-CN"/>
        </w:rPr>
        <w:t>4</w:t>
      </w:r>
      <w:r>
        <w:rPr>
          <w:rFonts w:ascii="方正小标宋简体" w:eastAsia="方正小标宋简体"/>
          <w:b w:val="0"/>
          <w:bCs/>
          <w:snapToGrid w:val="0"/>
          <w:sz w:val="44"/>
          <w:lang w:eastAsia="zh-CN"/>
        </w:rPr>
        <w:t>年法治政府建设情况报告</w:t>
      </w:r>
    </w:p>
    <w:p w14:paraId="363FEFA6">
      <w:pPr>
        <w:adjustRightInd w:val="0"/>
        <w:snapToGrid w:val="0"/>
        <w:spacing w:after="0" w:line="560" w:lineRule="exact"/>
        <w:ind w:firstLine="632" w:firstLineChars="200"/>
        <w:jc w:val="both"/>
        <w:rPr>
          <w:rFonts w:ascii="仿宋_GB2312" w:eastAsia="仿宋_GB2312"/>
          <w:snapToGrid w:val="0"/>
          <w:sz w:val="32"/>
          <w:lang w:eastAsia="zh-CN"/>
        </w:rPr>
      </w:pPr>
    </w:p>
    <w:p w14:paraId="76D18439">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2024年，丰台区体育局在</w:t>
      </w:r>
      <w:r>
        <w:rPr>
          <w:rFonts w:hint="eastAsia" w:ascii="仿宋_GB2312" w:hAnsi="仿宋_GB2312" w:eastAsia="仿宋_GB2312" w:cs="仿宋_GB2312"/>
          <w:sz w:val="32"/>
          <w:szCs w:val="32"/>
        </w:rPr>
        <w:t>在区委区政府领导下</w:t>
      </w:r>
      <w:r>
        <w:rPr>
          <w:rFonts w:hint="eastAsia" w:ascii="仿宋_GB2312" w:hAnsi="仿宋_GB2312" w:eastAsia="仿宋_GB2312" w:cs="仿宋_GB2312"/>
          <w:sz w:val="32"/>
          <w:szCs w:val="32"/>
          <w:lang w:eastAsia="zh-CN"/>
        </w:rPr>
        <w:t>，把学习宣传贯彻党的二十大精神和习近平法治思想作为具体行动，</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紧紧围绕法治政府建设目标，积极推进体育领域法治建设，不断提高依法行政水平，为体育事业的持续健康发展提供了有力的法治保障。现将我局 2024 年法治政府建设情况报告如下：</w:t>
      </w:r>
    </w:p>
    <w:p w14:paraId="2423F625">
      <w:pPr>
        <w:keepNext w:val="0"/>
        <w:keepLines w:val="0"/>
        <w:widowControl/>
        <w:suppressLineNumbers w:val="0"/>
        <w:shd w:val="clear"/>
        <w:ind w:left="0" w:firstLine="632" w:firstLineChars="200"/>
        <w:jc w:val="left"/>
        <w:rPr>
          <w:rFonts w:hint="eastAsia" w:ascii="黑体" w:hAnsi="黑体" w:eastAsia="黑体" w:cs="黑体"/>
          <w:i w:val="0"/>
          <w:iCs w:val="0"/>
          <w:caps w:val="0"/>
          <w:color w:val="auto"/>
          <w:spacing w:val="0"/>
          <w:kern w:val="0"/>
          <w:sz w:val="32"/>
          <w:szCs w:val="32"/>
          <w:shd w:val="clear" w:color="auto" w:fill="auto"/>
          <w:lang w:val="en-US" w:eastAsia="zh-CN" w:bidi="ar"/>
        </w:rPr>
      </w:pPr>
      <w:r>
        <w:rPr>
          <w:rFonts w:hint="eastAsia" w:ascii="黑体" w:hAnsi="黑体" w:eastAsia="黑体" w:cs="黑体"/>
          <w:i w:val="0"/>
          <w:iCs w:val="0"/>
          <w:caps w:val="0"/>
          <w:color w:val="auto"/>
          <w:spacing w:val="0"/>
          <w:kern w:val="0"/>
          <w:sz w:val="32"/>
          <w:szCs w:val="32"/>
          <w:shd w:val="clear" w:color="auto" w:fill="auto"/>
          <w:lang w:val="en-US" w:eastAsia="zh-CN" w:bidi="ar"/>
        </w:rPr>
        <w:t>一、主要工作及成效</w:t>
      </w:r>
    </w:p>
    <w:p w14:paraId="08F46C00">
      <w:pPr>
        <w:keepNext w:val="0"/>
        <w:keepLines w:val="0"/>
        <w:widowControl/>
        <w:suppressLineNumbers w:val="0"/>
        <w:shd w:val="clear"/>
        <w:ind w:left="0" w:firstLine="632" w:firstLineChars="200"/>
        <w:jc w:val="left"/>
        <w:rPr>
          <w:rStyle w:val="10"/>
          <w:rFonts w:hint="eastAsia" w:ascii="楷体_GB2312" w:hAnsi="楷体_GB2312" w:eastAsia="楷体_GB2312" w:cs="楷体_GB2312"/>
          <w:b w:val="0"/>
          <w:bCs w:val="0"/>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一</w:t>
      </w:r>
      <w:r>
        <w:rPr>
          <w:rStyle w:val="10"/>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rPr>
        <w:t>加强组织领导，完善法治建设工作机制</w:t>
      </w:r>
    </w:p>
    <w:p w14:paraId="46B40C01">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成立以局主要领导为组长的法治政府建设工作领导小组，明确了各部门在法治建设中的职责分工，确保法治建设工作有人抓、有人管。</w:t>
      </w:r>
    </w:p>
    <w:p w14:paraId="1536E95F">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制定了年度法治建设工作计划，将法治建设工作纳入全局工作目标考核体系，定期对各部门法治建设工作进行督促检查，确保各项任务落到实处。</w:t>
      </w:r>
    </w:p>
    <w:p w14:paraId="26499C31">
      <w:pPr>
        <w:keepNext w:val="0"/>
        <w:keepLines w:val="0"/>
        <w:widowControl/>
        <w:suppressLineNumbers w:val="0"/>
        <w:shd w:val="clear"/>
        <w:ind w:left="0" w:firstLine="632" w:firstLineChars="200"/>
        <w:jc w:val="left"/>
        <w:rPr>
          <w:rStyle w:val="10"/>
          <w:rFonts w:hint="eastAsia" w:ascii="楷体_GB2312" w:hAnsi="楷体_GB2312" w:eastAsia="楷体_GB2312" w:cs="楷体_GB2312"/>
          <w:b w:val="0"/>
          <w:bCs w:val="0"/>
          <w:i w:val="0"/>
          <w:iCs w:val="0"/>
          <w:caps w:val="0"/>
          <w:color w:val="auto"/>
          <w:spacing w:val="0"/>
          <w:sz w:val="32"/>
          <w:szCs w:val="32"/>
          <w:shd w:val="clear" w:color="auto" w:fill="auto"/>
        </w:rPr>
      </w:pP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二</w:t>
      </w: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rPr>
        <w:t>强化法治宣传教育，提高干部职工法治意识</w:t>
      </w:r>
    </w:p>
    <w:p w14:paraId="5363CE73">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制定了年度学法计划，通过集中学习、专题讲座、在线学习等多种形式，组织干部职工深入学习宪法、体育法、行政处罚法等法律法规，不断提高干部职工的法律素养。</w:t>
      </w:r>
    </w:p>
    <w:p w14:paraId="673938F4">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结合“国家宪法日”“全民健身日”等重要时间节点，组织开展形式多样的法治宣传活动，向社会公众普及体育法律法规知识，提高社会公众的法治意识。</w:t>
      </w:r>
    </w:p>
    <w:p w14:paraId="07147F52">
      <w:pPr>
        <w:keepNext w:val="0"/>
        <w:keepLines w:val="0"/>
        <w:widowControl/>
        <w:suppressLineNumbers w:val="0"/>
        <w:shd w:val="clear"/>
        <w:ind w:left="0" w:firstLine="632" w:firstLineChars="200"/>
        <w:jc w:val="left"/>
        <w:rPr>
          <w:rStyle w:val="10"/>
          <w:rFonts w:hint="eastAsia" w:ascii="楷体_GB2312" w:hAnsi="楷体_GB2312" w:eastAsia="楷体_GB2312" w:cs="楷体_GB2312"/>
          <w:b w:val="0"/>
          <w:bCs w:val="0"/>
          <w:i w:val="0"/>
          <w:iCs w:val="0"/>
          <w:caps w:val="0"/>
          <w:color w:val="auto"/>
          <w:spacing w:val="0"/>
          <w:sz w:val="32"/>
          <w:szCs w:val="32"/>
          <w:shd w:val="clear" w:color="auto" w:fill="auto"/>
        </w:rPr>
      </w:pP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三</w:t>
      </w: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rPr>
        <w:t>严格规范行政执法，提升行政执法水平</w:t>
      </w:r>
    </w:p>
    <w:p w14:paraId="4CDED549">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加强行政执法人员培训，组织行政执法人员参加行政执法资格考试，确保行政执法人员持证上岗。</w:t>
      </w:r>
    </w:p>
    <w:p w14:paraId="1AB0C914">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严格按照法定程序开展行政执法工作，规范行政执法文书制作，建立健全行政执法案卷管理制度，不断提高行政执法规范化水平。截至目前，区体育局执法人员及专职安全员共计出动1670人次，检查体育运动项目经营单位 835家，查处安全隐患190处并填报企安安。截至目前，已整改186处隐</w:t>
      </w: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auto"/>
        </w:rPr>
        <w:t>患，正在整改4处隐患，区体育局也将持续督促企业直至整改合格。</w:t>
      </w:r>
    </w:p>
    <w:p w14:paraId="08DFABE1">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积极推进“双随机、一公开” 监管工作，制定随机抽查事项清单和工作计划，加强对体育市场的监管，维护体育市场秩序。2024年，区体育局产业发展科执法人员秉承“执法必严，违法必究”的原则，对辖区835家体育经营单位开展了认真细致的检查，共处罚辖区内1家高危险性体育经营单位，处罚金额共计5000元。</w:t>
      </w:r>
    </w:p>
    <w:p w14:paraId="52E2B74A">
      <w:pPr>
        <w:keepNext w:val="0"/>
        <w:keepLines w:val="0"/>
        <w:widowControl/>
        <w:suppressLineNumbers w:val="0"/>
        <w:shd w:val="clear"/>
        <w:ind w:left="0" w:firstLine="632" w:firstLineChars="200"/>
        <w:jc w:val="left"/>
        <w:rPr>
          <w:rStyle w:val="10"/>
          <w:rFonts w:hint="eastAsia" w:ascii="楷体_GB2312" w:hAnsi="楷体_GB2312" w:eastAsia="楷体_GB2312" w:cs="楷体_GB2312"/>
          <w:b w:val="0"/>
          <w:bCs w:val="0"/>
          <w:i w:val="0"/>
          <w:iCs w:val="0"/>
          <w:caps w:val="0"/>
          <w:color w:val="auto"/>
          <w:spacing w:val="0"/>
          <w:sz w:val="32"/>
          <w:szCs w:val="32"/>
          <w:shd w:val="clear" w:color="auto" w:fill="auto"/>
        </w:rPr>
      </w:pP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四</w:t>
      </w:r>
      <w:r>
        <w:rPr>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rPr>
        <w:t>推进政务公开，提高政府工作透明度</w:t>
      </w:r>
    </w:p>
    <w:p w14:paraId="4BD63D9F">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建立健全政务公开制度，明确政务公开的内容、形式和程序，确保政务公开工作规范有序进行。</w:t>
      </w:r>
    </w:p>
    <w:p w14:paraId="0CA58BF3">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通过政府网站、政务微博、微信公众号等多种渠道，及时公开体育工作动态、政策法规、办事指南等信息，方便社会公众了解和监督体育工作。</w:t>
      </w:r>
    </w:p>
    <w:p w14:paraId="4A4B338E">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认真办理政府信息公开申请，依法保障公民、法人和其他组织的知情权、参与权和监督权。</w:t>
      </w:r>
    </w:p>
    <w:p w14:paraId="387BF954">
      <w:pPr>
        <w:keepNext w:val="0"/>
        <w:keepLines w:val="0"/>
        <w:widowControl/>
        <w:suppressLineNumbers w:val="0"/>
        <w:shd w:val="clear"/>
        <w:ind w:left="0" w:firstLine="632" w:firstLineChars="200"/>
        <w:jc w:val="left"/>
        <w:rPr>
          <w:rStyle w:val="10"/>
          <w:rFonts w:hint="eastAsia" w:ascii="楷体_GB2312" w:hAnsi="楷体_GB2312" w:eastAsia="楷体_GB2312" w:cs="楷体_GB2312"/>
          <w:b w:val="0"/>
          <w:bCs w:val="0"/>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五</w:t>
      </w:r>
      <w:r>
        <w:rPr>
          <w:rStyle w:val="10"/>
          <w:rFonts w:hint="eastAsia" w:ascii="楷体_GB2312" w:hAnsi="楷体_GB2312" w:eastAsia="楷体_GB2312" w:cs="楷体_GB2312"/>
          <w:b w:val="0"/>
          <w:bCs w:val="0"/>
          <w:i w:val="0"/>
          <w:iCs w:val="0"/>
          <w:caps w:val="0"/>
          <w:color w:val="auto"/>
          <w:spacing w:val="0"/>
          <w:sz w:val="32"/>
          <w:szCs w:val="32"/>
          <w:shd w:val="clear" w:color="auto" w:fill="auto"/>
          <w:lang w:eastAsia="zh-CN"/>
        </w:rPr>
        <w:t>）</w:t>
      </w:r>
      <w:r>
        <w:rPr>
          <w:rStyle w:val="10"/>
          <w:rFonts w:hint="eastAsia" w:ascii="楷体_GB2312" w:hAnsi="楷体_GB2312" w:eastAsia="楷体_GB2312" w:cs="楷体_GB2312"/>
          <w:b w:val="0"/>
          <w:bCs w:val="0"/>
          <w:i w:val="0"/>
          <w:iCs w:val="0"/>
          <w:caps w:val="0"/>
          <w:color w:val="auto"/>
          <w:spacing w:val="0"/>
          <w:sz w:val="32"/>
          <w:szCs w:val="32"/>
          <w:shd w:val="clear" w:color="auto" w:fill="auto"/>
        </w:rPr>
        <w:t>依法化解矛盾纠纷，维护社会稳定</w:t>
      </w:r>
    </w:p>
    <w:p w14:paraId="28A69217">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Style w:val="10"/>
          <w:rFonts w:hint="eastAsia" w:ascii="楷体_GB2312" w:hAnsi="楷体_GB2312" w:eastAsia="楷体_GB2312" w:cs="楷体_GB2312"/>
          <w:b w:val="0"/>
          <w:bCs w:val="0"/>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建立健全矛盾纠纷排查化解机制，定期对体育领域的矛盾纠纷进行排查，及时发现和化解矛盾纠纷。</w:t>
      </w:r>
    </w:p>
    <w:p w14:paraId="67E01320">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认真做好信访工作，建立健全信访工作制度，规范信访工作流程，及时受理和处理群众来信来访，依法维护群众合法权益。</w:t>
      </w:r>
    </w:p>
    <w:p w14:paraId="777E1B6C">
      <w:pPr>
        <w:adjustRightInd w:val="0"/>
        <w:snapToGrid w:val="0"/>
        <w:spacing w:after="0" w:line="560" w:lineRule="exact"/>
        <w:ind w:firstLine="632" w:firstLineChars="200"/>
        <w:jc w:val="both"/>
        <w:rPr>
          <w:rFonts w:hint="eastAsia" w:ascii="黑体" w:hAnsi="黑体" w:eastAsia="黑体" w:cs="黑体"/>
          <w:sz w:val="32"/>
          <w:szCs w:val="36"/>
        </w:rPr>
      </w:pPr>
      <w:r>
        <w:rPr>
          <w:rFonts w:hint="eastAsia" w:ascii="黑体" w:hAnsi="黑体" w:eastAsia="黑体" w:cs="黑体"/>
          <w:i w:val="0"/>
          <w:iCs w:val="0"/>
          <w:caps w:val="0"/>
          <w:color w:val="auto"/>
          <w:spacing w:val="0"/>
          <w:kern w:val="0"/>
          <w:sz w:val="32"/>
          <w:szCs w:val="32"/>
          <w:shd w:val="clear" w:color="auto" w:fill="auto"/>
          <w:lang w:val="en-US" w:eastAsia="zh-CN" w:bidi="ar"/>
        </w:rPr>
        <w:t>二、</w:t>
      </w:r>
      <w:r>
        <w:rPr>
          <w:rFonts w:hint="eastAsia" w:ascii="黑体" w:hAnsi="黑体" w:eastAsia="黑体" w:cs="黑体"/>
          <w:sz w:val="32"/>
          <w:szCs w:val="36"/>
        </w:rPr>
        <w:t>202</w:t>
      </w:r>
      <w:r>
        <w:rPr>
          <w:rFonts w:hint="eastAsia" w:ascii="黑体" w:hAnsi="黑体" w:eastAsia="黑体" w:cs="黑体"/>
          <w:sz w:val="32"/>
          <w:szCs w:val="36"/>
          <w:lang w:val="en-US" w:eastAsia="zh-CN"/>
        </w:rPr>
        <w:t>4</w:t>
      </w:r>
      <w:r>
        <w:rPr>
          <w:rFonts w:hint="eastAsia" w:ascii="黑体" w:hAnsi="黑体" w:eastAsia="黑体" w:cs="黑体"/>
          <w:sz w:val="32"/>
          <w:szCs w:val="36"/>
        </w:rPr>
        <w:t>年党政主要负责人履行推进法治政府建设第一责任人职责情况</w:t>
      </w:r>
    </w:p>
    <w:p w14:paraId="4DB5599E">
      <w:pPr>
        <w:adjustRightInd w:val="0"/>
        <w:snapToGrid w:val="0"/>
        <w:spacing w:after="0" w:line="560" w:lineRule="exact"/>
        <w:ind w:firstLine="632"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丰台区体育局严格落实党政主要负责人是履行法治政府建设的第一责任人，对法治政府建设重要工作亲自部署、重大问题亲自过问、重点环节亲自协调、重要任务亲自督办，将法治建设与业务工作同部署、同推进、同督促、同考核、同奖惩，及时解决工作中存在的突出问题。</w:t>
      </w:r>
    </w:p>
    <w:p w14:paraId="28F961FD">
      <w:pPr>
        <w:adjustRightInd w:val="0"/>
        <w:snapToGrid w:val="0"/>
        <w:spacing w:after="0" w:line="560" w:lineRule="exact"/>
        <w:ind w:firstLine="632"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体育局党政主要负责人始终坚持正确政治方向，切实增强政治意识、大局意识、核心意识、看齐意识。在推动依法解决行业突出问题、建立长效体制机制、树牢法治观念意识上下功夫。自觉运用法治思维和法治方式推进工作。党政主要负责人率先垂范，善于用法治视角审视问题、用法治逻辑分析问题、用法治方式处理问题、用法治手段解决问题。带领机关党员干部遵法、学法、守法、用法，着力打造一支素质高、业务精、作风优、法治意识强的机关干部队伍。积极引导干部严守党的政治纪律和政治规矩，在依法履职等方面发挥先锋模范作用，在担当使命任务中走在前、干在先。</w:t>
      </w:r>
    </w:p>
    <w:p w14:paraId="0BC6A03F">
      <w:pPr>
        <w:adjustRightInd w:val="0"/>
        <w:snapToGrid w:val="0"/>
        <w:spacing w:after="0" w:line="560" w:lineRule="exact"/>
        <w:ind w:firstLine="632"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体育局党政主要负责人始终把加强执法队伍建设作为重要工作来抓。以机关效能建设为目标，在着力提高机关干部和执法人员综合素质上下功夫，做到求真、务实、廉洁、高效，树立良好的体育行政执法形象。体育局行政执法人员均持有区法制办统一发放的“执法证”，在行政执法过程中执法人员严格做到规范执法、文明执法、严格执法，无一例违法违纪情况发生。</w:t>
      </w:r>
    </w:p>
    <w:p w14:paraId="0B0E9437">
      <w:pPr>
        <w:keepNext w:val="0"/>
        <w:keepLines w:val="0"/>
        <w:widowControl/>
        <w:suppressLineNumbers w:val="0"/>
        <w:shd w:val="clear"/>
        <w:ind w:left="0" w:firstLine="632" w:firstLineChars="200"/>
        <w:jc w:val="left"/>
        <w:rPr>
          <w:rFonts w:hint="eastAsia" w:ascii="黑体" w:hAnsi="黑体" w:eastAsia="黑体" w:cs="黑体"/>
          <w:i w:val="0"/>
          <w:iCs w:val="0"/>
          <w:caps w:val="0"/>
          <w:color w:val="auto"/>
          <w:spacing w:val="0"/>
          <w:kern w:val="0"/>
          <w:sz w:val="32"/>
          <w:szCs w:val="32"/>
          <w:shd w:val="clear" w:color="auto" w:fill="auto"/>
          <w:lang w:val="en-US" w:eastAsia="zh-CN" w:bidi="ar"/>
        </w:rPr>
      </w:pPr>
      <w:r>
        <w:rPr>
          <w:rFonts w:hint="eastAsia" w:ascii="黑体" w:hAnsi="黑体" w:eastAsia="黑体" w:cs="黑体"/>
          <w:i w:val="0"/>
          <w:iCs w:val="0"/>
          <w:caps w:val="0"/>
          <w:color w:val="auto"/>
          <w:spacing w:val="0"/>
          <w:kern w:val="0"/>
          <w:sz w:val="32"/>
          <w:szCs w:val="32"/>
          <w:shd w:val="clear" w:color="auto" w:fill="auto"/>
          <w:lang w:val="en-US" w:eastAsia="zh-CN" w:bidi="ar"/>
        </w:rPr>
        <w:t>三、存在的问题</w:t>
      </w:r>
    </w:p>
    <w:p w14:paraId="194FB6D8">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kern w:val="0"/>
          <w:sz w:val="32"/>
          <w:szCs w:val="32"/>
          <w:shd w:val="clear" w:color="auto" w:fill="auto"/>
          <w:lang w:val="en-US" w:eastAsia="zh-CN" w:bidi="ar"/>
        </w:rPr>
        <w:t>1.</w:t>
      </w:r>
      <w:r>
        <w:rPr>
          <w:rFonts w:hint="eastAsia" w:ascii="仿宋_GB2312" w:hAnsi="仿宋_GB2312" w:eastAsia="仿宋_GB2312" w:cs="仿宋_GB2312"/>
          <w:i w:val="0"/>
          <w:iCs w:val="0"/>
          <w:caps w:val="0"/>
          <w:color w:val="auto"/>
          <w:spacing w:val="0"/>
          <w:sz w:val="32"/>
          <w:szCs w:val="32"/>
          <w:shd w:val="clear" w:color="auto" w:fill="auto"/>
        </w:rPr>
        <w:t>法治宣传教育的形式和内容还不够丰富，针对性和实效性有待进一步提高。</w:t>
      </w:r>
    </w:p>
    <w:p w14:paraId="0973FA3A">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行政执法人员的业务能力和执法水平还需进一步提升，执法装备和信息化建设有待加强。</w:t>
      </w:r>
    </w:p>
    <w:p w14:paraId="66DC7E34">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政务公开的内容和形式还需进一步拓展，信息更新的及时性和准确性有待提高。</w:t>
      </w:r>
    </w:p>
    <w:p w14:paraId="4C724525">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rPr>
        <w:t>矛盾纠纷排查化解机制还需进一步完善，化解矛盾纠纷的能力和水平有待提升。</w:t>
      </w:r>
    </w:p>
    <w:p w14:paraId="559F9CD7">
      <w:pPr>
        <w:keepNext w:val="0"/>
        <w:keepLines w:val="0"/>
        <w:widowControl/>
        <w:suppressLineNumbers w:val="0"/>
        <w:shd w:val="clear"/>
        <w:ind w:left="0" w:firstLine="632" w:firstLineChars="200"/>
        <w:jc w:val="left"/>
        <w:rPr>
          <w:rFonts w:hint="eastAsia" w:ascii="黑体" w:hAnsi="黑体" w:eastAsia="黑体" w:cs="黑体"/>
          <w:i w:val="0"/>
          <w:iCs w:val="0"/>
          <w:caps w:val="0"/>
          <w:color w:val="auto"/>
          <w:spacing w:val="0"/>
          <w:kern w:val="0"/>
          <w:sz w:val="32"/>
          <w:szCs w:val="32"/>
          <w:shd w:val="clear" w:color="auto" w:fill="auto"/>
          <w:lang w:val="en-US" w:eastAsia="zh-CN" w:bidi="ar"/>
        </w:rPr>
      </w:pPr>
      <w:r>
        <w:rPr>
          <w:rFonts w:hint="eastAsia" w:ascii="黑体" w:hAnsi="黑体" w:eastAsia="黑体" w:cs="黑体"/>
          <w:i w:val="0"/>
          <w:iCs w:val="0"/>
          <w:caps w:val="0"/>
          <w:color w:val="auto"/>
          <w:spacing w:val="0"/>
          <w:kern w:val="0"/>
          <w:sz w:val="32"/>
          <w:szCs w:val="32"/>
          <w:shd w:val="clear" w:color="auto" w:fill="auto"/>
          <w:lang w:val="en-US" w:eastAsia="zh-CN" w:bidi="ar"/>
        </w:rPr>
        <w:t>四、下一步工作打算</w:t>
      </w:r>
    </w:p>
    <w:p w14:paraId="4C32D0A0">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1.</w:t>
      </w:r>
      <w:r>
        <w:rPr>
          <w:rFonts w:hint="eastAsia" w:ascii="仿宋_GB2312" w:hAnsi="仿宋_GB2312" w:eastAsia="仿宋_GB2312" w:cs="仿宋_GB2312"/>
          <w:i w:val="0"/>
          <w:iCs w:val="0"/>
          <w:caps w:val="0"/>
          <w:color w:val="auto"/>
          <w:spacing w:val="0"/>
          <w:sz w:val="32"/>
          <w:szCs w:val="32"/>
          <w:shd w:val="clear" w:color="auto" w:fill="auto"/>
        </w:rPr>
        <w:t>进一步加强法治宣传教育，创新宣传形式和内容，提高法治宣传教育的针对性和实效性。结合体育工作实际，开展形式多样的法治宣传活动，营造良好的法治氛围。</w:t>
      </w:r>
    </w:p>
    <w:p w14:paraId="2C5E2EF0">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加强行政执法队伍建设，加大行政执法人员培训力度，提高行政执法人员的业务能力和执法水平。加强执法装备和信息化建设，提高行政执法效率和规范化水平。</w:t>
      </w:r>
    </w:p>
    <w:p w14:paraId="27660811">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进一步拓展政务公开的内容和形式，及时更新政务信息，提高信息的准确性和及时性。加强政务公开平台建设，提高政务公开的便捷性和互动性。</w:t>
      </w:r>
    </w:p>
    <w:p w14:paraId="60C620CD">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rPr>
        <w:t>完善矛盾纠纷排查化解机制，加强矛盾纠纷源头治理，提高化解矛盾纠纷的能力和水平。积极推进体育仲裁工作，充分发挥体育仲裁在解决体育领域纠纷中的作用。</w:t>
      </w:r>
    </w:p>
    <w:p w14:paraId="69DD4F1D">
      <w:pPr>
        <w:keepNext w:val="0"/>
        <w:keepLines w:val="0"/>
        <w:widowControl/>
        <w:suppressLineNumbers w:val="0"/>
        <w:shd w:val="clear"/>
        <w:ind w:left="0" w:firstLine="632" w:firstLineChars="200"/>
        <w:jc w:val="left"/>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总之，2024 年我局在法治政府建设方面取得了一定的成绩，但也存在一些问题和不足。在今后的工作中，我们将进一步加强法治政府建设，不断提高依法行政水平，为体育事业的持续健康发展提供更加有力的法治保障。</w:t>
      </w:r>
    </w:p>
    <w:p w14:paraId="6A9AE397">
      <w:pPr>
        <w:shd w:val="clear"/>
        <w:rPr>
          <w:color w:val="auto"/>
          <w:shd w:val="clear" w:color="auto" w:fill="auto"/>
        </w:rPr>
      </w:pPr>
    </w:p>
    <w:sectPr>
      <w:pgSz w:w="11906" w:h="16838"/>
      <w:pgMar w:top="2098" w:right="1474" w:bottom="1984" w:left="1587" w:header="851" w:footer="992" w:gutter="0"/>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C3D4A"/>
    <w:rsid w:val="046C3D3D"/>
    <w:rsid w:val="065C3EB2"/>
    <w:rsid w:val="0BD46170"/>
    <w:rsid w:val="0EAB6D2C"/>
    <w:rsid w:val="101629D4"/>
    <w:rsid w:val="13180BF7"/>
    <w:rsid w:val="132967B5"/>
    <w:rsid w:val="147A2C96"/>
    <w:rsid w:val="16816E2A"/>
    <w:rsid w:val="1BE91BBB"/>
    <w:rsid w:val="1C242DB3"/>
    <w:rsid w:val="1F351241"/>
    <w:rsid w:val="25673A39"/>
    <w:rsid w:val="256E46E7"/>
    <w:rsid w:val="292D43C5"/>
    <w:rsid w:val="2C1764A1"/>
    <w:rsid w:val="2E8069EA"/>
    <w:rsid w:val="31590C6B"/>
    <w:rsid w:val="34606FB6"/>
    <w:rsid w:val="4FFB343C"/>
    <w:rsid w:val="529D1DCE"/>
    <w:rsid w:val="546D4860"/>
    <w:rsid w:val="552A2A21"/>
    <w:rsid w:val="56601078"/>
    <w:rsid w:val="59C93910"/>
    <w:rsid w:val="5BA65649"/>
    <w:rsid w:val="5BD93024"/>
    <w:rsid w:val="5EDD2CD3"/>
    <w:rsid w:val="610C40F2"/>
    <w:rsid w:val="650640A7"/>
    <w:rsid w:val="66882E1F"/>
    <w:rsid w:val="687C3D4A"/>
    <w:rsid w:val="69CD0D16"/>
    <w:rsid w:val="6B502C47"/>
    <w:rsid w:val="7AFD5397"/>
    <w:rsid w:val="7F9D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next w:val="1"/>
    <w:qFormat/>
    <w:uiPriority w:val="0"/>
    <w:pPr>
      <w:keepNext/>
      <w:keepLines/>
      <w:spacing w:before="340" w:beforeLines="0" w:beforeAutospacing="0" w:after="330" w:afterLines="0" w:afterAutospacing="0" w:line="360" w:lineRule="auto"/>
      <w:jc w:val="center"/>
      <w:outlineLvl w:val="0"/>
    </w:pPr>
    <w:rPr>
      <w:rFonts w:eastAsia="方正小标宋_GBK" w:asciiTheme="minorAscii" w:hAnsiTheme="minorAscii" w:cstheme="minorBidi"/>
      <w:kern w:val="44"/>
      <w:sz w:val="44"/>
    </w:rPr>
  </w:style>
  <w:style w:type="paragraph" w:styleId="6">
    <w:name w:val="heading 2"/>
    <w:next w:val="1"/>
    <w:semiHidden/>
    <w:unhideWhenUsed/>
    <w:qFormat/>
    <w:uiPriority w:val="0"/>
    <w:pPr>
      <w:keepNext/>
      <w:keepLines/>
      <w:spacing w:before="260" w:beforeLines="0" w:beforeAutospacing="0" w:after="260" w:afterLines="0" w:afterAutospacing="0" w:line="413" w:lineRule="auto"/>
      <w:ind w:firstLine="872" w:firstLineChars="200"/>
      <w:outlineLvl w:val="1"/>
    </w:pPr>
    <w:rPr>
      <w:rFonts w:ascii="Arial" w:hAnsi="Arial" w:eastAsia="黑体" w:cstheme="minorBidi"/>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580"/>
      </w:tabs>
      <w:spacing w:after="120" w:line="240" w:lineRule="auto"/>
      <w:ind w:left="420" w:leftChars="200" w:firstLine="420" w:firstLineChars="200"/>
    </w:pPr>
    <w:rPr>
      <w:sz w:val="21"/>
    </w:rPr>
  </w:style>
  <w:style w:type="paragraph" w:styleId="3">
    <w:name w:val="Body Text Indent"/>
    <w:basedOn w:val="1"/>
    <w:next w:val="4"/>
    <w:qFormat/>
    <w:uiPriority w:val="0"/>
    <w:pPr>
      <w:tabs>
        <w:tab w:val="left" w:pos="5580"/>
      </w:tabs>
      <w:spacing w:before="120" w:line="360" w:lineRule="auto"/>
      <w:ind w:firstLine="454"/>
    </w:pPr>
    <w:rPr>
      <w:sz w:val="24"/>
    </w:rPr>
  </w:style>
  <w:style w:type="paragraph" w:styleId="4">
    <w:name w:val="envelope return"/>
    <w:basedOn w:val="1"/>
    <w:qFormat/>
    <w:uiPriority w:val="0"/>
    <w:pPr>
      <w:snapToGrid w:val="0"/>
    </w:pPr>
    <w:rPr>
      <w:rFonts w:ascii="Arial" w:hAnsi="Arial" w:cs="Arial"/>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rPr>
      <w:b/>
    </w:rPr>
  </w:style>
  <w:style w:type="paragraph" w:customStyle="1" w:styleId="11">
    <w:name w:val="自定"/>
    <w:basedOn w:val="7"/>
    <w:next w:val="7"/>
    <w:qFormat/>
    <w:uiPriority w:val="0"/>
    <w:rPr>
      <w:rFonts w:eastAsia="方正小标宋_GBK" w:asciiTheme="minorAscii" w:hAnsiTheme="minorAscii"/>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2221</Words>
  <Characters>2273</Characters>
  <Lines>0</Lines>
  <Paragraphs>0</Paragraphs>
  <TotalTime>414</TotalTime>
  <ScaleCrop>false</ScaleCrop>
  <LinksUpToDate>false</LinksUpToDate>
  <CharactersWithSpaces>2278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2024-10-21T01:40:00Z</dcterms:created>
  <dc:creator>潜龙</dc:creator>
  <cp:lastModifiedBy>ZzZShuo</cp:lastModifiedBy>
  <dcterms:modified xsi:type="dcterms:W3CDTF">2025-10-17T07:50:32Z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D422AD00C50B482FA245C70EA64DE4A7</vt:lpwstr>
  </property>
  <property fmtid="{D5CDD505-2E9C-101B-9397-08002B2CF9AE}" pid="4" name="KSOTemplateDocerSaveRecord">
    <vt:lpwstr>eyJoZGlkIjoiNGQwMmQ0OTQ0NWY3MWY1N2Y3NmQ1ZjQzZWYwNGQ2MWQiLCJ1c2VySWQiOiIzMTg0MjUzNjEifQ==</vt:lpwstr>
  </property>
</Properties>
</file>