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059727">
      <w:pPr>
        <w:autoSpaceDE w:val="0"/>
        <w:autoSpaceDN w:val="0"/>
        <w:adjustRightInd w:val="0"/>
        <w:spacing w:line="576" w:lineRule="exact"/>
        <w:rPr>
          <w:rFonts w:eastAsia="黑体"/>
          <w:color w:val="000000"/>
          <w:kern w:val="0"/>
          <w:sz w:val="32"/>
          <w:szCs w:val="32"/>
        </w:rPr>
      </w:pPr>
      <w:r>
        <w:rPr>
          <w:rFonts w:eastAsia="黑体"/>
          <w:color w:val="000000"/>
          <w:kern w:val="0"/>
          <w:sz w:val="32"/>
          <w:szCs w:val="32"/>
        </w:rPr>
        <w:t>附件</w:t>
      </w:r>
    </w:p>
    <w:p w14:paraId="63500A81">
      <w:pPr>
        <w:spacing w:line="660" w:lineRule="exact"/>
        <w:jc w:val="center"/>
        <w:outlineLvl w:val="0"/>
        <w:rPr>
          <w:rFonts w:asciiTheme="majorEastAsia" w:hAnsiTheme="majorEastAsia" w:eastAsiaTheme="majorEastAsia" w:cstheme="majorEastAsia"/>
          <w:b/>
          <w:bCs/>
          <w:sz w:val="44"/>
          <w:szCs w:val="44"/>
        </w:rPr>
      </w:pPr>
      <w:r>
        <w:rPr>
          <w:rFonts w:hint="eastAsia" w:ascii="Times New Roman" w:hAnsi="Times New Roman" w:eastAsia="方正小标宋简体"/>
          <w:bCs/>
          <w:sz w:val="44"/>
          <w:szCs w:val="44"/>
        </w:rPr>
        <w:t>2026年度丰台区实体书店扶持项目</w:t>
      </w:r>
    </w:p>
    <w:p w14:paraId="36F2A89D">
      <w:pPr>
        <w:spacing w:line="660" w:lineRule="exact"/>
        <w:jc w:val="center"/>
        <w:outlineLvl w:val="0"/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小标宋简体"/>
          <w:bCs/>
          <w:sz w:val="44"/>
          <w:szCs w:val="44"/>
        </w:rPr>
        <w:t>申报指南</w:t>
      </w:r>
    </w:p>
    <w:p w14:paraId="5A642C89">
      <w:pPr>
        <w:pStyle w:val="2"/>
        <w:spacing w:after="0" w:line="360" w:lineRule="auto"/>
        <w:ind w:left="1470" w:right="1470"/>
      </w:pPr>
    </w:p>
    <w:p w14:paraId="5D1BFED8">
      <w:pPr>
        <w:spacing w:line="576" w:lineRule="exact"/>
        <w:ind w:firstLine="640" w:firstLineChars="200"/>
        <w:jc w:val="both"/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为促进丰台区实体书店健康发展，鼓励和引导实体书店提供优质公共文化服务，根据《北京市丰台区促进实体书店发展扶持资金暂行管理办法》要求，编制本申报指南。</w:t>
      </w:r>
    </w:p>
    <w:p w14:paraId="095722B6">
      <w:pPr>
        <w:spacing w:line="576" w:lineRule="exact"/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Times New Roman" w:hAnsi="Times New Roman" w:eastAsia="黑体" w:cs="黑体"/>
          <w:bCs/>
          <w:color w:val="000000"/>
          <w:sz w:val="32"/>
          <w:szCs w:val="32"/>
        </w:rPr>
        <w:t>一、扶持对象</w:t>
      </w:r>
    </w:p>
    <w:p w14:paraId="16EA9EA3">
      <w:pPr>
        <w:spacing w:line="576" w:lineRule="exact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（一）在辖区内依法注册设立，具备独立法人资格，取得《工商营业执照》《出版物经营许可证》。</w:t>
      </w:r>
    </w:p>
    <w:p w14:paraId="4F4D0592">
      <w:pPr>
        <w:spacing w:line="576" w:lineRule="exact"/>
        <w:ind w:firstLine="640" w:firstLineChars="200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（二）在丰台区依法纳税，对丰台区经济发展做出一定贡献。</w:t>
      </w:r>
    </w:p>
    <w:p w14:paraId="646A922B">
      <w:pPr>
        <w:tabs>
          <w:tab w:val="left" w:pos="1050"/>
        </w:tabs>
        <w:spacing w:line="576" w:lineRule="exact"/>
        <w:ind w:firstLine="640" w:firstLineChars="200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（三）具备健全的财务管理制度和社会劳动保障制度，有完备的安全生产管理制度和日常安全生产记录。</w:t>
      </w:r>
    </w:p>
    <w:p w14:paraId="12A4186D">
      <w:pPr>
        <w:tabs>
          <w:tab w:val="left" w:pos="1050"/>
        </w:tabs>
        <w:spacing w:line="576" w:lineRule="exact"/>
        <w:ind w:firstLine="640" w:firstLineChars="200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（四）守法经营，两年内未受到各级出版行政、执法部门处罚。</w:t>
      </w:r>
    </w:p>
    <w:p w14:paraId="69E67003">
      <w:pPr>
        <w:tabs>
          <w:tab w:val="left" w:pos="1050"/>
        </w:tabs>
        <w:spacing w:line="576" w:lineRule="exact"/>
        <w:ind w:firstLine="640" w:firstLineChars="200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（五）有固定经营场所，以出版物销售和阅读服务为主营业务，按期参加行业主管部门的年度核检且经营状况正常。</w:t>
      </w:r>
    </w:p>
    <w:p w14:paraId="4B8B1809">
      <w:pPr>
        <w:tabs>
          <w:tab w:val="left" w:pos="1050"/>
        </w:tabs>
        <w:spacing w:line="576" w:lineRule="exact"/>
        <w:ind w:firstLine="640" w:firstLineChars="200"/>
        <w:jc w:val="both"/>
      </w:pPr>
      <w:r>
        <w:rPr>
          <w:rFonts w:hint="eastAsia" w:ascii="仿宋" w:hAnsi="仿宋" w:eastAsia="仿宋" w:cs="仿宋"/>
          <w:sz w:val="32"/>
          <w:szCs w:val="32"/>
        </w:rPr>
        <w:t>（六）书店经营面积不少于30平米（新开办书店不少于200平米），其中出版物经营面积超过50%；上架经营出版物不少于2000册，品种不少于500种。</w:t>
      </w:r>
    </w:p>
    <w:p w14:paraId="72F060EC">
      <w:pPr>
        <w:spacing w:line="576" w:lineRule="exact"/>
        <w:ind w:left="420" w:leftChars="200"/>
        <w:jc w:val="left"/>
        <w:rPr>
          <w:rFonts w:ascii="黑体" w:hAnsi="黑体" w:eastAsia="黑体" w:cs="黑体"/>
          <w:b/>
          <w:bCs/>
          <w:color w:val="000000"/>
          <w:sz w:val="32"/>
          <w:szCs w:val="32"/>
        </w:rPr>
      </w:pPr>
      <w:r>
        <w:rPr>
          <w:rFonts w:hint="eastAsia" w:ascii="Times New Roman" w:hAnsi="Times New Roman" w:eastAsia="黑体" w:cs="黑体"/>
          <w:bCs/>
          <w:color w:val="000000"/>
          <w:sz w:val="32"/>
          <w:szCs w:val="32"/>
        </w:rPr>
        <w:t>二、扶持方向</w:t>
      </w:r>
    </w:p>
    <w:p w14:paraId="16A21551">
      <w:pPr>
        <w:spacing w:line="576" w:lineRule="exact"/>
        <w:ind w:left="420" w:leftChars="200" w:firstLine="320" w:firstLineChars="100"/>
        <w:jc w:val="both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（一）积极宣传习近平新时代中国特色社会主义思想，传播党的方针政策，弘扬社会主义核心价值观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02E1B003">
      <w:pPr>
        <w:spacing w:line="576" w:lineRule="exact"/>
        <w:ind w:left="420" w:leftChars="200" w:firstLine="320" w:firstLineChars="100"/>
        <w:jc w:val="both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（二）弘扬中华民族优秀传统文化，挖掘丰台文化内涵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37B54DFD">
      <w:pPr>
        <w:spacing w:line="576" w:lineRule="exact"/>
        <w:ind w:left="420" w:leftChars="200" w:firstLine="320" w:firstLineChars="100"/>
        <w:jc w:val="both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（三）符合丰台区功能定位和区域布局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2C7FABCA">
      <w:pPr>
        <w:spacing w:line="576" w:lineRule="exact"/>
        <w:ind w:left="420" w:leftChars="200" w:firstLine="320" w:firstLineChars="100"/>
        <w:jc w:val="both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（四）积极参与政府主办的公共文化活动，在公共文化体系建设工作中表现突出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71519FD7">
      <w:pPr>
        <w:spacing w:line="576" w:lineRule="exact"/>
        <w:ind w:left="420" w:leftChars="200" w:firstLine="320" w:firstLineChars="100"/>
        <w:jc w:val="both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（五）经营模式新颖，多业态融合发展成效显著，实现跨领域、跨行业发展，探索馆店结合、场店结合、院店结合、线上线下结合，积极拉动新消费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03504C21">
      <w:pPr>
        <w:spacing w:line="576" w:lineRule="exact"/>
        <w:ind w:left="420" w:leftChars="200" w:firstLine="320" w:firstLineChars="100"/>
        <w:jc w:val="both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（六）在环境布置、装饰设计、图书陈列、管理服务、衍生品开发等方面具有鲜明特色，艺术性、主题性、专业性和学术性突出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2E4AD0F7">
      <w:pPr>
        <w:spacing w:line="576" w:lineRule="exact"/>
        <w:ind w:left="420" w:leftChars="200" w:firstLine="320" w:firstLineChars="100"/>
        <w:jc w:val="both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（七）举办的文化活动内容丰富、形式新颖、读者认可、成效显著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5AAC3067">
      <w:pPr>
        <w:spacing w:line="576" w:lineRule="exact"/>
        <w:ind w:left="420" w:leftChars="200" w:firstLine="320" w:firstLineChars="100"/>
        <w:jc w:val="both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（八）重点服务周边社区居民和企事业单位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66EDDEAF">
      <w:pPr>
        <w:spacing w:line="576" w:lineRule="exact"/>
        <w:ind w:left="420" w:leftChars="200" w:firstLine="320" w:firstLineChars="1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（九）注重社会效益，彰显社会责任，建立公益性文化品牌，具有社会影响力。</w:t>
      </w:r>
    </w:p>
    <w:p w14:paraId="1F1D9E0D">
      <w:pPr>
        <w:spacing w:line="576" w:lineRule="exact"/>
        <w:ind w:left="420" w:leftChars="200" w:firstLine="320" w:firstLineChars="100"/>
        <w:jc w:val="left"/>
        <w:rPr>
          <w:rFonts w:ascii="黑体" w:hAnsi="黑体" w:eastAsia="黑体" w:cs="黑体"/>
          <w:b/>
          <w:bCs/>
          <w:color w:val="000000"/>
          <w:sz w:val="32"/>
          <w:szCs w:val="32"/>
        </w:rPr>
      </w:pPr>
      <w:r>
        <w:rPr>
          <w:rFonts w:hint="eastAsia" w:ascii="Times New Roman" w:hAnsi="Times New Roman" w:eastAsia="黑体" w:cs="黑体"/>
          <w:bCs/>
          <w:color w:val="000000"/>
          <w:sz w:val="32"/>
          <w:szCs w:val="32"/>
        </w:rPr>
        <w:t>三、扶持标准</w:t>
      </w:r>
    </w:p>
    <w:p w14:paraId="506EA6A8">
      <w:pPr>
        <w:pStyle w:val="2"/>
        <w:spacing w:after="0" w:line="576" w:lineRule="exact"/>
        <w:ind w:left="0" w:leftChars="0" w:right="-92" w:rightChars="-44" w:firstLine="640" w:firstLineChars="200"/>
        <w:jc w:val="both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根据扶持对象不同，给予相应资金扶持。同一申报单位只能申报一个支持项目，所有类别不能重复申报。</w:t>
      </w:r>
    </w:p>
    <w:p w14:paraId="46B3B611">
      <w:pPr>
        <w:numPr>
          <w:ilvl w:val="0"/>
          <w:numId w:val="1"/>
        </w:numPr>
        <w:snapToGrid w:val="0"/>
        <w:spacing w:line="576" w:lineRule="exact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新开设书店</w:t>
      </w:r>
    </w:p>
    <w:p w14:paraId="58054060">
      <w:pPr>
        <w:snapToGrid w:val="0"/>
        <w:spacing w:line="576" w:lineRule="exact"/>
        <w:ind w:firstLine="640" w:firstLineChars="200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经评审认定，对符合中心城区定位，以及区域规划布局要求，新开设（2025年5月4日之后）且持续运营半年以上，原则上经营面积在200平方米（含）以上的实体书店予以不超过10万元的资金奖励。</w:t>
      </w:r>
    </w:p>
    <w:p w14:paraId="6E8DD5A1">
      <w:pPr>
        <w:numPr>
          <w:ilvl w:val="0"/>
          <w:numId w:val="1"/>
        </w:numPr>
        <w:snapToGrid w:val="0"/>
        <w:spacing w:line="576" w:lineRule="exact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特色书店</w:t>
      </w:r>
    </w:p>
    <w:p w14:paraId="2B7B53FA">
      <w:pPr>
        <w:snapToGrid w:val="0"/>
        <w:spacing w:line="576" w:lineRule="exact"/>
        <w:ind w:firstLine="640" w:firstLineChars="200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经评审认定，对符合中心城区定位，以及区域规划布局要求，持续经营一年以上，在主题定位、空间环境、经营内容、管理服务等方面具有鲜明特色，或与影视传播、文化创意、科普培训、休闲阅读等融合发展，具有独特创新且社会效益良好，具有一定品牌影响力的实体书店，予以不超过10万元的资金奖励。</w:t>
      </w:r>
    </w:p>
    <w:p w14:paraId="45974E4C">
      <w:pPr>
        <w:numPr>
          <w:ilvl w:val="0"/>
          <w:numId w:val="1"/>
        </w:numPr>
        <w:snapToGrid w:val="0"/>
        <w:spacing w:line="576" w:lineRule="exact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大型书城</w:t>
      </w:r>
    </w:p>
    <w:p w14:paraId="141C148E">
      <w:pPr>
        <w:snapToGrid w:val="0"/>
        <w:spacing w:line="576" w:lineRule="exact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对国内外具有影响力、引领力的品牌书店入驻丰台，或在发挥社会效益方面表现突出，在公共文化服务体系建设中作出突出贡献，新开设（2025年5月4日之后）且持续运营半年以上，原则上经营面积1000平方米以上的大型实体书城，经评审认定，给予不超过50万元的资金奖励。</w:t>
      </w:r>
    </w:p>
    <w:p w14:paraId="488B97AE">
      <w:pPr>
        <w:numPr>
          <w:ilvl w:val="0"/>
          <w:numId w:val="1"/>
        </w:numPr>
        <w:snapToGrid w:val="0"/>
        <w:spacing w:line="576" w:lineRule="exact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二十四小时书店</w:t>
      </w:r>
    </w:p>
    <w:p w14:paraId="3309206A">
      <w:pPr>
        <w:snapToGrid w:val="0"/>
        <w:spacing w:line="576" w:lineRule="exact"/>
        <w:ind w:firstLine="640" w:firstLineChars="200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对全天24小时正常开放，持续经营一年以上，且积极参与公共文化服务，原则上经营面积在100平方米（含）以上的实体书店给予不超过10万元的资金奖励。</w:t>
      </w:r>
    </w:p>
    <w:p w14:paraId="4136AA86">
      <w:pPr>
        <w:numPr>
          <w:ilvl w:val="0"/>
          <w:numId w:val="1"/>
        </w:numPr>
        <w:snapToGrid w:val="0"/>
        <w:spacing w:line="576" w:lineRule="exact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市级扶持配套奖励</w:t>
      </w:r>
    </w:p>
    <w:p w14:paraId="5C231069">
      <w:pPr>
        <w:snapToGrid w:val="0"/>
        <w:spacing w:line="576" w:lineRule="exact"/>
        <w:ind w:firstLine="640" w:firstLineChars="200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对获得上一年度市级扶持资金的实体书店予以不超过30%的区级匹配性资金奖励。</w:t>
      </w:r>
    </w:p>
    <w:p w14:paraId="729FC056">
      <w:pPr>
        <w:numPr>
          <w:ilvl w:val="0"/>
          <w:numId w:val="1"/>
        </w:numPr>
        <w:snapToGrid w:val="0"/>
        <w:spacing w:line="576" w:lineRule="exact"/>
        <w:ind w:firstLine="640" w:firstLineChars="200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hint="eastAsia" w:ascii="Times New Roman" w:hAnsi="Times New Roman" w:eastAsia="仿宋" w:cs="仿宋"/>
          <w:sz w:val="32"/>
          <w:szCs w:val="32"/>
          <w:lang w:eastAsia="zh-CN"/>
        </w:rPr>
        <w:t>公共阅读活动奖励</w:t>
      </w:r>
    </w:p>
    <w:p w14:paraId="60F9C334">
      <w:pPr>
        <w:snapToGrid w:val="0"/>
        <w:spacing w:line="576" w:lineRule="exact"/>
        <w:ind w:firstLine="640" w:firstLineChars="200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为鼓励实体书店、阅读空间提供公共文化服务，对积极提供阅读资源与服务，丰富群众阅读活动，在公共文化服务体系建设中作出贡献，</w:t>
      </w:r>
      <w:r>
        <w:rPr>
          <w:rFonts w:hint="eastAsia" w:ascii="仿宋" w:hAnsi="仿宋" w:eastAsia="仿宋" w:cs="仿宋"/>
          <w:sz w:val="32"/>
          <w:szCs w:val="32"/>
          <w:u w:val="none"/>
        </w:rPr>
        <w:t>举办具有一定影响力的品牌活动全年不少于12场的实体书店，经评</w:t>
      </w:r>
      <w:r>
        <w:rPr>
          <w:rFonts w:hint="eastAsia" w:ascii="仿宋" w:hAnsi="仿宋" w:eastAsia="仿宋" w:cs="仿宋"/>
          <w:sz w:val="32"/>
          <w:szCs w:val="32"/>
        </w:rPr>
        <w:t>审认定，给予不超过1万元的资金奖励。</w:t>
      </w:r>
    </w:p>
    <w:p w14:paraId="55D08285">
      <w:pPr>
        <w:spacing w:line="576" w:lineRule="exact"/>
        <w:ind w:firstLine="640" w:firstLineChars="200"/>
        <w:jc w:val="left"/>
        <w:rPr>
          <w:rFonts w:ascii="黑体" w:hAnsi="黑体" w:eastAsia="黑体" w:cs="黑体"/>
          <w:b/>
          <w:bCs/>
          <w:color w:val="000000"/>
          <w:sz w:val="32"/>
          <w:szCs w:val="32"/>
        </w:rPr>
      </w:pPr>
      <w:r>
        <w:rPr>
          <w:rFonts w:hint="eastAsia" w:ascii="Times New Roman" w:hAnsi="Times New Roman" w:eastAsia="黑体" w:cs="黑体"/>
          <w:bCs/>
          <w:color w:val="000000"/>
          <w:sz w:val="32"/>
          <w:szCs w:val="32"/>
        </w:rPr>
        <w:t>四、申报材料</w:t>
      </w:r>
    </w:p>
    <w:p w14:paraId="60DF8E8C">
      <w:pPr>
        <w:pStyle w:val="3"/>
        <w:spacing w:before="0" w:after="0" w:line="576" w:lineRule="exact"/>
        <w:ind w:firstLine="643" w:firstLineChars="200"/>
        <w:rPr>
          <w:rFonts w:ascii="仿宋" w:hAnsi="仿宋" w:eastAsia="仿宋" w:cs="仿宋"/>
          <w:b w:val="0"/>
          <w:bCs w:val="0"/>
        </w:rPr>
      </w:pPr>
      <w:r>
        <w:rPr>
          <w:rFonts w:hint="eastAsia" w:ascii="Times New Roman" w:hAnsi="Times New Roman" w:eastAsia="楷体" w:cs="仿宋"/>
          <w:bCs w:val="0"/>
          <w:sz w:val="32"/>
          <w:szCs w:val="32"/>
        </w:rPr>
        <w:t>（一）基础材料</w:t>
      </w:r>
    </w:p>
    <w:p w14:paraId="65AE334C">
      <w:pPr>
        <w:adjustRightInd w:val="0"/>
        <w:snapToGrid w:val="0"/>
        <w:spacing w:line="576" w:lineRule="exact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1.2026年度丰台区实体书店扶持项目申报表。</w:t>
      </w:r>
    </w:p>
    <w:p w14:paraId="1B325A34">
      <w:pPr>
        <w:adjustRightInd w:val="0"/>
        <w:snapToGrid w:val="0"/>
        <w:spacing w:line="576" w:lineRule="exact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2.《营业执照》《出版物经营许可证》及其年审页复印件，加盖单位公章。</w:t>
      </w:r>
    </w:p>
    <w:p w14:paraId="2CBA91AA">
      <w:pPr>
        <w:adjustRightInd w:val="0"/>
        <w:snapToGrid w:val="0"/>
        <w:spacing w:line="576" w:lineRule="exact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3.2026年度丰台区实体书店扶持项目承诺书。</w:t>
      </w:r>
    </w:p>
    <w:p w14:paraId="53E73ED7">
      <w:pPr>
        <w:adjustRightInd w:val="0"/>
        <w:snapToGrid w:val="0"/>
        <w:spacing w:line="576" w:lineRule="exact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4.申报单位近半年依法完税证明，书店经营场所使用证明，申报书店2026年度运营情况专项审核意见，加盖单位公章。</w:t>
      </w:r>
    </w:p>
    <w:p w14:paraId="5B4A5EF1">
      <w:pPr>
        <w:adjustRightInd w:val="0"/>
        <w:snapToGrid w:val="0"/>
        <w:spacing w:line="576" w:lineRule="exact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5.店面外观与店堂内部照片（含门头店招），书店功能布局、空间设计、展陈设计平面图（带面积）及实景照片。</w:t>
      </w:r>
    </w:p>
    <w:p w14:paraId="1FAE4B57">
      <w:pPr>
        <w:adjustRightInd w:val="0"/>
        <w:snapToGrid w:val="0"/>
        <w:spacing w:line="576" w:lineRule="exact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6.书店发行出版物品种数量，出版物更替品种数量相关资料。</w:t>
      </w:r>
    </w:p>
    <w:p w14:paraId="14165F4C">
      <w:pPr>
        <w:adjustRightInd w:val="0"/>
        <w:snapToGrid w:val="0"/>
        <w:spacing w:line="576" w:lineRule="exact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7.管理制度清单。</w:t>
      </w:r>
    </w:p>
    <w:p w14:paraId="00A8A3CC">
      <w:pPr>
        <w:adjustRightInd w:val="0"/>
        <w:snapToGrid w:val="0"/>
        <w:spacing w:line="576" w:lineRule="exact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8.积极参与构建“十五分钟阅读圈”，面向周边居民提供就近阅读服务、开展阅读推广和社会化服务工作的相关材料。</w:t>
      </w:r>
    </w:p>
    <w:p w14:paraId="67FDCFB3">
      <w:pPr>
        <w:adjustRightInd w:val="0"/>
        <w:snapToGrid w:val="0"/>
        <w:spacing w:line="576" w:lineRule="exact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9.其他与申报内容相关的佐证材料。</w:t>
      </w:r>
    </w:p>
    <w:p w14:paraId="0B68E2B9">
      <w:pPr>
        <w:pStyle w:val="3"/>
        <w:spacing w:before="0" w:after="0" w:line="576" w:lineRule="exact"/>
        <w:ind w:firstLine="643" w:firstLineChars="200"/>
        <w:rPr>
          <w:rFonts w:ascii="仿宋" w:hAnsi="仿宋" w:eastAsia="仿宋" w:cs="仿宋"/>
          <w:b w:val="0"/>
          <w:bCs w:val="0"/>
        </w:rPr>
      </w:pPr>
      <w:r>
        <w:rPr>
          <w:rFonts w:hint="eastAsia" w:ascii="Times New Roman" w:hAnsi="Times New Roman" w:eastAsia="楷体" w:cs="仿宋"/>
          <w:bCs w:val="0"/>
          <w:sz w:val="32"/>
          <w:szCs w:val="32"/>
        </w:rPr>
        <w:t>（二）专项材料</w:t>
      </w:r>
    </w:p>
    <w:p w14:paraId="0CE45605">
      <w:pPr>
        <w:pStyle w:val="4"/>
        <w:spacing w:before="0" w:after="0" w:line="576" w:lineRule="exact"/>
        <w:ind w:firstLine="640" w:firstLineChars="200"/>
        <w:rPr>
          <w:rFonts w:ascii="仿宋" w:hAnsi="仿宋" w:eastAsia="仿宋" w:cs="仿宋"/>
          <w:b w:val="0"/>
          <w:bCs w:val="0"/>
        </w:rPr>
      </w:pPr>
      <w:r>
        <w:rPr>
          <w:rFonts w:hint="eastAsia" w:ascii="Times New Roman" w:hAnsi="Times New Roman" w:eastAsia="仿宋" w:cs="仿宋"/>
          <w:b w:val="0"/>
          <w:bCs w:val="0"/>
          <w:sz w:val="32"/>
          <w:szCs w:val="32"/>
        </w:rPr>
        <w:t>申报单位应根据申报方向，准备相应专项申报材料，具体内容及要求可参考后附相应附件：</w:t>
      </w:r>
    </w:p>
    <w:p w14:paraId="44AB7D67">
      <w:pPr>
        <w:pStyle w:val="4"/>
        <w:spacing w:before="0" w:after="0" w:line="576" w:lineRule="exact"/>
        <w:ind w:firstLine="640" w:firstLineChars="200"/>
        <w:rPr>
          <w:rFonts w:ascii="仿宋" w:hAnsi="仿宋" w:eastAsia="仿宋" w:cs="仿宋"/>
          <w:b w:val="0"/>
          <w:bCs w:val="0"/>
        </w:rPr>
      </w:pPr>
      <w:r>
        <w:rPr>
          <w:rFonts w:hint="eastAsia" w:ascii="Times New Roman" w:hAnsi="Times New Roman" w:eastAsia="仿宋" w:cs="仿宋"/>
          <w:b w:val="0"/>
          <w:bCs w:val="0"/>
          <w:sz w:val="32"/>
          <w:szCs w:val="32"/>
        </w:rPr>
        <w:t>1.新开设书店奖励申报材料，详见附件</w:t>
      </w:r>
      <w:r>
        <w:rPr>
          <w:rFonts w:hint="eastAsia" w:ascii="Times New Roman" w:hAnsi="Times New Roman" w:eastAsia="仿宋" w:cs="仿宋"/>
          <w:b w:val="0"/>
          <w:bCs w:val="0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仿宋" w:cs="仿宋"/>
          <w:b w:val="0"/>
          <w:bCs w:val="0"/>
          <w:sz w:val="32"/>
          <w:szCs w:val="32"/>
        </w:rPr>
        <w:t>；</w:t>
      </w:r>
    </w:p>
    <w:p w14:paraId="1973BBD3">
      <w:pPr>
        <w:pStyle w:val="4"/>
        <w:spacing w:before="0" w:after="0" w:line="576" w:lineRule="exact"/>
        <w:ind w:firstLine="640" w:firstLineChars="200"/>
        <w:rPr>
          <w:rFonts w:ascii="仿宋" w:hAnsi="仿宋" w:eastAsia="仿宋" w:cs="仿宋"/>
          <w:b w:val="0"/>
          <w:bCs w:val="0"/>
        </w:rPr>
      </w:pPr>
      <w:r>
        <w:rPr>
          <w:rFonts w:hint="eastAsia" w:ascii="Times New Roman" w:hAnsi="Times New Roman" w:eastAsia="仿宋" w:cs="仿宋"/>
          <w:b w:val="0"/>
          <w:bCs w:val="0"/>
          <w:sz w:val="32"/>
          <w:szCs w:val="32"/>
        </w:rPr>
        <w:t>2.特色书店奖励申报材料，详见附件</w:t>
      </w:r>
      <w:r>
        <w:rPr>
          <w:rFonts w:hint="eastAsia" w:ascii="Times New Roman" w:hAnsi="Times New Roman" w:eastAsia="仿宋" w:cs="仿宋"/>
          <w:b w:val="0"/>
          <w:bCs w:val="0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仿宋" w:cs="仿宋"/>
          <w:b w:val="0"/>
          <w:bCs w:val="0"/>
          <w:sz w:val="32"/>
          <w:szCs w:val="32"/>
        </w:rPr>
        <w:t>；</w:t>
      </w:r>
    </w:p>
    <w:p w14:paraId="5FC5B8AA">
      <w:pPr>
        <w:pStyle w:val="4"/>
        <w:spacing w:before="0" w:after="0" w:line="576" w:lineRule="exact"/>
        <w:ind w:firstLine="640" w:firstLineChars="200"/>
        <w:rPr>
          <w:rFonts w:ascii="仿宋" w:hAnsi="仿宋" w:eastAsia="仿宋" w:cs="仿宋"/>
          <w:b w:val="0"/>
          <w:bCs w:val="0"/>
        </w:rPr>
      </w:pPr>
      <w:r>
        <w:rPr>
          <w:rFonts w:hint="eastAsia" w:ascii="Times New Roman" w:hAnsi="Times New Roman" w:eastAsia="仿宋" w:cs="仿宋"/>
          <w:b w:val="0"/>
          <w:bCs w:val="0"/>
          <w:sz w:val="32"/>
          <w:szCs w:val="32"/>
        </w:rPr>
        <w:t>3.大型书城奖励申报材料，详见附件</w:t>
      </w:r>
      <w:r>
        <w:rPr>
          <w:rFonts w:hint="eastAsia" w:ascii="Times New Roman" w:hAnsi="Times New Roman" w:eastAsia="仿宋" w:cs="仿宋"/>
          <w:b w:val="0"/>
          <w:bCs w:val="0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" w:cs="仿宋"/>
          <w:b w:val="0"/>
          <w:bCs w:val="0"/>
          <w:sz w:val="32"/>
          <w:szCs w:val="32"/>
        </w:rPr>
        <w:t>；</w:t>
      </w:r>
    </w:p>
    <w:p w14:paraId="138C214D">
      <w:pPr>
        <w:pStyle w:val="4"/>
        <w:spacing w:before="0" w:after="0" w:line="576" w:lineRule="exact"/>
        <w:ind w:firstLine="640" w:firstLineChars="200"/>
        <w:rPr>
          <w:rFonts w:ascii="仿宋" w:hAnsi="仿宋" w:eastAsia="仿宋" w:cs="仿宋"/>
          <w:b w:val="0"/>
          <w:bCs w:val="0"/>
        </w:rPr>
      </w:pPr>
      <w:r>
        <w:rPr>
          <w:rFonts w:hint="eastAsia" w:ascii="Times New Roman" w:hAnsi="Times New Roman" w:eastAsia="仿宋" w:cs="仿宋"/>
          <w:b w:val="0"/>
          <w:bCs w:val="0"/>
          <w:sz w:val="32"/>
          <w:szCs w:val="32"/>
        </w:rPr>
        <w:t>4.二十四小时书店奖励申报材料，详见附件</w:t>
      </w:r>
      <w:r>
        <w:rPr>
          <w:rFonts w:hint="eastAsia" w:ascii="Times New Roman" w:hAnsi="Times New Roman" w:eastAsia="仿宋" w:cs="仿宋"/>
          <w:b w:val="0"/>
          <w:bCs w:val="0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仿宋" w:cs="仿宋"/>
          <w:b w:val="0"/>
          <w:bCs w:val="0"/>
          <w:sz w:val="32"/>
          <w:szCs w:val="32"/>
        </w:rPr>
        <w:t>；</w:t>
      </w:r>
    </w:p>
    <w:p w14:paraId="129A9EC2">
      <w:pPr>
        <w:pStyle w:val="4"/>
        <w:spacing w:before="0" w:after="0" w:line="576" w:lineRule="exact"/>
        <w:ind w:firstLine="640" w:firstLineChars="200"/>
        <w:rPr>
          <w:rFonts w:ascii="仿宋" w:hAnsi="仿宋" w:eastAsia="仿宋" w:cs="仿宋"/>
          <w:b w:val="0"/>
          <w:bCs w:val="0"/>
        </w:rPr>
      </w:pPr>
      <w:r>
        <w:rPr>
          <w:rFonts w:hint="eastAsia" w:ascii="Times New Roman" w:hAnsi="Times New Roman" w:eastAsia="仿宋" w:cs="仿宋"/>
          <w:b w:val="0"/>
          <w:bCs w:val="0"/>
          <w:sz w:val="32"/>
          <w:szCs w:val="32"/>
        </w:rPr>
        <w:t>5.市级配套奖励申报材料，详见附件</w:t>
      </w:r>
      <w:r>
        <w:rPr>
          <w:rFonts w:hint="eastAsia" w:ascii="Times New Roman" w:hAnsi="Times New Roman" w:eastAsia="仿宋" w:cs="仿宋"/>
          <w:b w:val="0"/>
          <w:bCs w:val="0"/>
          <w:sz w:val="32"/>
          <w:szCs w:val="32"/>
          <w:lang w:val="en-US" w:eastAsia="zh-CN"/>
        </w:rPr>
        <w:t>7</w:t>
      </w:r>
      <w:r>
        <w:rPr>
          <w:rFonts w:hint="eastAsia" w:ascii="Times New Roman" w:hAnsi="Times New Roman" w:eastAsia="仿宋" w:cs="仿宋"/>
          <w:b w:val="0"/>
          <w:bCs w:val="0"/>
          <w:sz w:val="32"/>
          <w:szCs w:val="32"/>
        </w:rPr>
        <w:t>；</w:t>
      </w:r>
    </w:p>
    <w:p w14:paraId="3FE1A0FD">
      <w:pPr>
        <w:pStyle w:val="4"/>
        <w:spacing w:before="0" w:after="0" w:line="576" w:lineRule="exact"/>
        <w:ind w:firstLine="640" w:firstLineChars="200"/>
        <w:rPr>
          <w:rFonts w:ascii="仿宋" w:hAnsi="仿宋" w:eastAsia="仿宋" w:cs="仿宋"/>
          <w:b w:val="0"/>
          <w:bCs w:val="0"/>
        </w:rPr>
      </w:pPr>
      <w:r>
        <w:rPr>
          <w:rFonts w:hint="eastAsia" w:ascii="Times New Roman" w:hAnsi="Times New Roman" w:eastAsia="仿宋" w:cs="仿宋"/>
          <w:b w:val="0"/>
          <w:bCs w:val="0"/>
          <w:sz w:val="32"/>
          <w:szCs w:val="32"/>
        </w:rPr>
        <w:t>6.公共阅读奖励申报材料，详见附件</w:t>
      </w:r>
      <w:r>
        <w:rPr>
          <w:rFonts w:hint="eastAsia" w:ascii="Times New Roman" w:hAnsi="Times New Roman" w:eastAsia="仿宋" w:cs="仿宋"/>
          <w:b w:val="0"/>
          <w:bCs w:val="0"/>
          <w:sz w:val="32"/>
          <w:szCs w:val="32"/>
          <w:lang w:val="en-US" w:eastAsia="zh-CN"/>
        </w:rPr>
        <w:t>8</w:t>
      </w:r>
      <w:r>
        <w:rPr>
          <w:rFonts w:hint="eastAsia" w:ascii="Times New Roman" w:hAnsi="Times New Roman" w:eastAsia="仿宋" w:cs="仿宋"/>
          <w:b w:val="0"/>
          <w:bCs w:val="0"/>
          <w:sz w:val="32"/>
          <w:szCs w:val="32"/>
        </w:rPr>
        <w:t>。</w:t>
      </w:r>
    </w:p>
    <w:p w14:paraId="64A0CCD1">
      <w:pPr>
        <w:spacing w:line="576" w:lineRule="exact"/>
        <w:ind w:firstLine="640" w:firstLineChars="200"/>
        <w:jc w:val="left"/>
        <w:rPr>
          <w:rFonts w:ascii="黑体" w:hAnsi="黑体" w:eastAsia="黑体" w:cs="黑体"/>
          <w:b/>
          <w:bCs/>
          <w:color w:val="000000"/>
          <w:sz w:val="32"/>
          <w:szCs w:val="32"/>
        </w:rPr>
      </w:pPr>
      <w:r>
        <w:rPr>
          <w:rFonts w:hint="eastAsia" w:ascii="Times New Roman" w:hAnsi="Times New Roman" w:eastAsia="黑体" w:cs="黑体"/>
          <w:bCs/>
          <w:color w:val="000000"/>
          <w:sz w:val="32"/>
          <w:szCs w:val="32"/>
        </w:rPr>
        <w:t>五、工作流程</w:t>
      </w:r>
    </w:p>
    <w:p w14:paraId="4B4EA38B">
      <w:pPr>
        <w:numPr>
          <w:ilvl w:val="0"/>
          <w:numId w:val="0"/>
        </w:numPr>
        <w:spacing w:line="576" w:lineRule="exact"/>
        <w:ind w:left="0" w:leftChars="0" w:firstLine="420" w:firstLineChars="0"/>
        <w:rPr>
          <w:rFonts w:ascii="仿宋" w:hAnsi="仿宋" w:eastAsia="仿宋" w:cs="仿宋"/>
          <w:color w:val="000000"/>
          <w:sz w:val="32"/>
          <w:szCs w:val="32"/>
          <w:u w:val="none"/>
        </w:rPr>
      </w:pPr>
      <w:r>
        <w:rPr>
          <w:rFonts w:hint="eastAsia" w:ascii="Times New Roman" w:hAnsi="Times New Roman" w:eastAsia="楷体" w:cs="仿宋"/>
          <w:color w:val="000000"/>
          <w:kern w:val="2"/>
          <w:sz w:val="32"/>
          <w:szCs w:val="32"/>
          <w:u w:val="none"/>
          <w:lang w:val="en-US" w:eastAsia="zh-CN" w:bidi="ar-SA"/>
        </w:rPr>
        <w:t>（一）</w:t>
      </w:r>
      <w:r>
        <w:rPr>
          <w:rFonts w:hint="eastAsia" w:eastAsia="楷体" w:cs="仿宋"/>
          <w:color w:val="000000"/>
          <w:kern w:val="2"/>
          <w:sz w:val="32"/>
          <w:szCs w:val="32"/>
          <w:u w:val="none"/>
          <w:lang w:val="en-US" w:eastAsia="zh-CN" w:bidi="ar-SA"/>
        </w:rPr>
        <w:t>线上资料</w:t>
      </w:r>
      <w:r>
        <w:rPr>
          <w:rFonts w:hint="eastAsia" w:ascii="Times New Roman" w:hAnsi="Times New Roman" w:eastAsia="楷体" w:cs="仿宋"/>
          <w:color w:val="000000"/>
          <w:sz w:val="32"/>
          <w:szCs w:val="32"/>
          <w:u w:val="none"/>
        </w:rPr>
        <w:t>申报</w:t>
      </w:r>
    </w:p>
    <w:p w14:paraId="04956840">
      <w:pPr>
        <w:pStyle w:val="4"/>
        <w:spacing w:before="0" w:after="0" w:line="576" w:lineRule="exact"/>
        <w:ind w:firstLine="640" w:firstLineChars="200"/>
        <w:rPr>
          <w:rFonts w:hint="default" w:ascii="Times New Roman" w:hAnsi="Times New Roman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仿宋"/>
          <w:b w:val="0"/>
          <w:bCs w:val="0"/>
          <w:sz w:val="32"/>
          <w:szCs w:val="32"/>
        </w:rPr>
        <w:t>申报单位</w:t>
      </w:r>
      <w:r>
        <w:rPr>
          <w:rFonts w:hint="eastAsia" w:ascii="Times New Roman" w:hAnsi="Times New Roman" w:eastAsia="仿宋" w:cs="仿宋"/>
          <w:b w:val="0"/>
          <w:bCs w:val="0"/>
          <w:sz w:val="32"/>
          <w:szCs w:val="32"/>
          <w:lang w:val="en-US" w:eastAsia="zh-CN"/>
        </w:rPr>
        <w:t>统一登录北京市人民政府门户网站“政策兑现专区”</w:t>
      </w:r>
      <w:r>
        <w:rPr>
          <w:rFonts w:hint="eastAsia" w:ascii="Times New Roman" w:hAnsi="Times New Roman" w:eastAsia="仿宋" w:cs="仿宋"/>
          <w:b w:val="0"/>
          <w:bCs w:val="0"/>
          <w:sz w:val="32"/>
          <w:szCs w:val="32"/>
        </w:rPr>
        <w:t>（http</w:t>
      </w:r>
      <w:r>
        <w:rPr>
          <w:rFonts w:hint="eastAsia" w:ascii="Times New Roman" w:hAnsi="Times New Roman" w:eastAsia="仿宋" w:cs="仿宋"/>
          <w:b w:val="0"/>
          <w:bCs w:val="0"/>
          <w:sz w:val="32"/>
          <w:szCs w:val="32"/>
          <w:lang w:val="en-US" w:eastAsia="zh-CN"/>
        </w:rPr>
        <w:t>s</w:t>
      </w:r>
      <w:r>
        <w:rPr>
          <w:rFonts w:hint="eastAsia" w:ascii="Times New Roman" w:hAnsi="Times New Roman" w:eastAsia="仿宋" w:cs="仿宋"/>
          <w:b w:val="0"/>
          <w:bCs w:val="0"/>
          <w:sz w:val="32"/>
          <w:szCs w:val="32"/>
        </w:rPr>
        <w:t>://</w:t>
      </w:r>
      <w:r>
        <w:rPr>
          <w:rFonts w:hint="eastAsia" w:ascii="Times New Roman" w:hAnsi="Times New Roman" w:eastAsia="仿宋" w:cs="仿宋"/>
          <w:b w:val="0"/>
          <w:bCs w:val="0"/>
          <w:sz w:val="32"/>
          <w:szCs w:val="32"/>
          <w:lang w:val="en-US" w:eastAsia="zh-CN"/>
        </w:rPr>
        <w:t>zhengce</w:t>
      </w:r>
      <w:r>
        <w:rPr>
          <w:rFonts w:hint="eastAsia" w:ascii="Times New Roman" w:hAnsi="Times New Roman" w:eastAsia="仿宋" w:cs="仿宋"/>
          <w:b w:val="0"/>
          <w:bCs w:val="0"/>
          <w:sz w:val="32"/>
          <w:szCs w:val="32"/>
        </w:rPr>
        <w:t>.</w:t>
      </w:r>
      <w:r>
        <w:rPr>
          <w:rFonts w:hint="eastAsia" w:ascii="Times New Roman" w:hAnsi="Times New Roman" w:eastAsia="仿宋" w:cs="仿宋"/>
          <w:b w:val="0"/>
          <w:bCs w:val="0"/>
          <w:sz w:val="32"/>
          <w:szCs w:val="32"/>
          <w:lang w:val="en-US" w:eastAsia="zh-CN"/>
        </w:rPr>
        <w:t>beijing</w:t>
      </w:r>
      <w:r>
        <w:rPr>
          <w:rFonts w:hint="eastAsia" w:ascii="Times New Roman" w:hAnsi="Times New Roman" w:eastAsia="仿宋" w:cs="仿宋"/>
          <w:b w:val="0"/>
          <w:bCs w:val="0"/>
          <w:sz w:val="32"/>
          <w:szCs w:val="32"/>
        </w:rPr>
        <w:t>.gov.cn）</w:t>
      </w:r>
      <w:r>
        <w:rPr>
          <w:rFonts w:hint="eastAsia" w:ascii="Times New Roman" w:hAnsi="Times New Roman" w:eastAsia="仿宋" w:cs="仿宋"/>
          <w:b w:val="0"/>
          <w:bCs w:val="0"/>
          <w:sz w:val="32"/>
          <w:szCs w:val="32"/>
          <w:lang w:val="en-US" w:eastAsia="zh-CN"/>
        </w:rPr>
        <w:t>选择相</w:t>
      </w:r>
      <w:bookmarkStart w:id="0" w:name="_GoBack"/>
      <w:bookmarkEnd w:id="0"/>
      <w:r>
        <w:rPr>
          <w:rFonts w:hint="eastAsia" w:ascii="Times New Roman" w:hAnsi="Times New Roman" w:eastAsia="仿宋" w:cs="仿宋"/>
          <w:b w:val="0"/>
          <w:bCs w:val="0"/>
          <w:sz w:val="32"/>
          <w:szCs w:val="32"/>
          <w:lang w:val="en-US" w:eastAsia="zh-CN"/>
        </w:rPr>
        <w:t>应的项目进行申报并在线提交材料。</w:t>
      </w:r>
    </w:p>
    <w:p w14:paraId="4DE0C2FF">
      <w:pPr>
        <w:numPr>
          <w:ilvl w:val="0"/>
          <w:numId w:val="0"/>
        </w:numPr>
        <w:spacing w:line="576" w:lineRule="exact"/>
        <w:ind w:left="0" w:leftChars="0" w:firstLine="420" w:firstLineChars="0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Times New Roman" w:hAnsi="Times New Roman" w:eastAsia="楷体" w:cs="仿宋"/>
          <w:color w:val="000000"/>
          <w:kern w:val="2"/>
          <w:sz w:val="32"/>
          <w:szCs w:val="32"/>
          <w:lang w:val="en-US" w:eastAsia="zh-CN" w:bidi="ar-SA"/>
        </w:rPr>
        <w:t>（二）</w:t>
      </w:r>
      <w:r>
        <w:rPr>
          <w:rFonts w:hint="eastAsia" w:ascii="Times New Roman" w:hAnsi="Times New Roman" w:eastAsia="楷体" w:cs="仿宋"/>
          <w:color w:val="000000"/>
          <w:sz w:val="32"/>
          <w:szCs w:val="32"/>
        </w:rPr>
        <w:t>资料受理</w:t>
      </w:r>
    </w:p>
    <w:p w14:paraId="7951A021">
      <w:pPr>
        <w:spacing w:line="576" w:lineRule="exact"/>
        <w:ind w:firstLine="640" w:firstLineChars="200"/>
        <w:jc w:val="both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Times New Roman" w:hAnsi="Times New Roman" w:eastAsia="仿宋" w:cs="仿宋"/>
          <w:b w:val="0"/>
          <w:bCs w:val="0"/>
          <w:kern w:val="2"/>
          <w:sz w:val="32"/>
          <w:szCs w:val="32"/>
          <w:lang w:val="en-US" w:eastAsia="zh-CN" w:bidi="ar-SA"/>
        </w:rPr>
        <w:t>申报单位按指南要求准确填报申报资料，经线上审核后，申报单位将系统内的基础申报材料及附件下载，装订成纸质版资料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（盖章）胶装后（一式两份）于2026年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11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月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12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日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17:00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前提交至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北京市西城区北三华中路6号首文科集团A座11层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（可快递邮寄）；电子版（盖章纸质材料扫描版+Word版）于2026年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11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月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12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日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19:00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前以申报单位名称为邮件主题发送至指定邮箱（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944398963@qq.com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）。</w:t>
      </w:r>
    </w:p>
    <w:p w14:paraId="2BC9B5D5">
      <w:pPr>
        <w:numPr>
          <w:ilvl w:val="0"/>
          <w:numId w:val="0"/>
        </w:numPr>
        <w:spacing w:line="576" w:lineRule="exact"/>
        <w:ind w:left="0" w:leftChars="0" w:firstLine="420" w:firstLineChars="0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Times New Roman" w:hAnsi="Times New Roman" w:eastAsia="楷体" w:cs="仿宋"/>
          <w:color w:val="000000"/>
          <w:kern w:val="2"/>
          <w:sz w:val="32"/>
          <w:szCs w:val="32"/>
          <w:lang w:val="en-US" w:eastAsia="zh-CN" w:bidi="ar-SA"/>
        </w:rPr>
        <w:t>（三）</w:t>
      </w:r>
      <w:r>
        <w:rPr>
          <w:rFonts w:hint="eastAsia" w:ascii="Times New Roman" w:hAnsi="Times New Roman" w:eastAsia="楷体" w:cs="仿宋"/>
          <w:color w:val="000000"/>
          <w:sz w:val="32"/>
          <w:szCs w:val="32"/>
        </w:rPr>
        <w:t>项目审核</w:t>
      </w:r>
    </w:p>
    <w:p w14:paraId="2ECAC7FA">
      <w:pPr>
        <w:spacing w:line="576" w:lineRule="exact"/>
        <w:ind w:firstLine="640" w:firstLineChars="200"/>
        <w:jc w:val="both"/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</w:pPr>
      <w:r>
        <w:rPr>
          <w:rFonts w:hint="eastAsia" w:ascii="Times New Roman" w:hAnsi="Times New Roman" w:eastAsia="仿宋" w:cs="仿宋"/>
          <w:color w:val="000000"/>
          <w:sz w:val="32"/>
          <w:szCs w:val="32"/>
        </w:rPr>
        <w:t>丰台区委宣传部（丰台区新闻出版局）会同第三方服务机构组织开展项目材料审核工作，组织专家依据评分表开展集中评审，对项目真实性、财务资料等内容进行审核。</w:t>
      </w:r>
    </w:p>
    <w:p w14:paraId="2FDB376E">
      <w:pPr>
        <w:spacing w:line="576" w:lineRule="exact"/>
        <w:ind w:left="420" w:leftChars="200" w:firstLine="320" w:firstLineChars="100"/>
        <w:jc w:val="left"/>
        <w:rPr>
          <w:rFonts w:ascii="黑体" w:hAnsi="黑体" w:eastAsia="黑体" w:cs="黑体"/>
          <w:b/>
          <w:bCs/>
          <w:color w:val="000000"/>
          <w:sz w:val="32"/>
          <w:szCs w:val="32"/>
        </w:rPr>
      </w:pPr>
      <w:r>
        <w:rPr>
          <w:rFonts w:hint="eastAsia" w:ascii="Times New Roman" w:hAnsi="Times New Roman" w:eastAsia="黑体" w:cs="黑体"/>
          <w:bCs/>
          <w:color w:val="000000"/>
          <w:sz w:val="32"/>
          <w:szCs w:val="32"/>
        </w:rPr>
        <w:t>六、申报要求</w:t>
      </w:r>
    </w:p>
    <w:p w14:paraId="1BD38A5E">
      <w:pPr>
        <w:adjustRightInd w:val="0"/>
        <w:snapToGrid w:val="0"/>
        <w:spacing w:line="576" w:lineRule="exact"/>
        <w:ind w:firstLine="640" w:firstLineChars="200"/>
        <w:jc w:val="both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（一）申报单位应根据实际情况如实申报，并对材料的真实性、合法性、有效性负责，不得虚报、瞒报。</w:t>
      </w:r>
    </w:p>
    <w:p w14:paraId="31FB5E9C">
      <w:pPr>
        <w:adjustRightInd w:val="0"/>
        <w:snapToGrid w:val="0"/>
        <w:spacing w:line="576" w:lineRule="exact"/>
        <w:ind w:firstLine="640" w:firstLineChars="200"/>
        <w:jc w:val="both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（二）申报单位申报的实体书店开业时间以首次取得《出版物经营许可证》发证日期为准。</w:t>
      </w:r>
    </w:p>
    <w:p w14:paraId="14298FA3">
      <w:pPr>
        <w:adjustRightInd w:val="0"/>
        <w:snapToGrid w:val="0"/>
        <w:spacing w:line="576" w:lineRule="exact"/>
        <w:ind w:firstLine="640" w:firstLineChars="200"/>
        <w:jc w:val="both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（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三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）申报单位应具备健全的财务、安全等管理制度，安全管理记录完备，安全设备齐全有效。</w:t>
      </w:r>
    </w:p>
    <w:p w14:paraId="5F994A0B">
      <w:pPr>
        <w:adjustRightInd w:val="0"/>
        <w:snapToGrid w:val="0"/>
        <w:spacing w:line="576" w:lineRule="exact"/>
        <w:ind w:firstLine="640" w:firstLineChars="200"/>
        <w:jc w:val="both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（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四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）申报单位应根据本单位实际情况如实申报，不得虚报、瞒报，对弄虚作假的单位，一经查实，取消其申报资格。</w:t>
      </w:r>
    </w:p>
    <w:p w14:paraId="18A3A8B2">
      <w:pPr>
        <w:adjustRightInd w:val="0"/>
        <w:snapToGrid w:val="0"/>
        <w:spacing w:line="576" w:lineRule="exact"/>
        <w:ind w:firstLine="640" w:firstLineChars="200"/>
        <w:jc w:val="both"/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（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五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）申报单位需具有一定的持续运营能力，凡经评审后拟获得扶持的实体书店，资金拨付前停止经营的，一律不予资金扶持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。</w:t>
      </w:r>
    </w:p>
    <w:p w14:paraId="5C6D062F">
      <w:pPr>
        <w:pStyle w:val="2"/>
        <w:spacing w:after="0" w:line="360" w:lineRule="auto"/>
        <w:ind w:left="1470" w:right="1470"/>
      </w:pPr>
    </w:p>
    <w:p w14:paraId="78FEA7F3">
      <w:pPr>
        <w:spacing w:line="360" w:lineRule="auto"/>
        <w:jc w:val="center"/>
        <w:rPr>
          <w:rFonts w:ascii="仿宋" w:hAnsi="仿宋" w:eastAsia="仿宋" w:cs="仿宋"/>
          <w:sz w:val="32"/>
          <w:szCs w:val="32"/>
        </w:rPr>
      </w:pPr>
    </w:p>
    <w:p w14:paraId="1DCE1778"/>
    <w:p w14:paraId="01F2E0E6">
      <w:pPr>
        <w:spacing w:line="576" w:lineRule="exact"/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11B0B57-446C-4734-9BAF-05E3C4ECE652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EB81A37A-0115-4F24-A459-149E7CD33884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88717DD7-4AEF-4DB6-A366-8434BC82C62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4632E4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EA3DBF8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EqXIvP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EA3DBF8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F5082F6"/>
    <w:multiLevelType w:val="singleLevel"/>
    <w:tmpl w:val="7F5082F6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 w:ascii="仿宋" w:hAnsi="仿宋" w:eastAsia="仿宋" w:cs="仿宋"/>
        <w:sz w:val="32"/>
        <w:szCs w:val="32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lmMTA0ZWY5NmM5ZTMwNGMzYTcyNDNiZWZjMDQxZTcifQ=="/>
  </w:docVars>
  <w:rsids>
    <w:rsidRoot w:val="7FEA6822"/>
    <w:rsid w:val="00012AB6"/>
    <w:rsid w:val="000D0B09"/>
    <w:rsid w:val="001B65E4"/>
    <w:rsid w:val="00234B9F"/>
    <w:rsid w:val="00403D66"/>
    <w:rsid w:val="00480E5E"/>
    <w:rsid w:val="004A2D71"/>
    <w:rsid w:val="00586659"/>
    <w:rsid w:val="006637B4"/>
    <w:rsid w:val="00676BB8"/>
    <w:rsid w:val="007A3F1D"/>
    <w:rsid w:val="00BB5765"/>
    <w:rsid w:val="00BC796D"/>
    <w:rsid w:val="00E40ED3"/>
    <w:rsid w:val="00E438BD"/>
    <w:rsid w:val="01AE14BE"/>
    <w:rsid w:val="02941559"/>
    <w:rsid w:val="0A84735B"/>
    <w:rsid w:val="0B6957B4"/>
    <w:rsid w:val="0C4C3DB3"/>
    <w:rsid w:val="0D5130BC"/>
    <w:rsid w:val="0D914897"/>
    <w:rsid w:val="0DC42DDE"/>
    <w:rsid w:val="0E80608C"/>
    <w:rsid w:val="0F753717"/>
    <w:rsid w:val="0F864D8E"/>
    <w:rsid w:val="10354C54"/>
    <w:rsid w:val="113E1F8B"/>
    <w:rsid w:val="121D1DB4"/>
    <w:rsid w:val="14AB3737"/>
    <w:rsid w:val="152E3455"/>
    <w:rsid w:val="162163A6"/>
    <w:rsid w:val="1B030516"/>
    <w:rsid w:val="1B2E6E70"/>
    <w:rsid w:val="1BD42414"/>
    <w:rsid w:val="1C9F3BD8"/>
    <w:rsid w:val="1EAC519A"/>
    <w:rsid w:val="1F062904"/>
    <w:rsid w:val="1F0F20D8"/>
    <w:rsid w:val="1F1B6EBF"/>
    <w:rsid w:val="1F8F25D3"/>
    <w:rsid w:val="200B777F"/>
    <w:rsid w:val="20140E60"/>
    <w:rsid w:val="20436EB8"/>
    <w:rsid w:val="20756A3A"/>
    <w:rsid w:val="20FC5AEC"/>
    <w:rsid w:val="211803A6"/>
    <w:rsid w:val="21742C62"/>
    <w:rsid w:val="217750CC"/>
    <w:rsid w:val="223F3807"/>
    <w:rsid w:val="233010F3"/>
    <w:rsid w:val="2330122D"/>
    <w:rsid w:val="2383313D"/>
    <w:rsid w:val="24264D2A"/>
    <w:rsid w:val="26B32407"/>
    <w:rsid w:val="28E77AA9"/>
    <w:rsid w:val="2B4B1CFD"/>
    <w:rsid w:val="2BD82076"/>
    <w:rsid w:val="2CFA0D8F"/>
    <w:rsid w:val="302F1268"/>
    <w:rsid w:val="31564406"/>
    <w:rsid w:val="355F206B"/>
    <w:rsid w:val="35753BC1"/>
    <w:rsid w:val="35AC3D67"/>
    <w:rsid w:val="36847CBF"/>
    <w:rsid w:val="39176B44"/>
    <w:rsid w:val="39BB639D"/>
    <w:rsid w:val="3B950819"/>
    <w:rsid w:val="3BBF0FED"/>
    <w:rsid w:val="3BD333EF"/>
    <w:rsid w:val="3C065573"/>
    <w:rsid w:val="3D9D4C9E"/>
    <w:rsid w:val="3E946AD5"/>
    <w:rsid w:val="3FF878C8"/>
    <w:rsid w:val="41744D2D"/>
    <w:rsid w:val="41986C6D"/>
    <w:rsid w:val="41FF63AE"/>
    <w:rsid w:val="4200004D"/>
    <w:rsid w:val="42084B73"/>
    <w:rsid w:val="42C83582"/>
    <w:rsid w:val="447E6FD4"/>
    <w:rsid w:val="44ED72D0"/>
    <w:rsid w:val="45E7072C"/>
    <w:rsid w:val="46666A83"/>
    <w:rsid w:val="4678558A"/>
    <w:rsid w:val="46F1531B"/>
    <w:rsid w:val="49B06F76"/>
    <w:rsid w:val="4C045C07"/>
    <w:rsid w:val="4D2745FF"/>
    <w:rsid w:val="4D553F4E"/>
    <w:rsid w:val="4D714816"/>
    <w:rsid w:val="4E2A64AB"/>
    <w:rsid w:val="4EDD659A"/>
    <w:rsid w:val="4F035942"/>
    <w:rsid w:val="4F997951"/>
    <w:rsid w:val="50C86E43"/>
    <w:rsid w:val="51C56C17"/>
    <w:rsid w:val="51ED0AFD"/>
    <w:rsid w:val="52780637"/>
    <w:rsid w:val="53192C95"/>
    <w:rsid w:val="53944FD0"/>
    <w:rsid w:val="53AE0371"/>
    <w:rsid w:val="5782397B"/>
    <w:rsid w:val="57893FA4"/>
    <w:rsid w:val="597A4A53"/>
    <w:rsid w:val="5AC95C92"/>
    <w:rsid w:val="5B2A2A5F"/>
    <w:rsid w:val="5B82226E"/>
    <w:rsid w:val="5DF93DDF"/>
    <w:rsid w:val="60A410F1"/>
    <w:rsid w:val="62F51D1A"/>
    <w:rsid w:val="63497970"/>
    <w:rsid w:val="637E1B09"/>
    <w:rsid w:val="66230785"/>
    <w:rsid w:val="664A237C"/>
    <w:rsid w:val="6691478D"/>
    <w:rsid w:val="66BE231E"/>
    <w:rsid w:val="67A85640"/>
    <w:rsid w:val="6CFE48B8"/>
    <w:rsid w:val="6D3F78D1"/>
    <w:rsid w:val="6E8B3532"/>
    <w:rsid w:val="700A1015"/>
    <w:rsid w:val="72452668"/>
    <w:rsid w:val="72AC58A2"/>
    <w:rsid w:val="730B6B11"/>
    <w:rsid w:val="76967A9F"/>
    <w:rsid w:val="76B01E81"/>
    <w:rsid w:val="772F638A"/>
    <w:rsid w:val="77ED700C"/>
    <w:rsid w:val="79C22EB1"/>
    <w:rsid w:val="7BEF4F7C"/>
    <w:rsid w:val="7C0861C2"/>
    <w:rsid w:val="7C2D5C29"/>
    <w:rsid w:val="7D415668"/>
    <w:rsid w:val="7D4A461A"/>
    <w:rsid w:val="7FCC1E0C"/>
    <w:rsid w:val="7FE230A9"/>
    <w:rsid w:val="7FEA6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99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link w:val="16"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17"/>
    <w:unhideWhenUsed/>
    <w:qFormat/>
    <w:uiPriority w:val="0"/>
    <w:pPr>
      <w:keepNext/>
      <w:keepLines/>
      <w:spacing w:before="260" w:after="260" w:line="416" w:lineRule="auto"/>
      <w:outlineLvl w:val="2"/>
    </w:pPr>
    <w:rPr>
      <w:rFonts w:ascii="Calibri" w:hAnsi="Calibri" w:eastAsia="宋体" w:cs="Times New Roman"/>
      <w:b/>
      <w:bCs/>
      <w:sz w:val="32"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lock Text"/>
    <w:basedOn w:val="1"/>
    <w:unhideWhenUsed/>
    <w:qFormat/>
    <w:uiPriority w:val="99"/>
    <w:pPr>
      <w:spacing w:after="120"/>
      <w:ind w:left="1440" w:leftChars="700" w:right="1440" w:rightChars="700"/>
    </w:pPr>
  </w:style>
  <w:style w:type="paragraph" w:styleId="5">
    <w:name w:val="Document Map"/>
    <w:basedOn w:val="1"/>
    <w:link w:val="13"/>
    <w:qFormat/>
    <w:uiPriority w:val="0"/>
    <w:rPr>
      <w:rFonts w:ascii="宋体" w:eastAsia="宋体"/>
      <w:sz w:val="18"/>
      <w:szCs w:val="18"/>
    </w:rPr>
  </w:style>
  <w:style w:type="paragraph" w:styleId="6">
    <w:name w:val="annotation text"/>
    <w:basedOn w:val="1"/>
    <w:qFormat/>
    <w:uiPriority w:val="0"/>
    <w:pPr>
      <w:jc w:val="left"/>
    </w:pPr>
  </w:style>
  <w:style w:type="paragraph" w:styleId="7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2">
    <w:name w:val="Strong"/>
    <w:basedOn w:val="11"/>
    <w:qFormat/>
    <w:uiPriority w:val="0"/>
    <w:rPr>
      <w:b/>
    </w:rPr>
  </w:style>
  <w:style w:type="character" w:customStyle="1" w:styleId="13">
    <w:name w:val="文档结构图 Char"/>
    <w:basedOn w:val="11"/>
    <w:link w:val="5"/>
    <w:qFormat/>
    <w:uiPriority w:val="0"/>
    <w:rPr>
      <w:rFonts w:ascii="宋体" w:hAnsi="Times New Roman" w:eastAsia="宋体"/>
      <w:kern w:val="2"/>
      <w:sz w:val="18"/>
      <w:szCs w:val="18"/>
    </w:rPr>
  </w:style>
  <w:style w:type="character" w:customStyle="1" w:styleId="14">
    <w:name w:val="页眉 Char"/>
    <w:basedOn w:val="11"/>
    <w:link w:val="8"/>
    <w:qFormat/>
    <w:uiPriority w:val="0"/>
    <w:rPr>
      <w:rFonts w:ascii="Times New Roman" w:hAnsi="Times New Roman"/>
      <w:kern w:val="2"/>
      <w:sz w:val="18"/>
      <w:szCs w:val="18"/>
    </w:rPr>
  </w:style>
  <w:style w:type="character" w:customStyle="1" w:styleId="15">
    <w:name w:val="页脚 Char"/>
    <w:basedOn w:val="11"/>
    <w:link w:val="7"/>
    <w:qFormat/>
    <w:uiPriority w:val="0"/>
    <w:rPr>
      <w:rFonts w:ascii="Times New Roman" w:hAnsi="Times New Roman"/>
      <w:kern w:val="2"/>
      <w:sz w:val="18"/>
      <w:szCs w:val="18"/>
    </w:rPr>
  </w:style>
  <w:style w:type="character" w:customStyle="1" w:styleId="16">
    <w:name w:val="标题 2 Char"/>
    <w:basedOn w:val="11"/>
    <w:link w:val="3"/>
    <w:qFormat/>
    <w:uiPriority w:val="0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character" w:customStyle="1" w:styleId="17">
    <w:name w:val="标题 3 Char"/>
    <w:basedOn w:val="11"/>
    <w:link w:val="4"/>
    <w:qFormat/>
    <w:uiPriority w:val="0"/>
    <w:rPr>
      <w:rFonts w:ascii="Calibri" w:hAnsi="Calibri" w:eastAsia="宋体" w:cs="Times New Roman"/>
      <w:b/>
      <w:bCs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435</Words>
  <Characters>448</Characters>
  <Lines>23</Lines>
  <Paragraphs>6</Paragraphs>
  <TotalTime>5</TotalTime>
  <ScaleCrop>false</ScaleCrop>
  <LinksUpToDate>false</LinksUpToDate>
  <CharactersWithSpaces>448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2022-07-19T05:55:00Z</dcterms:created>
  <dc:creator>Leessang_</dc:creator>
  <cp:lastModifiedBy>李佳诺</cp:lastModifiedBy>
  <cp:lastPrinted>2026-11-03T12:28:00Z</cp:lastPrinted>
  <dcterms:modified xsi:type="dcterms:W3CDTF">2026-11-06T03:17:15Z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9DD4EF0BE54A4206858DD16CE1F11EF0_13</vt:lpwstr>
  </property>
  <property fmtid="{D5CDD505-2E9C-101B-9397-08002B2CF9AE}" pid="4" name="KSOTemplateDocerSaveRecord">
    <vt:lpwstr>eyJoZGlkIjoiZDgwMTUyNGExOWJlMDJiN2Y0ZjlmMzI0MmZmMzc0YzIiLCJ1c2VySWQiOiIxNjg4NjA3OTc0In0=</vt:lpwstr>
  </property>
</Properties>
</file>