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  <w:t>2026年</w:t>
      </w:r>
      <w:bookmarkStart w:id="0" w:name="_GoBack"/>
      <w:bookmarkEnd w:id="0"/>
      <w:r>
        <w:rPr>
          <w:rFonts w:hint="eastAsia" w:ascii="方正小标宋简体" w:eastAsia="方正小标宋简体" w:hAnsiTheme="minorEastAsia"/>
          <w:sz w:val="44"/>
          <w:szCs w:val="44"/>
        </w:rPr>
        <w:t>一季度丰台区经济运行情况</w:t>
      </w:r>
    </w:p>
    <w:p>
      <w:pPr>
        <w:pStyle w:val="2"/>
        <w:jc w:val="center"/>
      </w:pPr>
    </w:p>
    <w:p>
      <w:pPr>
        <w:widowControl/>
        <w:ind w:firstLine="560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一季度，全区认真贯彻落实党中央、国务院决策部署和市委、市政府工作要求，坚持稳中求进工作总基调，积极扩大内需、优化供给、盘存量、促增量，做好助企稳企各项工作，全区经济实现平稳开局。</w:t>
      </w:r>
    </w:p>
    <w:p>
      <w:pPr>
        <w:pStyle w:val="2"/>
        <w:spacing w:line="600" w:lineRule="exact"/>
        <w:ind w:firstLine="550" w:firstLineChars="196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一、农业</w:t>
      </w:r>
    </w:p>
    <w:p>
      <w:pPr>
        <w:pStyle w:val="2"/>
        <w:spacing w:line="600" w:lineRule="exact"/>
        <w:ind w:left="-2" w:firstLine="560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一季度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</w:rPr>
        <w:t>全区实现</w:t>
      </w:r>
      <w:r>
        <w:rPr>
          <w:rFonts w:ascii="仿宋_GB2312" w:eastAsia="仿宋_GB2312"/>
          <w:sz w:val="28"/>
          <w:szCs w:val="28"/>
        </w:rPr>
        <w:t>农</w:t>
      </w:r>
      <w:r>
        <w:rPr>
          <w:rFonts w:hint="eastAsia" w:ascii="仿宋_GB2312" w:eastAsia="仿宋_GB2312"/>
          <w:sz w:val="28"/>
          <w:szCs w:val="28"/>
        </w:rPr>
        <w:t>林牧渔</w:t>
      </w:r>
      <w:r>
        <w:rPr>
          <w:rFonts w:ascii="仿宋_GB2312" w:eastAsia="仿宋_GB2312"/>
          <w:sz w:val="28"/>
          <w:szCs w:val="28"/>
        </w:rPr>
        <w:t>业总产值</w:t>
      </w:r>
      <w:r>
        <w:rPr>
          <w:rFonts w:hint="eastAsia" w:ascii="仿宋_GB2312" w:eastAsia="仿宋_GB2312"/>
          <w:sz w:val="28"/>
          <w:szCs w:val="28"/>
        </w:rPr>
        <w:t>2439.7万元</w:t>
      </w:r>
      <w:r>
        <w:rPr>
          <w:rFonts w:ascii="仿宋_GB2312" w:eastAsia="仿宋_GB2312"/>
          <w:sz w:val="28"/>
          <w:szCs w:val="28"/>
        </w:rPr>
        <w:t>，比上年</w:t>
      </w:r>
      <w:r>
        <w:rPr>
          <w:rFonts w:hint="eastAsia" w:ascii="仿宋_GB2312" w:eastAsia="仿宋_GB2312"/>
          <w:sz w:val="28"/>
          <w:szCs w:val="28"/>
        </w:rPr>
        <w:t>同期增长11%</w:t>
      </w:r>
      <w:r>
        <w:rPr>
          <w:rFonts w:ascii="仿宋_GB2312" w:eastAsia="仿宋_GB2312"/>
          <w:sz w:val="28"/>
          <w:szCs w:val="28"/>
        </w:rPr>
        <w:t>。其中</w:t>
      </w:r>
      <w:r>
        <w:rPr>
          <w:rFonts w:hint="eastAsia" w:ascii="仿宋_GB2312" w:eastAsia="仿宋_GB2312"/>
          <w:sz w:val="28"/>
          <w:szCs w:val="28"/>
        </w:rPr>
        <w:t>，农业产值388.5万元,增长38.8%；林业产值2022万元,增长7.1%。</w:t>
      </w:r>
    </w:p>
    <w:p>
      <w:pPr>
        <w:tabs>
          <w:tab w:val="left" w:pos="5760"/>
        </w:tabs>
        <w:spacing w:line="600" w:lineRule="exact"/>
        <w:ind w:right="-15" w:firstLine="550" w:firstLineChars="196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二、工业生产</w:t>
      </w:r>
    </w:p>
    <w:p>
      <w:pPr>
        <w:tabs>
          <w:tab w:val="left" w:pos="5760"/>
        </w:tabs>
        <w:spacing w:line="600" w:lineRule="exact"/>
        <w:ind w:right="-15" w:firstLine="560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一季度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</w:rPr>
        <w:t>全区规模以上工业企业实现工业总产值78.3亿元，比上年同期增长6.7%。从主要行业看，专用设备制造业增长39.6%，非金属矿物制品业增长10.4%，铁路、船舶、航空航天和其他运输设备制造业增长4.7%，电力、热力生产和供应业下降0.6%。</w:t>
      </w:r>
    </w:p>
    <w:p>
      <w:pPr>
        <w:tabs>
          <w:tab w:val="left" w:pos="5760"/>
        </w:tabs>
        <w:spacing w:line="600" w:lineRule="exact"/>
        <w:ind w:right="-15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一季度，</w:t>
      </w:r>
      <w:r>
        <w:rPr>
          <w:rFonts w:hint="eastAsia" w:ascii="仿宋_GB2312" w:eastAsia="仿宋_GB2312"/>
          <w:sz w:val="28"/>
          <w:szCs w:val="28"/>
        </w:rPr>
        <w:t>全区规模以上工业企业实现销售产值69.3亿元，比上年同期增长2.4%，其中出口交货值1.9亿元，增长42.7%。</w:t>
      </w:r>
    </w:p>
    <w:p>
      <w:pPr>
        <w:tabs>
          <w:tab w:val="left" w:pos="5760"/>
        </w:tabs>
        <w:spacing w:line="600" w:lineRule="exact"/>
        <w:ind w:right="-15" w:firstLine="550" w:firstLineChars="196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三、固定资产投资</w:t>
      </w:r>
    </w:p>
    <w:p>
      <w:pPr>
        <w:tabs>
          <w:tab w:val="left" w:pos="5760"/>
        </w:tabs>
        <w:spacing w:line="600" w:lineRule="exact"/>
        <w:ind w:right="-15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一季度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</w:rPr>
        <w:t>全区固定资产投资（不含农户）比上年同期增长5.6%。其中，建安投资增长9.6%；基础设施投资增长0.9%。</w:t>
      </w:r>
    </w:p>
    <w:p>
      <w:pPr>
        <w:tabs>
          <w:tab w:val="left" w:pos="5760"/>
        </w:tabs>
        <w:spacing w:line="600" w:lineRule="exact"/>
        <w:ind w:right="-15" w:firstLine="560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分产业看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，第二产业投资比上年同期增长1.5倍；第三产业投资增长4.3%。</w:t>
      </w:r>
    </w:p>
    <w:p>
      <w:pPr>
        <w:pStyle w:val="2"/>
        <w:tabs>
          <w:tab w:val="left" w:pos="5520"/>
        </w:tabs>
        <w:spacing w:line="600" w:lineRule="exact"/>
        <w:ind w:right="18" w:firstLine="550" w:firstLineChars="196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四、房地产开发</w:t>
      </w:r>
    </w:p>
    <w:p>
      <w:pPr>
        <w:pStyle w:val="2"/>
        <w:tabs>
          <w:tab w:val="left" w:pos="5520"/>
        </w:tabs>
        <w:spacing w:line="600" w:lineRule="exact"/>
        <w:ind w:right="18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一季度，全区房地产开发投资比上年同期下降26.5%。其中，住宅投资下降31%。</w:t>
      </w:r>
    </w:p>
    <w:p>
      <w:pPr>
        <w:pStyle w:val="2"/>
        <w:tabs>
          <w:tab w:val="left" w:pos="5520"/>
        </w:tabs>
        <w:spacing w:line="600" w:lineRule="exact"/>
        <w:ind w:right="18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一季度，全区房屋施工面积1026.7万平方米，比上年同期增长1.3%。其中，住宅施工面积579.2万平方米，增长2.6%。全区房屋竣工面积33.2万平方米，其中住宅竣工面积22.6万平方米。</w:t>
      </w:r>
    </w:p>
    <w:p>
      <w:pPr>
        <w:pStyle w:val="2"/>
        <w:spacing w:line="600" w:lineRule="exact"/>
        <w:ind w:right="18" w:firstLine="560" w:firstLineChars="20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一季度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全区</w:t>
      </w:r>
      <w:r>
        <w:rPr>
          <w:rFonts w:hint="eastAsia" w:ascii="仿宋_GB2312" w:eastAsia="仿宋_GB2312"/>
          <w:sz w:val="28"/>
          <w:szCs w:val="28"/>
        </w:rPr>
        <w:t>销售商品房27.7万平方米，比上年同期增长24.7%，其中住宅20万平方米，增长84%。</w:t>
      </w:r>
    </w:p>
    <w:p>
      <w:pPr>
        <w:tabs>
          <w:tab w:val="left" w:pos="5760"/>
        </w:tabs>
        <w:spacing w:line="600" w:lineRule="exact"/>
        <w:ind w:right="-15" w:firstLine="550" w:firstLineChars="196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五、消费品市场</w:t>
      </w:r>
    </w:p>
    <w:p>
      <w:pPr>
        <w:tabs>
          <w:tab w:val="left" w:pos="5760"/>
        </w:tabs>
        <w:spacing w:line="600" w:lineRule="exact"/>
        <w:ind w:right="-15" w:firstLine="560" w:firstLineChars="200"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一季度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</w:rPr>
        <w:t>全区实现社会消费品零售总额208.7亿元，比上年同期下降4.7%。按消费形态分，商品零售179亿元，下降5.6%；餐饮收入29.8亿元，增长1.3%。</w:t>
      </w:r>
    </w:p>
    <w:p>
      <w:pPr>
        <w:pStyle w:val="2"/>
        <w:spacing w:line="600" w:lineRule="exact"/>
        <w:ind w:right="18" w:firstLine="550" w:firstLineChars="196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六、居民收支</w:t>
      </w:r>
    </w:p>
    <w:p>
      <w:pPr>
        <w:pStyle w:val="2"/>
        <w:spacing w:line="600" w:lineRule="exact"/>
        <w:ind w:right="18" w:firstLine="560" w:firstLineChars="200"/>
      </w:pPr>
      <w:r>
        <w:rPr>
          <w:rFonts w:hint="eastAsia" w:ascii="仿宋_GB2312" w:eastAsia="仿宋_GB2312"/>
          <w:sz w:val="28"/>
          <w:szCs w:val="28"/>
        </w:rPr>
        <w:t>一季度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</w:rPr>
        <w:t>全区居民人均可支配收入24974元，比上年同期增长4.6%。人均消费支出14261元，增长2.9%。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5AC"/>
    <w:rsid w:val="0000114E"/>
    <w:rsid w:val="00012C25"/>
    <w:rsid w:val="000147ED"/>
    <w:rsid w:val="000152EF"/>
    <w:rsid w:val="00026A23"/>
    <w:rsid w:val="000332DA"/>
    <w:rsid w:val="00042138"/>
    <w:rsid w:val="000461D8"/>
    <w:rsid w:val="000608DF"/>
    <w:rsid w:val="00061738"/>
    <w:rsid w:val="00072011"/>
    <w:rsid w:val="000745D0"/>
    <w:rsid w:val="000755DC"/>
    <w:rsid w:val="00081D93"/>
    <w:rsid w:val="000835A3"/>
    <w:rsid w:val="000B1DBF"/>
    <w:rsid w:val="000B6B29"/>
    <w:rsid w:val="000B6F51"/>
    <w:rsid w:val="000B7C69"/>
    <w:rsid w:val="000C1C9D"/>
    <w:rsid w:val="000C4C40"/>
    <w:rsid w:val="000D3EE0"/>
    <w:rsid w:val="00104B41"/>
    <w:rsid w:val="00110412"/>
    <w:rsid w:val="00141144"/>
    <w:rsid w:val="00145693"/>
    <w:rsid w:val="001556E2"/>
    <w:rsid w:val="00157646"/>
    <w:rsid w:val="00172FB4"/>
    <w:rsid w:val="00183C75"/>
    <w:rsid w:val="001A6C3E"/>
    <w:rsid w:val="001C263A"/>
    <w:rsid w:val="001D638A"/>
    <w:rsid w:val="001E438C"/>
    <w:rsid w:val="00200E43"/>
    <w:rsid w:val="00204D8B"/>
    <w:rsid w:val="00221ADA"/>
    <w:rsid w:val="00226041"/>
    <w:rsid w:val="002431BD"/>
    <w:rsid w:val="00246755"/>
    <w:rsid w:val="00247DCC"/>
    <w:rsid w:val="00277E82"/>
    <w:rsid w:val="002A0F8D"/>
    <w:rsid w:val="002B05F4"/>
    <w:rsid w:val="002B2610"/>
    <w:rsid w:val="002B40BF"/>
    <w:rsid w:val="002C0542"/>
    <w:rsid w:val="002C375E"/>
    <w:rsid w:val="00303E06"/>
    <w:rsid w:val="00316280"/>
    <w:rsid w:val="00322E70"/>
    <w:rsid w:val="0037605F"/>
    <w:rsid w:val="00381E7C"/>
    <w:rsid w:val="003833B0"/>
    <w:rsid w:val="003B442B"/>
    <w:rsid w:val="003F7243"/>
    <w:rsid w:val="00400FA9"/>
    <w:rsid w:val="00415211"/>
    <w:rsid w:val="00416616"/>
    <w:rsid w:val="0042194F"/>
    <w:rsid w:val="00422EB0"/>
    <w:rsid w:val="0043019B"/>
    <w:rsid w:val="00445637"/>
    <w:rsid w:val="00450F6B"/>
    <w:rsid w:val="00452E3A"/>
    <w:rsid w:val="00474947"/>
    <w:rsid w:val="00482D3A"/>
    <w:rsid w:val="00496D40"/>
    <w:rsid w:val="004A58D3"/>
    <w:rsid w:val="004B45F2"/>
    <w:rsid w:val="004D1B69"/>
    <w:rsid w:val="004F6259"/>
    <w:rsid w:val="00533798"/>
    <w:rsid w:val="005362E4"/>
    <w:rsid w:val="005429BC"/>
    <w:rsid w:val="00560F7A"/>
    <w:rsid w:val="00562C2C"/>
    <w:rsid w:val="00581FDF"/>
    <w:rsid w:val="005933F1"/>
    <w:rsid w:val="005C6C72"/>
    <w:rsid w:val="005E0B1A"/>
    <w:rsid w:val="00621EAB"/>
    <w:rsid w:val="00622E26"/>
    <w:rsid w:val="00626814"/>
    <w:rsid w:val="00632DC2"/>
    <w:rsid w:val="00640EB6"/>
    <w:rsid w:val="00643F6D"/>
    <w:rsid w:val="00645BC8"/>
    <w:rsid w:val="00657BA0"/>
    <w:rsid w:val="006613BE"/>
    <w:rsid w:val="00694AB4"/>
    <w:rsid w:val="0069665F"/>
    <w:rsid w:val="006D5A51"/>
    <w:rsid w:val="006E0A30"/>
    <w:rsid w:val="006F3162"/>
    <w:rsid w:val="007120FE"/>
    <w:rsid w:val="00717111"/>
    <w:rsid w:val="0072294C"/>
    <w:rsid w:val="00752E86"/>
    <w:rsid w:val="00756776"/>
    <w:rsid w:val="00765135"/>
    <w:rsid w:val="00767F7F"/>
    <w:rsid w:val="0077298A"/>
    <w:rsid w:val="00773E32"/>
    <w:rsid w:val="007925C4"/>
    <w:rsid w:val="007A55AC"/>
    <w:rsid w:val="007A7E1E"/>
    <w:rsid w:val="007B108A"/>
    <w:rsid w:val="007E02AD"/>
    <w:rsid w:val="008045D3"/>
    <w:rsid w:val="00822374"/>
    <w:rsid w:val="00844CE1"/>
    <w:rsid w:val="00846E1A"/>
    <w:rsid w:val="00852E8F"/>
    <w:rsid w:val="00863365"/>
    <w:rsid w:val="00871E1C"/>
    <w:rsid w:val="008A3ED7"/>
    <w:rsid w:val="008B421F"/>
    <w:rsid w:val="008D2B0F"/>
    <w:rsid w:val="008D664D"/>
    <w:rsid w:val="008E3885"/>
    <w:rsid w:val="008F0169"/>
    <w:rsid w:val="008F71CC"/>
    <w:rsid w:val="00930F0B"/>
    <w:rsid w:val="00934C97"/>
    <w:rsid w:val="00946859"/>
    <w:rsid w:val="00953CAF"/>
    <w:rsid w:val="00957F77"/>
    <w:rsid w:val="00962A81"/>
    <w:rsid w:val="00971758"/>
    <w:rsid w:val="00976B9F"/>
    <w:rsid w:val="009928BF"/>
    <w:rsid w:val="00992D32"/>
    <w:rsid w:val="009C54A8"/>
    <w:rsid w:val="009E1727"/>
    <w:rsid w:val="009E7C97"/>
    <w:rsid w:val="009F3A91"/>
    <w:rsid w:val="00A117FF"/>
    <w:rsid w:val="00A5652A"/>
    <w:rsid w:val="00A70ED0"/>
    <w:rsid w:val="00A735EA"/>
    <w:rsid w:val="00A8399B"/>
    <w:rsid w:val="00AB5D90"/>
    <w:rsid w:val="00AE1F63"/>
    <w:rsid w:val="00AE5735"/>
    <w:rsid w:val="00AE6CFA"/>
    <w:rsid w:val="00AF376A"/>
    <w:rsid w:val="00AF7140"/>
    <w:rsid w:val="00B00D04"/>
    <w:rsid w:val="00B1536C"/>
    <w:rsid w:val="00B303EA"/>
    <w:rsid w:val="00B36B6E"/>
    <w:rsid w:val="00B719F5"/>
    <w:rsid w:val="00B91259"/>
    <w:rsid w:val="00B91627"/>
    <w:rsid w:val="00B959C7"/>
    <w:rsid w:val="00B96E88"/>
    <w:rsid w:val="00BB1291"/>
    <w:rsid w:val="00BB1DFC"/>
    <w:rsid w:val="00BF46EB"/>
    <w:rsid w:val="00BF5E7F"/>
    <w:rsid w:val="00C02450"/>
    <w:rsid w:val="00C16807"/>
    <w:rsid w:val="00C17935"/>
    <w:rsid w:val="00C51589"/>
    <w:rsid w:val="00C51A35"/>
    <w:rsid w:val="00C562B2"/>
    <w:rsid w:val="00C76B0C"/>
    <w:rsid w:val="00C94A6A"/>
    <w:rsid w:val="00CB243C"/>
    <w:rsid w:val="00CB3B21"/>
    <w:rsid w:val="00CB5812"/>
    <w:rsid w:val="00CD0D3E"/>
    <w:rsid w:val="00CD38B4"/>
    <w:rsid w:val="00CD4D4F"/>
    <w:rsid w:val="00CE0D58"/>
    <w:rsid w:val="00CE73F3"/>
    <w:rsid w:val="00CF20ED"/>
    <w:rsid w:val="00CF47FD"/>
    <w:rsid w:val="00D00C28"/>
    <w:rsid w:val="00D07A68"/>
    <w:rsid w:val="00D219F2"/>
    <w:rsid w:val="00D271F5"/>
    <w:rsid w:val="00D47A0C"/>
    <w:rsid w:val="00D549DA"/>
    <w:rsid w:val="00D6187B"/>
    <w:rsid w:val="00D7288E"/>
    <w:rsid w:val="00D83A04"/>
    <w:rsid w:val="00DC77A0"/>
    <w:rsid w:val="00DD2BAC"/>
    <w:rsid w:val="00DE08CA"/>
    <w:rsid w:val="00DE2C5E"/>
    <w:rsid w:val="00DE2FD6"/>
    <w:rsid w:val="00DF7BA6"/>
    <w:rsid w:val="00E00EE7"/>
    <w:rsid w:val="00E03C4E"/>
    <w:rsid w:val="00E03DEC"/>
    <w:rsid w:val="00E1616B"/>
    <w:rsid w:val="00E25D33"/>
    <w:rsid w:val="00E36608"/>
    <w:rsid w:val="00E419FE"/>
    <w:rsid w:val="00E93D6C"/>
    <w:rsid w:val="00EB418C"/>
    <w:rsid w:val="00EB4517"/>
    <w:rsid w:val="00ED53DF"/>
    <w:rsid w:val="00F0200B"/>
    <w:rsid w:val="00F40B03"/>
    <w:rsid w:val="00F41DD9"/>
    <w:rsid w:val="00F54A2F"/>
    <w:rsid w:val="00F558B5"/>
    <w:rsid w:val="00F66893"/>
    <w:rsid w:val="00F675D5"/>
    <w:rsid w:val="00F71D96"/>
    <w:rsid w:val="00F76AE8"/>
    <w:rsid w:val="00F87595"/>
    <w:rsid w:val="00F96D26"/>
    <w:rsid w:val="00FB3E31"/>
    <w:rsid w:val="00FD1970"/>
    <w:rsid w:val="00FF4381"/>
    <w:rsid w:val="D6DB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123</Words>
  <Characters>705</Characters>
  <Lines>5</Lines>
  <Paragraphs>1</Paragraphs>
  <TotalTime>593</TotalTime>
  <ScaleCrop>false</ScaleCrop>
  <LinksUpToDate>false</LinksUpToDate>
  <CharactersWithSpaces>827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2019-04-24T10:06:00Z</dcterms:created>
  <dc:creator>hp</dc:creator>
  <cp:lastModifiedBy>uos</cp:lastModifiedBy>
  <dcterms:modified xsi:type="dcterms:W3CDTF">2026-04-28T11:39:46Z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