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2026年1-4月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六</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六</w:t>
      </w:r>
      <w:r>
        <w:rPr>
          <w:rFonts w:hint="eastAsia" w:ascii="楷体_GB2312" w:eastAsia="楷体_GB2312"/>
          <w:sz w:val="32"/>
          <w:szCs w:val="32"/>
        </w:rPr>
        <w:t>月</w:t>
      </w:r>
      <w:r>
        <w:rPr>
          <w:rFonts w:hint="eastAsia" w:ascii="楷体_GB2312" w:eastAsia="楷体_GB2312"/>
          <w:sz w:val="32"/>
          <w:szCs w:val="32"/>
          <w:lang w:eastAsia="zh-CN"/>
        </w:rPr>
        <w:t>九</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2026年1-4月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431</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w:t>
      </w:r>
      <w:r>
        <w:rPr>
          <w:rFonts w:hint="eastAsia" w:ascii="仿宋_GB2312" w:eastAsia="仿宋_GB2312"/>
          <w:sz w:val="32"/>
          <w:szCs w:val="32"/>
          <w:lang w:eastAsia="zh-CN"/>
        </w:rPr>
        <w:t>营业收入</w:t>
      </w:r>
      <w:r>
        <w:rPr>
          <w:rFonts w:hint="eastAsia" w:ascii="仿宋_GB2312" w:hAnsi="仿宋_GB2312" w:eastAsia="仿宋_GB2312" w:cs="Times New Roman"/>
          <w:sz w:val="32"/>
          <w:szCs w:val="22"/>
          <w:highlight w:val="none"/>
          <w:lang w:val="en-US" w:eastAsia="zh-CN"/>
        </w:rPr>
        <w:t>1494.1</w:t>
      </w:r>
      <w:r>
        <w:rPr>
          <w:rFonts w:hint="default" w:ascii="仿宋_GB2312" w:hAnsi="仿宋_GB2312" w:eastAsia="仿宋_GB2312" w:cs="Times New Roman"/>
          <w:sz w:val="32"/>
          <w:szCs w:val="22"/>
          <w:highlight w:val="none"/>
          <w:lang w:val="en" w:eastAsia="zh-CN"/>
        </w:rPr>
        <w:t>亿元</w:t>
      </w:r>
      <w:r>
        <w:rPr>
          <w:rFonts w:hint="eastAsia" w:ascii="仿宋_GB2312" w:hAnsi="宋体" w:eastAsia="仿宋_GB2312" w:cs="Times New Roman"/>
          <w:sz w:val="32"/>
          <w:szCs w:val="32"/>
        </w:rPr>
        <w:t>，</w:t>
      </w:r>
      <w:r>
        <w:rPr>
          <w:rFonts w:hint="default" w:ascii="仿宋_GB2312" w:hAnsi="仿宋_GB2312" w:eastAsia="仿宋_GB2312" w:cs="Times New Roman"/>
          <w:sz w:val="32"/>
          <w:szCs w:val="22"/>
          <w:highlight w:val="none"/>
          <w:lang w:val="en" w:eastAsia="zh-CN"/>
        </w:rPr>
        <w:t>同比</w:t>
      </w:r>
      <w:r>
        <w:rPr>
          <w:rFonts w:hint="eastAsia" w:ascii="仿宋_GB2312" w:hAnsi="仿宋_GB2312" w:eastAsia="仿宋_GB2312" w:cs="Times New Roman"/>
          <w:sz w:val="32"/>
          <w:szCs w:val="22"/>
          <w:highlight w:val="none"/>
          <w:lang w:val="en" w:eastAsia="zh-CN"/>
        </w:rPr>
        <w:t>增长</w:t>
      </w:r>
      <w:r>
        <w:rPr>
          <w:rFonts w:hint="eastAsia" w:ascii="仿宋_GB2312" w:hAnsi="仿宋_GB2312" w:eastAsia="仿宋_GB2312" w:cs="Times New Roman"/>
          <w:sz w:val="32"/>
          <w:szCs w:val="22"/>
          <w:highlight w:val="none"/>
          <w:lang w:val="en-US" w:eastAsia="zh-CN"/>
        </w:rPr>
        <w:t>0.4</w:t>
      </w:r>
      <w:r>
        <w:rPr>
          <w:rFonts w:hint="default" w:ascii="仿宋_GB2312" w:hAnsi="仿宋_GB2312" w:eastAsia="仿宋_GB2312" w:cs="Times New Roman"/>
          <w:sz w:val="32"/>
          <w:szCs w:val="22"/>
          <w:highlight w:val="none"/>
          <w:lang w:val="en" w:eastAsia="zh-CN"/>
        </w:rPr>
        <w:t>%</w:t>
      </w:r>
      <w:r>
        <w:rPr>
          <w:rFonts w:hint="eastAsia" w:ascii="仿宋_GB2312" w:eastAsia="仿宋_GB2312"/>
          <w:sz w:val="32"/>
          <w:szCs w:val="32"/>
        </w:rPr>
        <w:t>。与202</w:t>
      </w:r>
      <w:r>
        <w:rPr>
          <w:rFonts w:hint="eastAsia" w:ascii="仿宋_GB2312" w:eastAsia="仿宋_GB2312"/>
          <w:sz w:val="32"/>
          <w:szCs w:val="32"/>
          <w:lang w:val="en-US" w:eastAsia="zh-CN"/>
        </w:rPr>
        <w:t>6</w:t>
      </w:r>
      <w:r>
        <w:rPr>
          <w:rFonts w:hint="eastAsia" w:ascii="仿宋_GB2312" w:eastAsia="仿宋_GB2312"/>
          <w:sz w:val="32"/>
          <w:szCs w:val="32"/>
        </w:rPr>
        <w:t>年1-</w:t>
      </w:r>
      <w:r>
        <w:rPr>
          <w:rFonts w:hint="eastAsia" w:ascii="仿宋_GB2312" w:eastAsia="仿宋_GB2312"/>
          <w:sz w:val="32"/>
          <w:szCs w:val="32"/>
          <w:lang w:val="en-US" w:eastAsia="zh-CN"/>
        </w:rPr>
        <w:t>3</w:t>
      </w:r>
      <w:r>
        <w:rPr>
          <w:rFonts w:hint="eastAsia" w:ascii="仿宋_GB2312" w:eastAsia="仿宋_GB2312"/>
          <w:sz w:val="32"/>
          <w:szCs w:val="32"/>
        </w:rPr>
        <w:t>月相比，</w:t>
      </w:r>
      <w:r>
        <w:rPr>
          <w:rFonts w:hint="eastAsia" w:ascii="仿宋_GB2312" w:eastAsia="仿宋_GB2312"/>
          <w:sz w:val="32"/>
          <w:szCs w:val="32"/>
          <w:lang w:eastAsia="zh-CN"/>
        </w:rPr>
        <w:t>增幅收窄</w:t>
      </w:r>
      <w:r>
        <w:rPr>
          <w:rFonts w:hint="eastAsia" w:ascii="仿宋_GB2312" w:eastAsia="仿宋_GB2312"/>
          <w:sz w:val="32"/>
          <w:szCs w:val="32"/>
          <w:lang w:val="en-US" w:eastAsia="zh-CN"/>
        </w:rPr>
        <w:t>1.2</w:t>
      </w:r>
      <w:r>
        <w:rPr>
          <w:rFonts w:hint="eastAsia" w:ascii="仿宋_GB2312" w:eastAsia="仿宋_GB2312"/>
          <w:sz w:val="32"/>
          <w:szCs w:val="32"/>
        </w:rPr>
        <w:t>个百分点。</w:t>
      </w:r>
      <w:r>
        <w:rPr>
          <w:rFonts w:hint="eastAsia" w:ascii="仿宋_GB2312" w:hAnsi="宋体" w:eastAsia="仿宋_GB2312" w:cs="宋体"/>
          <w:kern w:val="0"/>
          <w:sz w:val="32"/>
          <w:szCs w:val="32"/>
        </w:rPr>
        <w:t>实现技术收入305.6亿元，同比增长</w:t>
      </w:r>
      <w:r>
        <w:rPr>
          <w:rFonts w:hint="eastAsia" w:ascii="仿宋_GB2312" w:hAnsi="宋体" w:eastAsia="仿宋_GB2312" w:cs="宋体"/>
          <w:kern w:val="0"/>
          <w:sz w:val="32"/>
          <w:szCs w:val="32"/>
          <w:lang w:val="en-US" w:eastAsia="zh-CN"/>
        </w:rPr>
        <w:t>4.0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eastAsia="仿宋_GB2312"/>
          <w:sz w:val="32"/>
          <w:szCs w:val="32"/>
          <w:lang w:eastAsia="zh-CN"/>
        </w:rPr>
        <w:t>技术收入占营业收入比重为</w:t>
      </w:r>
      <w:r>
        <w:rPr>
          <w:rFonts w:hint="eastAsia" w:ascii="仿宋_GB2312" w:eastAsia="仿宋_GB2312"/>
          <w:sz w:val="32"/>
          <w:szCs w:val="32"/>
          <w:lang w:val="en-US" w:eastAsia="zh-CN"/>
        </w:rPr>
        <w:t>20.5%。</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1-4月，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273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实现营业收入</w:t>
      </w:r>
      <w:r>
        <w:rPr>
          <w:rFonts w:hint="eastAsia" w:ascii="仿宋_GB2312" w:hAnsi="仿宋_GB2312" w:eastAsia="仿宋_GB2312" w:cs="Times New Roman"/>
          <w:color w:val="auto"/>
          <w:sz w:val="32"/>
          <w:szCs w:val="22"/>
          <w:highlight w:val="none"/>
          <w:lang w:val="en-US" w:eastAsia="zh-CN"/>
        </w:rPr>
        <w:t>634.7亿元</w:t>
      </w:r>
      <w:r>
        <w:rPr>
          <w:rFonts w:hint="eastAsia" w:ascii="仿宋_GB2312" w:eastAsia="仿宋_GB2312"/>
          <w:sz w:val="32"/>
          <w:szCs w:val="32"/>
          <w:lang w:eastAsia="zh-CN"/>
        </w:rPr>
        <w:t>，</w:t>
      </w:r>
      <w:r>
        <w:rPr>
          <w:rFonts w:hint="eastAsia" w:ascii="仿宋_GB2312" w:hAnsi="仿宋_GB2312" w:eastAsia="仿宋_GB2312" w:cs="Times New Roman"/>
          <w:color w:val="auto"/>
          <w:sz w:val="32"/>
          <w:szCs w:val="22"/>
          <w:highlight w:val="none"/>
          <w:lang w:val="en-US" w:eastAsia="zh-CN"/>
        </w:rPr>
        <w:t>同比增长8.3%。</w:t>
      </w:r>
      <w:r>
        <w:rPr>
          <w:rFonts w:hint="eastAsia" w:ascii="仿宋_GB2312" w:eastAsia="仿宋_GB2312"/>
          <w:color w:val="auto"/>
          <w:sz w:val="32"/>
          <w:szCs w:val="32"/>
          <w:lang w:eastAsia="zh-CN"/>
        </w:rPr>
        <w:t>与</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相比，增幅扩大1.8个百分点。</w:t>
      </w:r>
      <w:r>
        <w:rPr>
          <w:rFonts w:hint="eastAsia" w:ascii="仿宋_GB2312" w:eastAsia="仿宋_GB2312"/>
          <w:sz w:val="32"/>
          <w:szCs w:val="32"/>
          <w:lang w:val="en-US" w:eastAsia="zh-CN"/>
        </w:rPr>
        <w:t>其中，高技术服务领域实现营业收入419.3亿元，同比增长</w:t>
      </w:r>
      <w:r>
        <w:rPr>
          <w:rFonts w:hint="default" w:ascii="仿宋_GB2312" w:eastAsia="仿宋_GB2312"/>
          <w:sz w:val="32"/>
          <w:szCs w:val="32"/>
          <w:lang w:val="en" w:eastAsia="zh-CN"/>
        </w:rPr>
        <w:t>10.8</w:t>
      </w:r>
      <w:r>
        <w:rPr>
          <w:rFonts w:hint="eastAsia" w:ascii="仿宋_GB2312" w:eastAsia="仿宋_GB2312"/>
          <w:sz w:val="32"/>
          <w:szCs w:val="32"/>
          <w:lang w:val="en-US" w:eastAsia="zh-CN"/>
        </w:rPr>
        <w:t>%，占中关村</w:t>
      </w:r>
      <w:r>
        <w:rPr>
          <w:rFonts w:hint="eastAsia" w:ascii="仿宋_GB2312" w:eastAsia="仿宋_GB2312"/>
          <w:sz w:val="32"/>
          <w:szCs w:val="32"/>
        </w:rPr>
        <w:t>丰台园</w:t>
      </w:r>
      <w:r>
        <w:rPr>
          <w:rFonts w:hint="eastAsia" w:ascii="仿宋_GB2312" w:eastAsia="仿宋_GB2312"/>
          <w:sz w:val="32"/>
          <w:szCs w:val="32"/>
          <w:lang w:val="en-US" w:eastAsia="zh-CN"/>
        </w:rPr>
        <w:t>国高新企业营业收入的</w:t>
      </w:r>
      <w:r>
        <w:rPr>
          <w:rFonts w:hint="default" w:ascii="仿宋_GB2312" w:eastAsia="仿宋_GB2312"/>
          <w:sz w:val="32"/>
          <w:szCs w:val="32"/>
          <w:lang w:val="en" w:eastAsia="zh-CN"/>
        </w:rPr>
        <w:t>66.1</w:t>
      </w:r>
      <w:r>
        <w:rPr>
          <w:rFonts w:hint="eastAsia" w:ascii="仿宋_GB2312" w:eastAsia="仿宋_GB2312"/>
          <w:sz w:val="32"/>
          <w:szCs w:val="32"/>
          <w:lang w:val="en-US" w:eastAsia="zh-CN"/>
        </w:rPr>
        <w:t>%。</w:t>
      </w:r>
    </w:p>
    <w:p>
      <w:pPr>
        <w:ind w:firstLine="640" w:firstLineChars="200"/>
        <w:rPr>
          <w:rFonts w:hint="eastAsia" w:ascii="仿宋_GB2312" w:eastAsia="仿宋_GB2312"/>
          <w:color w:val="auto"/>
          <w:sz w:val="32"/>
          <w:szCs w:val="32"/>
          <w:lang w:eastAsia="zh-CN"/>
        </w:rPr>
      </w:pPr>
      <w:r>
        <w:rPr>
          <w:rFonts w:hint="eastAsia" w:ascii="仿宋_GB2312" w:eastAsia="仿宋_GB2312"/>
          <w:sz w:val="32"/>
          <w:szCs w:val="32"/>
          <w:lang w:eastAsia="zh-CN"/>
        </w:rPr>
        <w:t>1-4月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2.3万人，同比下降0.9%；研究开发费用合计25.9亿元，同比下降4.9%。</w:t>
      </w:r>
      <w:r>
        <w:rPr>
          <w:rFonts w:hint="eastAsia" w:ascii="仿宋_GB2312" w:eastAsia="仿宋_GB2312"/>
          <w:color w:val="auto"/>
          <w:sz w:val="32"/>
          <w:szCs w:val="32"/>
          <w:lang w:eastAsia="zh-CN"/>
        </w:rPr>
        <w:t>与2026年1-3月相比，降幅扩大</w:t>
      </w:r>
      <w:r>
        <w:rPr>
          <w:rFonts w:hint="eastAsia" w:ascii="仿宋_GB2312" w:eastAsia="仿宋_GB2312"/>
          <w:color w:val="auto"/>
          <w:sz w:val="32"/>
          <w:szCs w:val="32"/>
          <w:lang w:val="en-US" w:eastAsia="zh-CN"/>
        </w:rPr>
        <w:t>4.9</w:t>
      </w:r>
      <w:r>
        <w:rPr>
          <w:rFonts w:hint="eastAsia" w:ascii="仿宋_GB2312" w:eastAsia="仿宋_GB2312"/>
          <w:color w:val="auto"/>
          <w:sz w:val="32"/>
          <w:szCs w:val="32"/>
          <w:lang w:eastAsia="zh-CN"/>
        </w:rPr>
        <w:t>个百分点。</w:t>
      </w:r>
    </w:p>
    <w:p>
      <w:pP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br w:type="page"/>
      </w:r>
    </w:p>
    <w:p>
      <w:pPr>
        <w:pStyle w:val="2"/>
        <w:rPr>
          <w:rFonts w:hint="eastAsia"/>
          <w:lang w:val="en-US" w:eastAsia="zh-CN"/>
        </w:rPr>
      </w:pP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w:t>
      </w:r>
      <w:r>
        <w:rPr>
          <w:rFonts w:hint="eastAsia" w:asciiTheme="minorEastAsia" w:hAnsiTheme="minorEastAsia" w:cstheme="minorEastAsia"/>
          <w:sz w:val="24"/>
          <w:szCs w:val="24"/>
          <w:lang w:val="en-US" w:eastAsia="zh-CN"/>
        </w:rPr>
        <w:t>营业</w:t>
      </w:r>
      <w:r>
        <w:rPr>
          <w:rFonts w:hint="eastAsia" w:asciiTheme="minorEastAsia" w:hAnsiTheme="minorEastAsia" w:eastAsiaTheme="minorEastAsia" w:cstheme="minorEastAsia"/>
          <w:sz w:val="24"/>
          <w:szCs w:val="24"/>
          <w:lang w:val="en-US" w:eastAsia="zh-CN"/>
        </w:rPr>
        <w:t>收入、研究开发费用合计同比增速</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单位：%</w:t>
      </w:r>
    </w:p>
    <w:p>
      <w:pPr>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-737870</wp:posOffset>
            </wp:positionH>
            <wp:positionV relativeFrom="paragraph">
              <wp:posOffset>90170</wp:posOffset>
            </wp:positionV>
            <wp:extent cx="6370320" cy="2028190"/>
            <wp:effectExtent l="0" t="0" r="11430" b="10160"/>
            <wp:wrapTight wrapText="bothSides">
              <wp:wrapPolygon>
                <wp:start x="0" y="0"/>
                <wp:lineTo x="0" y="21302"/>
                <wp:lineTo x="21510" y="21302"/>
                <wp:lineTo x="21510"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_GB2312" w:hAnsi="仿宋_GB2312" w:eastAsia="仿宋_GB2312" w:cs="仿宋_GB2312"/>
          <w:i w:val="0"/>
          <w:caps w:val="0"/>
          <w:color w:val="232930"/>
          <w:spacing w:val="0"/>
          <w:sz w:val="32"/>
          <w:szCs w:val="32"/>
          <w:shd w:val="clear" w:fill="FFFFFF"/>
        </w:rPr>
        <w:br w:type="page"/>
      </w:r>
      <w:bookmarkStart w:id="0" w:name="_GoBack"/>
      <w:bookmarkEnd w:id="0"/>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lang w:eastAsia="zh-CN"/>
        </w:rPr>
        <w:t>营业</w:t>
      </w:r>
      <w:r>
        <w:rPr>
          <w:rFonts w:hint="eastAsia" w:ascii="仿宋_GB2312" w:hAnsi="仿宋_GB2312" w:eastAsia="仿宋_GB2312" w:cs="仿宋_GB2312"/>
          <w:i w:val="0"/>
          <w:caps w:val="0"/>
          <w:color w:val="232930"/>
          <w:spacing w:val="0"/>
          <w:sz w:val="32"/>
          <w:szCs w:val="32"/>
          <w:shd w:val="clear" w:fill="FFFFFF"/>
        </w:rPr>
        <w:t>收入：指企业全年的生产产品销售收入、技术性收入和与本企业产品相关的商品的销售收入、其他收入等各种收入的总和，等于主营业务收入加上其他业务收入。</w:t>
      </w:r>
      <w:r>
        <w:rPr>
          <w:rFonts w:hint="eastAsia" w:ascii="仿宋_GB2312" w:hAnsi="仿宋_GB2312" w:eastAsia="仿宋_GB2312" w:cs="仿宋_GB2312"/>
          <w:i w:val="0"/>
          <w:caps w:val="0"/>
          <w:color w:val="232930"/>
          <w:spacing w:val="0"/>
          <w:sz w:val="32"/>
          <w:szCs w:val="32"/>
          <w:shd w:val="clear" w:fill="FFFFFF"/>
          <w:lang w:eastAsia="zh-CN"/>
        </w:rPr>
        <w:t>营业收入</w:t>
      </w:r>
      <w:r>
        <w:rPr>
          <w:rFonts w:hint="eastAsia" w:ascii="仿宋_GB2312" w:hAnsi="仿宋_GB2312" w:eastAsia="仿宋_GB2312" w:cs="仿宋_GB2312"/>
          <w:i w:val="0"/>
          <w:caps w:val="0"/>
          <w:color w:val="232930"/>
          <w:spacing w:val="0"/>
          <w:sz w:val="32"/>
          <w:szCs w:val="32"/>
          <w:shd w:val="clear" w:fill="FFFFFF"/>
        </w:rPr>
        <w:t>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3F9CEF7"/>
    <w:rsid w:val="058B713F"/>
    <w:rsid w:val="07487424"/>
    <w:rsid w:val="074A00FD"/>
    <w:rsid w:val="09B25007"/>
    <w:rsid w:val="0F107FC8"/>
    <w:rsid w:val="114C2D74"/>
    <w:rsid w:val="13B911F8"/>
    <w:rsid w:val="13DB5C02"/>
    <w:rsid w:val="142619AB"/>
    <w:rsid w:val="150B3B44"/>
    <w:rsid w:val="1764570F"/>
    <w:rsid w:val="1C8C4AF4"/>
    <w:rsid w:val="1D7E69BC"/>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A5629C5"/>
    <w:rsid w:val="4AA34657"/>
    <w:rsid w:val="4B7B7679"/>
    <w:rsid w:val="4D261988"/>
    <w:rsid w:val="51B36046"/>
    <w:rsid w:val="528B441D"/>
    <w:rsid w:val="543E4192"/>
    <w:rsid w:val="547E2B67"/>
    <w:rsid w:val="549A1149"/>
    <w:rsid w:val="57C21666"/>
    <w:rsid w:val="5AAA2E19"/>
    <w:rsid w:val="5FE963B0"/>
    <w:rsid w:val="655321C6"/>
    <w:rsid w:val="66163474"/>
    <w:rsid w:val="661E01B7"/>
    <w:rsid w:val="6D6B5657"/>
    <w:rsid w:val="6E9B7DA0"/>
    <w:rsid w:val="6ECE4627"/>
    <w:rsid w:val="75F7903A"/>
    <w:rsid w:val="78021482"/>
    <w:rsid w:val="793F179E"/>
    <w:rsid w:val="7A3E68B2"/>
    <w:rsid w:val="7B531C40"/>
    <w:rsid w:val="7BDCCB2C"/>
    <w:rsid w:val="7C653980"/>
    <w:rsid w:val="7CD4533D"/>
    <w:rsid w:val="7DC912FA"/>
    <w:rsid w:val="7E4D3779"/>
    <w:rsid w:val="7F754855"/>
    <w:rsid w:val="8F7DF192"/>
    <w:rsid w:val="9E37E0E1"/>
    <w:rsid w:val="9FE7264C"/>
    <w:rsid w:val="B7FF2B47"/>
    <w:rsid w:val="BDEB6C54"/>
    <w:rsid w:val="D5F6FDAD"/>
    <w:rsid w:val="DFE75360"/>
    <w:rsid w:val="DFFF1319"/>
    <w:rsid w:val="FB7F48DC"/>
    <w:rsid w:val="FFBBC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99"/>
    <w:rPr>
      <w:rFonts w:ascii="Arial" w:hAnsi="Arial"/>
      <w:b/>
    </w:rPr>
  </w:style>
  <w:style w:type="paragraph" w:styleId="3">
    <w:name w:val="index 1"/>
    <w:basedOn w:val="1"/>
    <w:next w:val="1"/>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lineChart>
        <c:grouping val="standard"/>
        <c:varyColors val="false"/>
        <c:ser>
          <c:idx val="0"/>
          <c:order val="0"/>
          <c:tx>
            <c:strRef>
              <c:f>Sheet1!$B$1</c:f>
              <c:strCache>
                <c:ptCount val="1"/>
                <c:pt idx="0">
                  <c:v>营业收入同比增速</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true"/>
          </c:dLbls>
          <c:cat>
            <c:strRef>
              <c:f>Sheet1!$A$2:$A$12</c:f>
              <c:strCache>
                <c:ptCount val="11"/>
                <c:pt idx="0">
                  <c:v>2025年
1-4月</c:v>
                </c:pt>
                <c:pt idx="1">
                  <c:v>2025年
1-5月</c:v>
                </c:pt>
                <c:pt idx="2">
                  <c:v>2025年
1-6月</c:v>
                </c:pt>
                <c:pt idx="3">
                  <c:v>2025年
1-7月</c:v>
                </c:pt>
                <c:pt idx="4">
                  <c:v>2025年
1-8月</c:v>
                </c:pt>
                <c:pt idx="5">
                  <c:v>2025年
1-9月</c:v>
                </c:pt>
                <c:pt idx="6">
                  <c:v>2025年
1-10月</c:v>
                </c:pt>
                <c:pt idx="7">
                  <c:v>2025年
1-11月</c:v>
                </c:pt>
                <c:pt idx="8">
                  <c:v>2026年
1-2月</c:v>
                </c:pt>
                <c:pt idx="9">
                  <c:v>2026年
1-3月</c:v>
                </c:pt>
                <c:pt idx="10">
                  <c:v>2026年
1-4月</c:v>
                </c:pt>
              </c:strCache>
            </c:strRef>
          </c:cat>
          <c:val>
            <c:numRef>
              <c:f>Sheet1!$B$2:$B$12</c:f>
              <c:numCache>
                <c:formatCode>General</c:formatCode>
                <c:ptCount val="11"/>
                <c:pt idx="0">
                  <c:v>-7.5</c:v>
                </c:pt>
                <c:pt idx="1">
                  <c:v>-4.2</c:v>
                </c:pt>
                <c:pt idx="2" c:formatCode="0.0_ ">
                  <c:v>-5</c:v>
                </c:pt>
                <c:pt idx="3" c:formatCode="0.0_ ">
                  <c:v>-6.1</c:v>
                </c:pt>
                <c:pt idx="4" c:formatCode="0.0_ ">
                  <c:v>-0.8</c:v>
                </c:pt>
                <c:pt idx="5" c:formatCode="0.0_ ">
                  <c:v>-0.7</c:v>
                </c:pt>
                <c:pt idx="6">
                  <c:v>-1.5</c:v>
                </c:pt>
                <c:pt idx="7">
                  <c:v>-1.2</c:v>
                </c:pt>
                <c:pt idx="8" c:formatCode="0.0_ ">
                  <c:v>-2</c:v>
                </c:pt>
                <c:pt idx="9" c:formatCode="0.0_ ">
                  <c:v>1.6</c:v>
                </c:pt>
                <c:pt idx="10" c:formatCode="0.0_ ">
                  <c:v>0.4</c:v>
                </c:pt>
              </c:numCache>
            </c:numRef>
          </c:val>
          <c:smooth val="false"/>
        </c:ser>
        <c:ser>
          <c:idx val="1"/>
          <c:order val="1"/>
          <c:tx>
            <c:strRef>
              <c:f>Sheet1!$C$1</c:f>
              <c:strCache>
                <c:ptCount val="1"/>
                <c:pt idx="0">
                  <c:v>研究开发费用合计同比增速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true"/>
          </c:dLbls>
          <c:cat>
            <c:strRef>
              <c:f>Sheet1!$A$2:$A$12</c:f>
              <c:strCache>
                <c:ptCount val="11"/>
                <c:pt idx="0">
                  <c:v>2025年
1-4月</c:v>
                </c:pt>
                <c:pt idx="1">
                  <c:v>2025年
1-5月</c:v>
                </c:pt>
                <c:pt idx="2">
                  <c:v>2025年
1-6月</c:v>
                </c:pt>
                <c:pt idx="3">
                  <c:v>2025年
1-7月</c:v>
                </c:pt>
                <c:pt idx="4">
                  <c:v>2025年
1-8月</c:v>
                </c:pt>
                <c:pt idx="5">
                  <c:v>2025年
1-9月</c:v>
                </c:pt>
                <c:pt idx="6">
                  <c:v>2025年
1-10月</c:v>
                </c:pt>
                <c:pt idx="7">
                  <c:v>2025年
1-11月</c:v>
                </c:pt>
                <c:pt idx="8">
                  <c:v>2026年
1-2月</c:v>
                </c:pt>
                <c:pt idx="9">
                  <c:v>2026年
1-3月</c:v>
                </c:pt>
                <c:pt idx="10">
                  <c:v>2026年
1-4月</c:v>
                </c:pt>
              </c:strCache>
            </c:strRef>
          </c:cat>
          <c:val>
            <c:numRef>
              <c:f>Sheet1!$C$2:$C$12</c:f>
              <c:numCache>
                <c:formatCode>General</c:formatCode>
                <c:ptCount val="11"/>
                <c:pt idx="0">
                  <c:v>-1.4</c:v>
                </c:pt>
                <c:pt idx="1">
                  <c:v>-5.4</c:v>
                </c:pt>
                <c:pt idx="2">
                  <c:v>-7.3</c:v>
                </c:pt>
                <c:pt idx="3" c:formatCode="0.0_ ">
                  <c:v>-6</c:v>
                </c:pt>
                <c:pt idx="4" c:formatCode="0.0_ ">
                  <c:v>-5.5</c:v>
                </c:pt>
                <c:pt idx="5" c:formatCode="0.0_ ">
                  <c:v>-3.3</c:v>
                </c:pt>
                <c:pt idx="6">
                  <c:v>-4.9</c:v>
                </c:pt>
                <c:pt idx="7">
                  <c:v>-2.2</c:v>
                </c:pt>
                <c:pt idx="8">
                  <c:v>-7.2</c:v>
                </c:pt>
                <c:pt idx="9" c:formatCode="0.00_ ">
                  <c:v>0.02</c:v>
                </c:pt>
                <c:pt idx="10" c:formatCode="0.0_ ">
                  <c:v>-4.9</c:v>
                </c:pt>
              </c:numCache>
            </c:numRef>
          </c:val>
          <c:smooth val="false"/>
        </c:ser>
        <c:dLbls>
          <c:showLegendKey val="false"/>
          <c:showVal val="false"/>
          <c:showCatName val="false"/>
          <c:showSerName val="false"/>
          <c:showPercent val="false"/>
          <c:showBubbleSize val="false"/>
        </c:dLbls>
        <c:marker val="true"/>
        <c:smooth val="false"/>
        <c:axId val="208888119"/>
        <c:axId val="772063503"/>
      </c:lineChart>
      <c:catAx>
        <c:axId val="208888119"/>
        <c:scaling>
          <c:orientation val="minMax"/>
        </c:scaling>
        <c:delete val="false"/>
        <c:axPos val="b"/>
        <c:numFmt formatCode="_ &quot;€&quot;* #,##0.00_ ;_ &quot;€&quot;* \-#,##0.00_ ;_ &quot;€&quot;* &quot;-&quot;??_ ;_ @_ " sourceLinked="false"/>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true"/>
        <c:lblAlgn val="ctr"/>
        <c:lblOffset val="400"/>
        <c:tickLblSkip val="1"/>
        <c:noMultiLvlLbl val="false"/>
      </c:catAx>
      <c:valAx>
        <c:axId val="772063503"/>
        <c:scaling>
          <c:orientation val="minMax"/>
        </c:scaling>
        <c:delete val="false"/>
        <c:axPos val="l"/>
        <c:majorGridlines>
          <c:spPr>
            <a:ln w="9525" cap="flat" cmpd="sng" algn="ctr">
              <a:solidFill>
                <a:schemeClr val="bg1"/>
              </a:solidFill>
              <a:round/>
            </a:ln>
            <a:effectLst/>
          </c:spPr>
        </c:majorGridlines>
        <c:numFmt formatCode="General" sourceLinked="true"/>
        <c:majorTickMark val="out"/>
        <c:minorTickMark val="none"/>
        <c:tickLblPos val="nextTo"/>
        <c:spPr>
          <a:noFill/>
          <a:ln w="6350">
            <a:solidFill>
              <a:schemeClr val="tx1"/>
            </a:solid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zero"/>
    <c:showDLblsOverMax val="false"/>
  </c:chart>
  <c:spPr>
    <a:solidFill>
      <a:schemeClr val="bg1"/>
    </a:solidFill>
    <a:ln w="9525" cap="flat" cmpd="sng" algn="ctr">
      <a:no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15</TotalTime>
  <ScaleCrop>false</ScaleCrop>
  <LinksUpToDate>false</LinksUpToDate>
  <CharactersWithSpaces>231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2020-04-02T16:48:00Z</dcterms:created>
  <dc:creator>祁晶</dc:creator>
  <cp:lastModifiedBy>uos</cp:lastModifiedBy>
  <dcterms:modified xsi:type="dcterms:W3CDTF">2026-06-04T10:36:49Z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