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方正小标宋简体" w:eastAsia="方正小标宋简体" w:hAnsiTheme="minorEastAsia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1—3季度丰台区经济运行情况</w:t>
      </w:r>
      <w:bookmarkEnd w:id="0"/>
    </w:p>
    <w:p>
      <w:pPr>
        <w:pStyle w:val="2"/>
        <w:jc w:val="center"/>
      </w:pPr>
    </w:p>
    <w:p>
      <w:pPr>
        <w:widowControl/>
        <w:ind w:firstLine="560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1—3季度，全区认真贯彻落实党中央、国务院决策部署和市、区工作要求，坚持稳中求进工作总基调，全区经济</w:t>
      </w:r>
      <w:r>
        <w:rPr>
          <w:rFonts w:hint="eastAsia" w:ascii="仿宋_GB2312" w:hAnsi="Segoe UI" w:eastAsia="仿宋_GB2312" w:cs="Segoe UI"/>
          <w:color w:val="232930"/>
          <w:sz w:val="28"/>
          <w:szCs w:val="28"/>
          <w:shd w:val="clear" w:color="auto" w:fill="FFFFFF"/>
        </w:rPr>
        <w:t>总体运行平稳，居民收入稳步增加。</w:t>
      </w:r>
    </w:p>
    <w:p>
      <w:pPr>
        <w:pStyle w:val="2"/>
        <w:spacing w:line="600" w:lineRule="exact"/>
        <w:ind w:firstLine="551" w:firstLineChars="196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一、农业</w:t>
      </w:r>
    </w:p>
    <w:p>
      <w:pPr>
        <w:pStyle w:val="2"/>
        <w:spacing w:line="600" w:lineRule="exact"/>
        <w:ind w:left="-2" w:firstLine="560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1—3季度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，</w:t>
      </w:r>
      <w:r>
        <w:rPr>
          <w:rFonts w:hint="eastAsia" w:ascii="仿宋_GB2312" w:eastAsia="仿宋_GB2312"/>
          <w:sz w:val="28"/>
          <w:szCs w:val="28"/>
        </w:rPr>
        <w:t>全区实现</w:t>
      </w:r>
      <w:r>
        <w:rPr>
          <w:rFonts w:ascii="仿宋_GB2312" w:eastAsia="仿宋_GB2312"/>
          <w:sz w:val="28"/>
          <w:szCs w:val="28"/>
        </w:rPr>
        <w:t>农</w:t>
      </w:r>
      <w:r>
        <w:rPr>
          <w:rFonts w:hint="eastAsia" w:ascii="仿宋_GB2312" w:eastAsia="仿宋_GB2312"/>
          <w:sz w:val="28"/>
          <w:szCs w:val="28"/>
        </w:rPr>
        <w:t>林牧渔</w:t>
      </w:r>
      <w:r>
        <w:rPr>
          <w:rFonts w:ascii="仿宋_GB2312" w:eastAsia="仿宋_GB2312"/>
          <w:sz w:val="28"/>
          <w:szCs w:val="28"/>
        </w:rPr>
        <w:t>业总产值</w:t>
      </w:r>
      <w:r>
        <w:rPr>
          <w:rFonts w:hint="eastAsia" w:ascii="仿宋_GB2312" w:eastAsia="仿宋_GB2312"/>
          <w:sz w:val="28"/>
          <w:szCs w:val="28"/>
        </w:rPr>
        <w:t>7724.8万元</w:t>
      </w:r>
      <w:r>
        <w:rPr>
          <w:rFonts w:ascii="仿宋_GB2312" w:eastAsia="仿宋_GB2312"/>
          <w:sz w:val="28"/>
          <w:szCs w:val="28"/>
        </w:rPr>
        <w:t>，比上年</w:t>
      </w:r>
      <w:r>
        <w:rPr>
          <w:rFonts w:hint="eastAsia" w:ascii="仿宋_GB2312" w:eastAsia="仿宋_GB2312"/>
          <w:sz w:val="28"/>
          <w:szCs w:val="28"/>
        </w:rPr>
        <w:t>同期增长12.6%</w:t>
      </w:r>
      <w:r>
        <w:rPr>
          <w:rFonts w:ascii="仿宋_GB2312" w:eastAsia="仿宋_GB2312"/>
          <w:sz w:val="28"/>
          <w:szCs w:val="28"/>
        </w:rPr>
        <w:t>。其中</w:t>
      </w:r>
      <w:r>
        <w:rPr>
          <w:rFonts w:hint="eastAsia" w:ascii="仿宋_GB2312" w:eastAsia="仿宋_GB2312"/>
          <w:sz w:val="28"/>
          <w:szCs w:val="28"/>
        </w:rPr>
        <w:t>，农业产值1636.6万元,增长13.6%；林业产值6000.6万元,增长12.5%。</w:t>
      </w:r>
    </w:p>
    <w:p>
      <w:pPr>
        <w:tabs>
          <w:tab w:val="left" w:pos="5760"/>
        </w:tabs>
        <w:spacing w:line="600" w:lineRule="exact"/>
        <w:ind w:right="-15" w:firstLine="551" w:firstLineChars="196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二、工业生产</w:t>
      </w:r>
    </w:p>
    <w:p>
      <w:pPr>
        <w:tabs>
          <w:tab w:val="left" w:pos="5760"/>
        </w:tabs>
        <w:spacing w:line="600" w:lineRule="exact"/>
        <w:ind w:right="-15" w:firstLine="560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1—3季度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，</w:t>
      </w:r>
      <w:r>
        <w:rPr>
          <w:rFonts w:hint="eastAsia" w:ascii="仿宋_GB2312" w:eastAsia="仿宋_GB2312"/>
          <w:sz w:val="28"/>
          <w:szCs w:val="28"/>
        </w:rPr>
        <w:t>全区规模以上工业企业实现工业总产值206.5亿元，比上年同期下降0.3%。从主要行业看，铁路、船舶、航空航天和其他运输设备制造业增长29.1%，专用设备制造业增长7.2%，电力、热力生产和供应业下降7.5%，非金属矿物制品业下降19.7%。</w:t>
      </w:r>
    </w:p>
    <w:p>
      <w:pPr>
        <w:tabs>
          <w:tab w:val="left" w:pos="5760"/>
        </w:tabs>
        <w:spacing w:line="600" w:lineRule="exact"/>
        <w:ind w:right="-15"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1—3季度，</w:t>
      </w:r>
      <w:r>
        <w:rPr>
          <w:rFonts w:hint="eastAsia" w:ascii="仿宋_GB2312" w:eastAsia="仿宋_GB2312"/>
          <w:sz w:val="28"/>
          <w:szCs w:val="28"/>
        </w:rPr>
        <w:t>全区规模以上工业企业实现销售产值189.4亿元，比上年同期下降3.9%，其中出口交货值5.8亿元，下降9.8%。</w:t>
      </w:r>
    </w:p>
    <w:p>
      <w:pPr>
        <w:tabs>
          <w:tab w:val="left" w:pos="5760"/>
        </w:tabs>
        <w:spacing w:line="600" w:lineRule="exact"/>
        <w:ind w:right="-15" w:firstLine="551" w:firstLineChars="196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三、固定资产投资</w:t>
      </w:r>
    </w:p>
    <w:p>
      <w:pPr>
        <w:tabs>
          <w:tab w:val="left" w:pos="5760"/>
        </w:tabs>
        <w:spacing w:line="600" w:lineRule="exact"/>
        <w:ind w:right="-15"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1—3季度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，</w:t>
      </w:r>
      <w:r>
        <w:rPr>
          <w:rFonts w:hint="eastAsia" w:ascii="仿宋_GB2312" w:eastAsia="仿宋_GB2312"/>
          <w:sz w:val="28"/>
          <w:szCs w:val="28"/>
        </w:rPr>
        <w:t>全区固定资产投资（不含农户）比上年同期增长4%。其中，建安投资增长19%；基础设施投资增长51.4%。</w:t>
      </w:r>
    </w:p>
    <w:p>
      <w:pPr>
        <w:tabs>
          <w:tab w:val="left" w:pos="5760"/>
        </w:tabs>
        <w:spacing w:line="600" w:lineRule="exact"/>
        <w:ind w:right="-15" w:firstLine="560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hAnsi="宋体" w:eastAsia="仿宋_GB2312" w:cs="宋体"/>
          <w:bCs/>
          <w:kern w:val="0"/>
          <w:sz w:val="28"/>
          <w:szCs w:val="28"/>
        </w:rPr>
        <w:t>分产业看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，第二产业投资比上年同期增长58.9%；第三产业投资增长2.9%。</w:t>
      </w:r>
    </w:p>
    <w:p>
      <w:pPr>
        <w:pStyle w:val="2"/>
        <w:tabs>
          <w:tab w:val="left" w:pos="5520"/>
        </w:tabs>
        <w:spacing w:line="600" w:lineRule="exact"/>
        <w:ind w:right="18" w:firstLine="551" w:firstLineChars="196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四、房地产开发</w:t>
      </w:r>
    </w:p>
    <w:p>
      <w:pPr>
        <w:pStyle w:val="2"/>
        <w:tabs>
          <w:tab w:val="left" w:pos="5520"/>
        </w:tabs>
        <w:spacing w:line="600" w:lineRule="exact"/>
        <w:ind w:right="18"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1—3季度，全区房地产开发投资比上年同期下降28.3%。其中，住宅投资下降34.7%。</w:t>
      </w:r>
    </w:p>
    <w:p>
      <w:pPr>
        <w:pStyle w:val="2"/>
        <w:tabs>
          <w:tab w:val="left" w:pos="5520"/>
        </w:tabs>
        <w:spacing w:line="600" w:lineRule="exact"/>
        <w:ind w:right="18"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—3季度，全区房屋施工面积1029.7万平方米，比上年同期下降2.8%。其中，住宅施工面积580.6万平方米，增长0.1%。全区房屋新开工面积103万平方米，增长35.4%。全区房屋竣工面积48.9万平方米，比上年同期增长2.1倍。其中，住宅竣工面积33.9万平方米，增长2.3倍。</w:t>
      </w:r>
    </w:p>
    <w:p>
      <w:pPr>
        <w:pStyle w:val="2"/>
        <w:spacing w:line="600" w:lineRule="exact"/>
        <w:ind w:right="18" w:firstLine="560" w:firstLineChars="200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1—3季度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，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全区</w:t>
      </w:r>
      <w:r>
        <w:rPr>
          <w:rFonts w:hint="eastAsia" w:ascii="仿宋_GB2312" w:eastAsia="仿宋_GB2312"/>
          <w:sz w:val="28"/>
          <w:szCs w:val="28"/>
        </w:rPr>
        <w:t>销售商品房101.1万平方米，比上年同期增长29.4%，其中住宅81.5万平方米，增长57.3%。</w:t>
      </w:r>
    </w:p>
    <w:p>
      <w:pPr>
        <w:tabs>
          <w:tab w:val="left" w:pos="5760"/>
        </w:tabs>
        <w:spacing w:line="600" w:lineRule="exact"/>
        <w:ind w:right="-15" w:firstLine="551" w:firstLineChars="196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五、消费品市场</w:t>
      </w:r>
    </w:p>
    <w:p>
      <w:pPr>
        <w:tabs>
          <w:tab w:val="left" w:pos="5760"/>
        </w:tabs>
        <w:spacing w:line="600" w:lineRule="exact"/>
        <w:ind w:right="-15" w:firstLine="560" w:firstLineChars="200"/>
        <w:rPr>
          <w:rFonts w:ascii="仿宋_GB2312" w:eastAsia="仿宋_GB2312"/>
          <w:color w:val="FF0000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1—3季度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，</w:t>
      </w:r>
      <w:r>
        <w:rPr>
          <w:rFonts w:hint="eastAsia" w:ascii="仿宋_GB2312" w:eastAsia="仿宋_GB2312"/>
          <w:sz w:val="28"/>
          <w:szCs w:val="28"/>
        </w:rPr>
        <w:t>全区实现社会消费品零售总额593.2亿元，比上年同期下降4.5%。按消费形态分，商品零售503.2亿元，下降5.4%；餐饮收入90亿元，增长1%。</w:t>
      </w:r>
    </w:p>
    <w:p>
      <w:pPr>
        <w:pStyle w:val="2"/>
        <w:spacing w:line="600" w:lineRule="exact"/>
        <w:ind w:right="18" w:firstLine="551" w:firstLineChars="196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六、居民收支</w:t>
      </w:r>
    </w:p>
    <w:p>
      <w:pPr>
        <w:pStyle w:val="2"/>
        <w:spacing w:line="600" w:lineRule="exact"/>
        <w:ind w:right="18" w:firstLine="560" w:firstLineChars="200"/>
      </w:pPr>
      <w:r>
        <w:rPr>
          <w:rFonts w:hint="eastAsia" w:ascii="仿宋_GB2312" w:eastAsia="仿宋_GB2312"/>
          <w:sz w:val="28"/>
          <w:szCs w:val="28"/>
        </w:rPr>
        <w:t>1—3季度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，</w:t>
      </w:r>
      <w:r>
        <w:rPr>
          <w:rFonts w:hint="eastAsia" w:ascii="仿宋_GB2312" w:eastAsia="仿宋_GB2312"/>
          <w:sz w:val="28"/>
          <w:szCs w:val="28"/>
        </w:rPr>
        <w:t>全区居民人均可支配收入68917元，比上年同期增长5.9%。人均消费支出39647元，增长3.9%。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小标宋简体">
    <w:altName w:val="仿宋_GB2312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AC"/>
    <w:rsid w:val="0000114E"/>
    <w:rsid w:val="00012C25"/>
    <w:rsid w:val="000147ED"/>
    <w:rsid w:val="000152EF"/>
    <w:rsid w:val="00026A23"/>
    <w:rsid w:val="000332DA"/>
    <w:rsid w:val="00042138"/>
    <w:rsid w:val="000461D8"/>
    <w:rsid w:val="000608DF"/>
    <w:rsid w:val="00061738"/>
    <w:rsid w:val="00072011"/>
    <w:rsid w:val="000745D0"/>
    <w:rsid w:val="000755DC"/>
    <w:rsid w:val="00081D93"/>
    <w:rsid w:val="000835A3"/>
    <w:rsid w:val="000B1DBF"/>
    <w:rsid w:val="000B6B29"/>
    <w:rsid w:val="000B6F51"/>
    <w:rsid w:val="000B7C69"/>
    <w:rsid w:val="000C1C9D"/>
    <w:rsid w:val="000C4C40"/>
    <w:rsid w:val="000D304D"/>
    <w:rsid w:val="000D3EE0"/>
    <w:rsid w:val="00104B41"/>
    <w:rsid w:val="00110412"/>
    <w:rsid w:val="00141144"/>
    <w:rsid w:val="00145693"/>
    <w:rsid w:val="001556E2"/>
    <w:rsid w:val="00157646"/>
    <w:rsid w:val="00172FB4"/>
    <w:rsid w:val="00183C75"/>
    <w:rsid w:val="001A6C3E"/>
    <w:rsid w:val="001C263A"/>
    <w:rsid w:val="001D638A"/>
    <w:rsid w:val="001E438C"/>
    <w:rsid w:val="00200E43"/>
    <w:rsid w:val="00204D8B"/>
    <w:rsid w:val="00221ADA"/>
    <w:rsid w:val="00226041"/>
    <w:rsid w:val="002345CC"/>
    <w:rsid w:val="002431BD"/>
    <w:rsid w:val="00246755"/>
    <w:rsid w:val="00247DCC"/>
    <w:rsid w:val="00277E82"/>
    <w:rsid w:val="002A0F8D"/>
    <w:rsid w:val="002B05F4"/>
    <w:rsid w:val="002B2610"/>
    <w:rsid w:val="002B40BF"/>
    <w:rsid w:val="002C0542"/>
    <w:rsid w:val="002C375E"/>
    <w:rsid w:val="002C49B5"/>
    <w:rsid w:val="002D5005"/>
    <w:rsid w:val="00303E06"/>
    <w:rsid w:val="00316280"/>
    <w:rsid w:val="00322E70"/>
    <w:rsid w:val="00354AD8"/>
    <w:rsid w:val="0037605F"/>
    <w:rsid w:val="00381E7C"/>
    <w:rsid w:val="003833B0"/>
    <w:rsid w:val="003B442B"/>
    <w:rsid w:val="003F7243"/>
    <w:rsid w:val="00400FA9"/>
    <w:rsid w:val="00415211"/>
    <w:rsid w:val="00416616"/>
    <w:rsid w:val="0042194F"/>
    <w:rsid w:val="00422EB0"/>
    <w:rsid w:val="0043019B"/>
    <w:rsid w:val="00445637"/>
    <w:rsid w:val="00450F6B"/>
    <w:rsid w:val="00452E3A"/>
    <w:rsid w:val="00474947"/>
    <w:rsid w:val="00482D3A"/>
    <w:rsid w:val="00496D40"/>
    <w:rsid w:val="004A58D3"/>
    <w:rsid w:val="004B45F2"/>
    <w:rsid w:val="004D1B69"/>
    <w:rsid w:val="004F6259"/>
    <w:rsid w:val="00533798"/>
    <w:rsid w:val="005362E4"/>
    <w:rsid w:val="005429BC"/>
    <w:rsid w:val="00560F7A"/>
    <w:rsid w:val="00562C2C"/>
    <w:rsid w:val="00581FDF"/>
    <w:rsid w:val="005933F1"/>
    <w:rsid w:val="005C6C72"/>
    <w:rsid w:val="005E0B1A"/>
    <w:rsid w:val="00621EAB"/>
    <w:rsid w:val="00622E26"/>
    <w:rsid w:val="00626814"/>
    <w:rsid w:val="00632DC2"/>
    <w:rsid w:val="00640EB6"/>
    <w:rsid w:val="00643F6D"/>
    <w:rsid w:val="00645BC8"/>
    <w:rsid w:val="00657BA0"/>
    <w:rsid w:val="006613BE"/>
    <w:rsid w:val="00687393"/>
    <w:rsid w:val="00694AB4"/>
    <w:rsid w:val="0069665F"/>
    <w:rsid w:val="006D5A51"/>
    <w:rsid w:val="006E0A30"/>
    <w:rsid w:val="006F3162"/>
    <w:rsid w:val="007120FE"/>
    <w:rsid w:val="00717111"/>
    <w:rsid w:val="0072294C"/>
    <w:rsid w:val="00752E86"/>
    <w:rsid w:val="00756776"/>
    <w:rsid w:val="00765135"/>
    <w:rsid w:val="00767F7F"/>
    <w:rsid w:val="0077298A"/>
    <w:rsid w:val="00773E32"/>
    <w:rsid w:val="007925C4"/>
    <w:rsid w:val="007A55AC"/>
    <w:rsid w:val="007A7E1E"/>
    <w:rsid w:val="007B108A"/>
    <w:rsid w:val="007E02AD"/>
    <w:rsid w:val="008045D3"/>
    <w:rsid w:val="00822374"/>
    <w:rsid w:val="00844CE1"/>
    <w:rsid w:val="00846E1A"/>
    <w:rsid w:val="00852E8F"/>
    <w:rsid w:val="00863365"/>
    <w:rsid w:val="00871E1C"/>
    <w:rsid w:val="008A3ED7"/>
    <w:rsid w:val="008B421F"/>
    <w:rsid w:val="008D2B0F"/>
    <w:rsid w:val="008D664D"/>
    <w:rsid w:val="008E3885"/>
    <w:rsid w:val="008F0169"/>
    <w:rsid w:val="008F71CC"/>
    <w:rsid w:val="00930F0B"/>
    <w:rsid w:val="00934154"/>
    <w:rsid w:val="00934C97"/>
    <w:rsid w:val="00946859"/>
    <w:rsid w:val="00953CAF"/>
    <w:rsid w:val="00957F77"/>
    <w:rsid w:val="00962A81"/>
    <w:rsid w:val="00971758"/>
    <w:rsid w:val="00973690"/>
    <w:rsid w:val="00976B9F"/>
    <w:rsid w:val="00987F82"/>
    <w:rsid w:val="009928BF"/>
    <w:rsid w:val="00992D32"/>
    <w:rsid w:val="009C54A8"/>
    <w:rsid w:val="009E1727"/>
    <w:rsid w:val="009E7C97"/>
    <w:rsid w:val="009F3A91"/>
    <w:rsid w:val="00A117FF"/>
    <w:rsid w:val="00A363EA"/>
    <w:rsid w:val="00A42AB2"/>
    <w:rsid w:val="00A5652A"/>
    <w:rsid w:val="00A70ED0"/>
    <w:rsid w:val="00A735EA"/>
    <w:rsid w:val="00A8399B"/>
    <w:rsid w:val="00AB5D90"/>
    <w:rsid w:val="00AE1F63"/>
    <w:rsid w:val="00AE5735"/>
    <w:rsid w:val="00AE6CFA"/>
    <w:rsid w:val="00AF376A"/>
    <w:rsid w:val="00AF7140"/>
    <w:rsid w:val="00B00D04"/>
    <w:rsid w:val="00B1536C"/>
    <w:rsid w:val="00B303EA"/>
    <w:rsid w:val="00B36B6E"/>
    <w:rsid w:val="00B6263E"/>
    <w:rsid w:val="00B719F5"/>
    <w:rsid w:val="00B91259"/>
    <w:rsid w:val="00B91627"/>
    <w:rsid w:val="00B959C7"/>
    <w:rsid w:val="00B96E88"/>
    <w:rsid w:val="00BB1291"/>
    <w:rsid w:val="00BB1DFC"/>
    <w:rsid w:val="00BF46EB"/>
    <w:rsid w:val="00BF5E7F"/>
    <w:rsid w:val="00C02450"/>
    <w:rsid w:val="00C16807"/>
    <w:rsid w:val="00C17935"/>
    <w:rsid w:val="00C30E41"/>
    <w:rsid w:val="00C51589"/>
    <w:rsid w:val="00C51A35"/>
    <w:rsid w:val="00C562B2"/>
    <w:rsid w:val="00C7529E"/>
    <w:rsid w:val="00C76B0C"/>
    <w:rsid w:val="00C94A6A"/>
    <w:rsid w:val="00CA3994"/>
    <w:rsid w:val="00CB243C"/>
    <w:rsid w:val="00CB3B21"/>
    <w:rsid w:val="00CB5812"/>
    <w:rsid w:val="00CD0D3E"/>
    <w:rsid w:val="00CD38B4"/>
    <w:rsid w:val="00CD4D4F"/>
    <w:rsid w:val="00CE0D58"/>
    <w:rsid w:val="00CE73F3"/>
    <w:rsid w:val="00CF20ED"/>
    <w:rsid w:val="00CF47FD"/>
    <w:rsid w:val="00D00C28"/>
    <w:rsid w:val="00D07A68"/>
    <w:rsid w:val="00D219F2"/>
    <w:rsid w:val="00D271F5"/>
    <w:rsid w:val="00D47A0C"/>
    <w:rsid w:val="00D547B1"/>
    <w:rsid w:val="00D549DA"/>
    <w:rsid w:val="00D6187B"/>
    <w:rsid w:val="00D7288E"/>
    <w:rsid w:val="00D83A04"/>
    <w:rsid w:val="00DC77A0"/>
    <w:rsid w:val="00DD2BAC"/>
    <w:rsid w:val="00DE08CA"/>
    <w:rsid w:val="00DE2C5E"/>
    <w:rsid w:val="00DE2FD6"/>
    <w:rsid w:val="00DF7BA6"/>
    <w:rsid w:val="00E00EE7"/>
    <w:rsid w:val="00E03C4E"/>
    <w:rsid w:val="00E03DEC"/>
    <w:rsid w:val="00E1616B"/>
    <w:rsid w:val="00E25D33"/>
    <w:rsid w:val="00E36608"/>
    <w:rsid w:val="00E419FE"/>
    <w:rsid w:val="00E93D6C"/>
    <w:rsid w:val="00EB418C"/>
    <w:rsid w:val="00EB4517"/>
    <w:rsid w:val="00ED53DF"/>
    <w:rsid w:val="00F0200B"/>
    <w:rsid w:val="00F40B03"/>
    <w:rsid w:val="00F41DD9"/>
    <w:rsid w:val="00F54A2F"/>
    <w:rsid w:val="00F558B5"/>
    <w:rsid w:val="00F66893"/>
    <w:rsid w:val="00F675D5"/>
    <w:rsid w:val="00F71D96"/>
    <w:rsid w:val="00F76AE8"/>
    <w:rsid w:val="00F87595"/>
    <w:rsid w:val="00F87906"/>
    <w:rsid w:val="00F96D26"/>
    <w:rsid w:val="00FB3E31"/>
    <w:rsid w:val="00FD1970"/>
    <w:rsid w:val="00FF4381"/>
    <w:rsid w:val="460B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uiPriority w:val="0"/>
    <w:rPr>
      <w:rFonts w:ascii="宋体" w:hAnsi="Courier New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纯文本 Char"/>
    <w:basedOn w:val="6"/>
    <w:link w:val="2"/>
    <w:uiPriority w:val="0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131</Words>
  <Characters>750</Characters>
  <Lines>6</Lines>
  <Paragraphs>1</Paragraphs>
  <TotalTime>666</TotalTime>
  <ScaleCrop>false</ScaleCrop>
  <LinksUpToDate>false</LinksUpToDate>
  <CharactersWithSpaces>880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2019-04-24T02:06:00Z</dcterms:created>
  <dc:creator>hp</dc:creator>
  <cp:lastModifiedBy>信息员</cp:lastModifiedBy>
  <dcterms:modified xsi:type="dcterms:W3CDTF">2026-10-29T01:53:22Z</dcterms:modified>
  <cp:revision>155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