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_Toc21716"/>
      <w:bookmarkStart w:id="1" w:name="_Toc16029"/>
      <w:bookmarkStart w:id="39" w:name="_GoBack"/>
      <w:bookmarkEnd w:id="39"/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bookmarkEnd w:id="0"/>
    <w:bookmarkEnd w:id="1"/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北京保障房中心有限公司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bookmarkStart w:id="2" w:name="_Toc28810"/>
      <w:bookmarkStart w:id="3" w:name="_Toc16627"/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快速配租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系统</w:t>
      </w:r>
      <w:bookmarkEnd w:id="2"/>
      <w:bookmarkEnd w:id="3"/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bookmarkStart w:id="4" w:name="_Toc30484"/>
      <w:bookmarkStart w:id="5" w:name="_Toc1828"/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用户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操作使用手册</w:t>
      </w:r>
      <w:bookmarkEnd w:id="4"/>
      <w:bookmarkEnd w:id="5"/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024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月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6"/>
        <w:tabs>
          <w:tab w:val="right" w:leader="dot" w:pos="8306"/>
        </w:tabs>
      </w:pPr>
      <w:r>
        <w:rPr>
          <w:rFonts w:hint="eastAsia" w:asciiTheme="minorEastAsia" w:hAnsiTheme="minorEastAsia" w:cstheme="minorEastAsia"/>
          <w:sz w:val="24"/>
        </w:rPr>
        <w:fldChar w:fldCharType="begin"/>
      </w:r>
      <w:r>
        <w:rPr>
          <w:rFonts w:hint="eastAsia" w:asciiTheme="minorEastAsia" w:hAnsiTheme="minorEastAsia" w:cstheme="minorEastAsia"/>
          <w:sz w:val="24"/>
        </w:rPr>
        <w:instrText xml:space="preserve">TOC \o "1-3" \h \u </w:instrText>
      </w:r>
      <w:r>
        <w:rPr>
          <w:rFonts w:hint="eastAsia" w:asciiTheme="minorEastAsia" w:hAnsiTheme="minorEastAsia" w:cstheme="minorEastAsia"/>
          <w:sz w:val="24"/>
        </w:rPr>
        <w:fldChar w:fldCharType="separate"/>
      </w: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_Toc6180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1. </w:t>
      </w:r>
      <w:r>
        <w:rPr>
          <w:rFonts w:hint="eastAsia"/>
        </w:rPr>
        <w:t>文档简介</w:t>
      </w:r>
      <w:r>
        <w:tab/>
      </w:r>
      <w:r>
        <w:fldChar w:fldCharType="begin"/>
      </w:r>
      <w:r>
        <w:instrText xml:space="preserve"> PAGEREF _Toc6180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_Toc7637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2. </w:t>
      </w:r>
      <w:r>
        <w:rPr>
          <w:rFonts w:hint="eastAsia"/>
          <w:lang w:val="en-US" w:eastAsia="zh-CN"/>
        </w:rPr>
        <w:t>Web端</w:t>
      </w:r>
      <w:r>
        <w:rPr>
          <w:rFonts w:hint="eastAsia"/>
        </w:rPr>
        <w:t>访问地址</w:t>
      </w:r>
      <w:r>
        <w:tab/>
      </w:r>
      <w:r>
        <w:fldChar w:fldCharType="begin"/>
      </w:r>
      <w:r>
        <w:instrText xml:space="preserve"> PAGEREF _Toc7637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_Toc15455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2.1. </w:t>
      </w:r>
      <w:r>
        <w:rPr>
          <w:rFonts w:hint="eastAsia"/>
        </w:rPr>
        <w:t>登记流程</w:t>
      </w:r>
      <w:r>
        <w:tab/>
      </w:r>
      <w:r>
        <w:fldChar w:fldCharType="begin"/>
      </w:r>
      <w:r>
        <w:instrText xml:space="preserve"> PAGEREF _Toc15455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_Toc5530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</w:rPr>
        <w:t xml:space="preserve">2.1.1. </w:t>
      </w:r>
      <w:r>
        <w:rPr>
          <w:rFonts w:hint="eastAsia" w:asciiTheme="minorEastAsia" w:hAnsiTheme="minorEastAsia" w:eastAsiaTheme="minorEastAsia" w:cstheme="minorEastAsia"/>
          <w:szCs w:val="30"/>
        </w:rPr>
        <w:t>注册、登录流程</w:t>
      </w:r>
      <w:r>
        <w:tab/>
      </w:r>
      <w:r>
        <w:fldChar w:fldCharType="begin"/>
      </w:r>
      <w:r>
        <w:instrText xml:space="preserve"> PAGEREF _Toc5530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_Toc24657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</w:rPr>
        <w:t xml:space="preserve">2.1.2. </w:t>
      </w:r>
      <w:r>
        <w:rPr>
          <w:rFonts w:hint="eastAsia" w:asciiTheme="minorEastAsia" w:hAnsiTheme="minorEastAsia" w:cstheme="minorEastAsia"/>
          <w:lang w:val="en-US" w:eastAsia="zh-CN"/>
        </w:rPr>
        <w:t>实名认证</w:t>
      </w:r>
      <w:r>
        <w:tab/>
      </w:r>
      <w:r>
        <w:fldChar w:fldCharType="begin"/>
      </w:r>
      <w:r>
        <w:instrText xml:space="preserve"> PAGEREF _Toc24657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_Toc24104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</w:rPr>
        <w:t xml:space="preserve">2.1.3. </w:t>
      </w:r>
      <w:r>
        <w:rPr>
          <w:rFonts w:hint="eastAsia" w:asciiTheme="minorEastAsia" w:hAnsiTheme="minorEastAsia" w:cstheme="minorEastAsia"/>
          <w:lang w:val="en-US" w:eastAsia="zh-CN"/>
        </w:rPr>
        <w:t>备案家庭信息认证</w:t>
      </w:r>
      <w:r>
        <w:tab/>
      </w:r>
      <w:r>
        <w:fldChar w:fldCharType="begin"/>
      </w:r>
      <w:r>
        <w:instrText xml:space="preserve"> PAGEREF _Toc24104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_Toc26399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</w:rPr>
        <w:t xml:space="preserve">2.1.4. </w:t>
      </w:r>
      <w:r>
        <w:rPr>
          <w:rFonts w:hint="eastAsia" w:asciiTheme="minorEastAsia" w:hAnsiTheme="minorEastAsia" w:cstheme="minorEastAsia"/>
          <w:szCs w:val="30"/>
          <w:lang w:eastAsia="zh-CN"/>
        </w:rPr>
        <w:t>快速配租</w:t>
      </w:r>
      <w:r>
        <w:rPr>
          <w:rFonts w:hint="eastAsia" w:asciiTheme="minorEastAsia" w:hAnsiTheme="minorEastAsia" w:eastAsiaTheme="minorEastAsia" w:cstheme="minorEastAsia"/>
          <w:szCs w:val="30"/>
        </w:rPr>
        <w:t>登记入口</w:t>
      </w:r>
      <w:r>
        <w:tab/>
      </w:r>
      <w:r>
        <w:fldChar w:fldCharType="begin"/>
      </w:r>
      <w:r>
        <w:instrText xml:space="preserve"> PAGEREF _Toc26399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_Toc12153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  <w:bCs/>
        </w:rPr>
        <w:t xml:space="preserve">2.1.5.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快速配租项目</w:t>
      </w:r>
      <w:r>
        <w:rPr>
          <w:rFonts w:hint="eastAsia" w:asciiTheme="minorEastAsia" w:hAnsiTheme="minorEastAsia" w:eastAsiaTheme="minorEastAsia" w:cstheme="minorEastAsia"/>
          <w:szCs w:val="30"/>
        </w:rPr>
        <w:t>列表页</w:t>
      </w:r>
      <w:r>
        <w:tab/>
      </w:r>
      <w:r>
        <w:fldChar w:fldCharType="begin"/>
      </w:r>
      <w:r>
        <w:instrText xml:space="preserve"> PAGEREF _Toc12153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_Toc11420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2.1.6.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Cs w:val="30"/>
        </w:rPr>
        <w:t>详情页</w:t>
      </w:r>
      <w:r>
        <w:tab/>
      </w:r>
      <w:r>
        <w:fldChar w:fldCharType="begin"/>
      </w:r>
      <w:r>
        <w:instrText xml:space="preserve"> PAGEREF _Toc11420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_Toc29388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eastAsiaTheme="minorEastAsia" w:cstheme="minorEastAsia"/>
          <w:szCs w:val="30"/>
        </w:rPr>
        <w:t xml:space="preserve">2.1.7.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选择登记套型</w:t>
      </w:r>
      <w:r>
        <w:tab/>
      </w:r>
      <w:r>
        <w:fldChar w:fldCharType="begin"/>
      </w:r>
      <w:r>
        <w:instrText xml:space="preserve"> PAGEREF _Toc29388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_Toc26336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eastAsiaTheme="minorEastAsia" w:cstheme="minorEastAsia"/>
          <w:szCs w:val="30"/>
        </w:rPr>
        <w:t xml:space="preserve">2.1.8.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登记告知书</w:t>
      </w:r>
      <w:r>
        <w:tab/>
      </w:r>
      <w:r>
        <w:fldChar w:fldCharType="begin"/>
      </w:r>
      <w:r>
        <w:instrText xml:space="preserve"> PAGEREF _Toc26336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_Toc30822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</w:rPr>
        <w:t xml:space="preserve">2.1.9. </w:t>
      </w:r>
      <w:r>
        <w:rPr>
          <w:rFonts w:hint="eastAsia" w:asciiTheme="minorEastAsia" w:hAnsiTheme="minorEastAsia" w:eastAsiaTheme="minorEastAsia" w:cstheme="minorEastAsia"/>
          <w:szCs w:val="30"/>
        </w:rPr>
        <w:t>登记成功页</w:t>
      </w:r>
      <w:r>
        <w:tab/>
      </w:r>
      <w:r>
        <w:fldChar w:fldCharType="begin"/>
      </w:r>
      <w:r>
        <w:instrText xml:space="preserve"> PAGEREF _Toc30822 \h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_Toc30080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eastAsiaTheme="minorEastAsia" w:cstheme="minorEastAsia"/>
          <w:szCs w:val="30"/>
        </w:rPr>
        <w:t xml:space="preserve">2.1.10.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打印详情</w:t>
      </w:r>
      <w:r>
        <w:tab/>
      </w:r>
      <w:r>
        <w:fldChar w:fldCharType="begin"/>
      </w:r>
      <w:r>
        <w:instrText xml:space="preserve"> PAGEREF _Toc30080 \h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_Toc14436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eastAsiaTheme="minorEastAsia" w:cstheme="minorEastAsia"/>
          <w:szCs w:val="30"/>
        </w:rPr>
        <w:t xml:space="preserve">2.1.11.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登记</w:t>
      </w:r>
      <w:r>
        <w:rPr>
          <w:rFonts w:hint="eastAsia" w:asciiTheme="minorEastAsia" w:hAnsiTheme="minorEastAsia" w:eastAsiaTheme="minorEastAsia" w:cstheme="minorEastAsia"/>
          <w:szCs w:val="30"/>
        </w:rPr>
        <w:t>结果查看</w:t>
      </w:r>
      <w:r>
        <w:tab/>
      </w:r>
      <w:r>
        <w:fldChar w:fldCharType="begin"/>
      </w:r>
      <w:r>
        <w:instrText xml:space="preserve"> PAGEREF _Toc14436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_Toc5009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cstheme="minorEastAsia"/>
        </w:rPr>
        <w:t xml:space="preserve">2.1.12. </w:t>
      </w:r>
      <w:r>
        <w:rPr>
          <w:rFonts w:hint="eastAsia" w:asciiTheme="minorEastAsia" w:hAnsiTheme="minorEastAsia" w:eastAsiaTheme="minorEastAsia" w:cstheme="minorEastAsia"/>
          <w:szCs w:val="30"/>
        </w:rPr>
        <w:t>取消登记</w:t>
      </w:r>
      <w:r>
        <w:tab/>
      </w:r>
      <w:r>
        <w:fldChar w:fldCharType="begin"/>
      </w:r>
      <w:r>
        <w:instrText xml:space="preserve"> PAGEREF _Toc5009 \h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_Toc24363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3. </w:t>
      </w:r>
      <w:r>
        <w:rPr>
          <w:rFonts w:hint="eastAsia"/>
          <w:lang w:val="en-US" w:eastAsia="zh-CN"/>
        </w:rPr>
        <w:t>App端</w:t>
      </w:r>
      <w:r>
        <w:rPr>
          <w:rFonts w:hint="eastAsia"/>
        </w:rPr>
        <w:t>访问地址</w:t>
      </w:r>
      <w:r>
        <w:tab/>
      </w:r>
      <w:r>
        <w:fldChar w:fldCharType="begin"/>
      </w:r>
      <w:r>
        <w:instrText xml:space="preserve"> PAGEREF _Toc24363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_Toc19179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3.1. </w:t>
      </w:r>
      <w:r>
        <w:rPr>
          <w:rFonts w:hint="eastAsia"/>
        </w:rPr>
        <w:t>软件安装</w:t>
      </w:r>
      <w:r>
        <w:tab/>
      </w:r>
      <w:r>
        <w:fldChar w:fldCharType="begin"/>
      </w:r>
      <w:r>
        <w:instrText xml:space="preserve"> PAGEREF _Toc19179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_Toc10801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3.2. </w:t>
      </w:r>
      <w:r>
        <w:rPr>
          <w:rFonts w:hint="eastAsia"/>
        </w:rPr>
        <w:t>软件运行</w:t>
      </w:r>
      <w:r>
        <w:tab/>
      </w:r>
      <w:r>
        <w:fldChar w:fldCharType="begin"/>
      </w:r>
      <w:r>
        <w:instrText xml:space="preserve"> PAGEREF _Toc10801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_Toc14908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3.3. </w:t>
      </w:r>
      <w:r>
        <w:rPr>
          <w:rFonts w:hint="eastAsia"/>
        </w:rPr>
        <w:t>登录</w:t>
      </w:r>
      <w:r>
        <w:tab/>
      </w:r>
      <w:r>
        <w:fldChar w:fldCharType="begin"/>
      </w:r>
      <w:r>
        <w:instrText xml:space="preserve"> PAGEREF _Toc14908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_Toc53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3.4. </w:t>
      </w:r>
      <w:r>
        <w:rPr>
          <w:rFonts w:hint="eastAsia"/>
        </w:rPr>
        <w:t>注册</w:t>
      </w:r>
      <w:r>
        <w:tab/>
      </w:r>
      <w:r>
        <w:fldChar w:fldCharType="begin"/>
      </w:r>
      <w:r>
        <w:instrText xml:space="preserve"> PAGEREF _Toc53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_Toc3304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</w:rPr>
        <w:t xml:space="preserve">3.5. </w:t>
      </w:r>
      <w:r>
        <w:rPr>
          <w:rFonts w:hint="eastAsia"/>
        </w:rPr>
        <w:t>实名认证</w:t>
      </w:r>
      <w:r>
        <w:tab/>
      </w:r>
      <w:r>
        <w:fldChar w:fldCharType="begin"/>
      </w:r>
      <w:r>
        <w:instrText xml:space="preserve"> PAGEREF _Toc3304 \h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_Toc18472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3.6. </w:t>
      </w:r>
      <w:r>
        <w:rPr>
          <w:rFonts w:hint="eastAsia"/>
          <w:lang w:val="en-US" w:eastAsia="zh-CN"/>
        </w:rPr>
        <w:t>公租房家庭备案号认证</w:t>
      </w:r>
      <w:r>
        <w:tab/>
      </w:r>
      <w:r>
        <w:fldChar w:fldCharType="begin"/>
      </w:r>
      <w:r>
        <w:instrText xml:space="preserve"> PAGEREF _Toc18472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_Toc15057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3.7. </w:t>
      </w:r>
      <w:r>
        <w:rPr>
          <w:rFonts w:hint="eastAsia"/>
          <w:lang w:val="en-US" w:eastAsia="zh-CN"/>
        </w:rPr>
        <w:t>登记流程</w:t>
      </w:r>
      <w:r>
        <w:tab/>
      </w:r>
      <w:r>
        <w:fldChar w:fldCharType="begin"/>
      </w:r>
      <w:r>
        <w:instrText xml:space="preserve"> PAGEREF _Toc15057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_Toc23625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 w:asciiTheme="minorEastAsia" w:hAnsiTheme="minorEastAsia" w:eastAsiaTheme="minorEastAsia" w:cstheme="minorEastAsia"/>
          <w:szCs w:val="30"/>
          <w:lang w:val="en-US" w:eastAsia="zh-CN"/>
        </w:rPr>
        <w:t xml:space="preserve">3.7.1. </w:t>
      </w:r>
      <w:r>
        <w:rPr>
          <w:rFonts w:hint="eastAsia" w:asciiTheme="minorEastAsia" w:hAnsiTheme="minorEastAsia" w:cstheme="minorEastAsia"/>
          <w:szCs w:val="30"/>
          <w:lang w:val="en-US" w:eastAsia="zh-CN"/>
        </w:rPr>
        <w:t>快速配租</w:t>
      </w:r>
      <w:r>
        <w:rPr>
          <w:rFonts w:hint="eastAsia" w:asciiTheme="minorEastAsia" w:hAnsiTheme="minorEastAsia" w:eastAsiaTheme="minorEastAsia" w:cstheme="minorEastAsia"/>
          <w:szCs w:val="30"/>
          <w:lang w:val="en-US" w:eastAsia="zh-CN"/>
        </w:rPr>
        <w:t>登记入口</w:t>
      </w:r>
      <w:r>
        <w:tab/>
      </w:r>
      <w:r>
        <w:fldChar w:fldCharType="begin"/>
      </w:r>
      <w:r>
        <w:instrText xml:space="preserve"> PAGEREF _Toc23625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_Toc6011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3.7.2. </w:t>
      </w:r>
      <w:r>
        <w:rPr>
          <w:rFonts w:hint="eastAsia"/>
          <w:lang w:val="en-US" w:eastAsia="zh-CN"/>
        </w:rPr>
        <w:t>项目详情页面</w:t>
      </w:r>
      <w:r>
        <w:tab/>
      </w:r>
      <w:r>
        <w:fldChar w:fldCharType="begin"/>
      </w:r>
      <w:r>
        <w:instrText xml:space="preserve"> PAGEREF _Toc6011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_Toc9032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3.7.3. </w:t>
      </w:r>
      <w:r>
        <w:rPr>
          <w:rFonts w:hint="eastAsia"/>
          <w:lang w:val="en-US" w:eastAsia="zh-CN"/>
        </w:rPr>
        <w:t>登记操作</w:t>
      </w:r>
      <w:r>
        <w:tab/>
      </w:r>
      <w:r>
        <w:fldChar w:fldCharType="begin"/>
      </w:r>
      <w:r>
        <w:instrText xml:space="preserve"> PAGEREF _Toc9032 \h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_Toc13093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3.7.4. </w:t>
      </w:r>
      <w:r>
        <w:rPr>
          <w:rFonts w:hint="eastAsia"/>
          <w:lang w:val="en-US" w:eastAsia="zh-CN"/>
        </w:rPr>
        <w:t>查看登记详情</w:t>
      </w:r>
      <w:r>
        <w:tab/>
      </w:r>
      <w:r>
        <w:fldChar w:fldCharType="begin"/>
      </w:r>
      <w:r>
        <w:instrText xml:space="preserve"> PAGEREF _Toc13093 \h </w:instrText>
      </w:r>
      <w:r>
        <w:fldChar w:fldCharType="separate"/>
      </w:r>
      <w:r>
        <w:t>22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Theme="minorEastAsia" w:hAnsiTheme="minorEastAsia" w:cstheme="minorEastAsia"/>
        </w:rPr>
        <w:fldChar w:fldCharType="begin"/>
      </w:r>
      <w:r>
        <w:rPr>
          <w:rFonts w:hint="eastAsia" w:asciiTheme="minorEastAsia" w:hAnsiTheme="minorEastAsia" w:cstheme="minorEastAsia"/>
        </w:rPr>
        <w:instrText xml:space="preserve"> HYPERLINK \l _Toc26482 </w:instrText>
      </w:r>
      <w:r>
        <w:rPr>
          <w:rFonts w:hint="eastAsia" w:asciiTheme="minorEastAsia" w:hAnsiTheme="minorEastAsia" w:cstheme="minorEastAsia"/>
        </w:rPr>
        <w:fldChar w:fldCharType="separate"/>
      </w:r>
      <w:r>
        <w:rPr>
          <w:rFonts w:hint="default"/>
          <w:lang w:val="en-US" w:eastAsia="zh-CN"/>
        </w:rPr>
        <w:t xml:space="preserve">3.7.5. </w:t>
      </w:r>
      <w:r>
        <w:rPr>
          <w:rFonts w:hint="eastAsia"/>
          <w:lang w:val="en-US" w:eastAsia="zh-CN"/>
        </w:rPr>
        <w:t>取消登记操作</w:t>
      </w:r>
      <w:r>
        <w:tab/>
      </w:r>
      <w:r>
        <w:fldChar w:fldCharType="begin"/>
      </w:r>
      <w:r>
        <w:instrText xml:space="preserve"> PAGEREF _Toc26482 \h </w:instrText>
      </w:r>
      <w:r>
        <w:fldChar w:fldCharType="separate"/>
      </w:r>
      <w:r>
        <w:t>24</w:t>
      </w:r>
      <w:r>
        <w:fldChar w:fldCharType="end"/>
      </w:r>
      <w:r>
        <w:rPr>
          <w:rFonts w:hint="eastAsia" w:asciiTheme="minorEastAsia" w:hAnsiTheme="minorEastAsia" w:cstheme="minorEastAsia"/>
        </w:rPr>
        <w:fldChar w:fldCharType="end"/>
      </w: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cstheme="minorEastAsia"/>
        </w:rPr>
        <w:fldChar w:fldCharType="end"/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bidi w:val="0"/>
      </w:pPr>
      <w:bookmarkStart w:id="6" w:name="_Toc6180"/>
      <w:r>
        <w:rPr>
          <w:rFonts w:hint="eastAsia"/>
        </w:rPr>
        <w:t>文档简介</w:t>
      </w:r>
      <w:bookmarkEnd w:id="6"/>
    </w:p>
    <w:p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此文档用于帮助备案家庭登记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快速</w:t>
      </w:r>
      <w:r>
        <w:rPr>
          <w:rFonts w:hint="eastAsia" w:ascii="宋体" w:hAnsi="宋体" w:eastAsia="宋体" w:cs="宋体"/>
          <w:sz w:val="24"/>
          <w:szCs w:val="24"/>
        </w:rPr>
        <w:t>配租项目。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（注：本文中所有配租数据为测试数据，没有参考价值！）</w:t>
      </w:r>
    </w:p>
    <w:p>
      <w:pPr>
        <w:pStyle w:val="2"/>
        <w:bidi w:val="0"/>
      </w:pPr>
      <w:bookmarkStart w:id="7" w:name="_Toc7637"/>
      <w:r>
        <w:rPr>
          <w:rFonts w:hint="eastAsia"/>
          <w:lang w:val="en-US" w:eastAsia="zh-CN"/>
        </w:rPr>
        <w:t>Web端</w:t>
      </w:r>
      <w:r>
        <w:rPr>
          <w:rFonts w:hint="eastAsia"/>
        </w:rPr>
        <w:t>访问地址</w:t>
      </w:r>
      <w:bookmarkEnd w:id="7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本次意向登记工作由申请家庭通过网络自行登记的方式进行。申请家庭自行登录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北京保障房中心有限公司</w:t>
      </w:r>
      <w:r>
        <w:rPr>
          <w:rFonts w:hint="eastAsia" w:ascii="宋体" w:hAnsi="宋体" w:eastAsia="宋体" w:cs="宋体"/>
          <w:sz w:val="24"/>
          <w:szCs w:val="24"/>
        </w:rPr>
        <w:t>官网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www.bphc.com.cn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，点击“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多元业务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公共租赁住房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-“业务办理”</w:t>
      </w:r>
      <w:r>
        <w:rPr>
          <w:rFonts w:hint="eastAsia" w:ascii="宋体" w:hAnsi="宋体" w:eastAsia="宋体" w:cs="宋体"/>
          <w:sz w:val="24"/>
          <w:szCs w:val="24"/>
        </w:rPr>
        <w:t>按钮进入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配租登记计划</w:t>
      </w:r>
      <w:r>
        <w:rPr>
          <w:rFonts w:hint="eastAsia" w:ascii="宋体" w:hAnsi="宋体" w:eastAsia="宋体" w:cs="宋体"/>
          <w:sz w:val="24"/>
          <w:szCs w:val="24"/>
        </w:rPr>
        <w:t>界面。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2880" cy="1960245"/>
            <wp:effectExtent l="0" t="0" r="10160" b="571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</w:pPr>
      <w:bookmarkStart w:id="8" w:name="_Toc15455"/>
      <w:r>
        <w:rPr>
          <w:rFonts w:hint="eastAsia"/>
        </w:rPr>
        <w:t>登记流程</w:t>
      </w:r>
      <w:bookmarkEnd w:id="8"/>
    </w:p>
    <w:p>
      <w:pPr>
        <w:pStyle w:val="4"/>
        <w:rPr>
          <w:rFonts w:hint="eastAsia" w:asciiTheme="minorEastAsia" w:hAnsiTheme="minorEastAsia" w:cstheme="minorEastAsia"/>
          <w:sz w:val="24"/>
        </w:rPr>
      </w:pPr>
      <w:bookmarkStart w:id="9" w:name="_Toc5530"/>
      <w:r>
        <w:rPr>
          <w:rFonts w:hint="eastAsia" w:asciiTheme="minorEastAsia" w:hAnsiTheme="minorEastAsia" w:eastAsiaTheme="minorEastAsia" w:cstheme="minorEastAsia"/>
          <w:sz w:val="30"/>
          <w:szCs w:val="30"/>
        </w:rPr>
        <w:t>注册、登录流程</w:t>
      </w:r>
      <w:bookmarkEnd w:id="9"/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登记的前提是完成注册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并登录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点击官网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首页右上角的</w:t>
      </w:r>
      <w:r>
        <w:rPr>
          <w:rFonts w:hint="eastAsia" w:ascii="宋体" w:hAnsi="宋体" w:eastAsia="宋体" w:cs="宋体"/>
          <w:sz w:val="24"/>
          <w:szCs w:val="24"/>
        </w:rPr>
        <w:t>“注册”“登录”入口，分别进入“注册页面”以及“登录页面”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注册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登录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cstheme="minorEastAsia"/>
          <w:sz w:val="24"/>
        </w:rPr>
      </w:pPr>
      <w:bookmarkStart w:id="10" w:name="_Toc24657"/>
      <w:r>
        <w:rPr>
          <w:rFonts w:hint="eastAsia" w:asciiTheme="minorEastAsia" w:hAnsiTheme="minorEastAsia" w:cstheme="minorEastAsia"/>
          <w:sz w:val="24"/>
          <w:lang w:val="en-US" w:eastAsia="zh-CN"/>
        </w:rPr>
        <w:t>实名认证</w:t>
      </w:r>
      <w:bookmarkEnd w:id="10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入口1：在注册时可以填写姓名与身份证信息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8595" cy="2623185"/>
            <wp:effectExtent l="0" t="0" r="4445" b="13335"/>
            <wp:docPr id="58" name="图片 58" descr="169934986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6993498626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入口2：登录后，点击首页右上角的登录账号，进入“个人中心”，选择“个人信息”中的“基本信息”，点击“去实名认证”，填写姓名与身份证信息后点击“保存”，即可完成实名认证操作。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8595" cy="2623185"/>
            <wp:effectExtent l="0" t="0" r="4445" b="13335"/>
            <wp:docPr id="59" name="图片 59" descr="169934993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69934993093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3515" cy="1678940"/>
            <wp:effectExtent l="0" t="0" r="9525" b="12700"/>
            <wp:docPr id="60" name="图片 60" descr="1699349956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69934995687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cstheme="minorEastAsia"/>
          <w:sz w:val="24"/>
        </w:rPr>
      </w:pPr>
      <w:bookmarkStart w:id="11" w:name="_Toc24104"/>
      <w:r>
        <w:rPr>
          <w:rFonts w:hint="eastAsia" w:asciiTheme="minorEastAsia" w:hAnsiTheme="minorEastAsia" w:cstheme="minorEastAsia"/>
          <w:sz w:val="24"/>
          <w:lang w:val="en-US" w:eastAsia="zh-CN"/>
        </w:rPr>
        <w:t>备案家庭信息认证</w:t>
      </w:r>
      <w:bookmarkEnd w:id="11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点击首页右上角的登录账号，进入“个人中心”，选择“个人信息”中的“公租房备案家庭信息”，点击“去公租房备案家庭信息认证”，填入公租房备案编号与验证码，验证成功后，完成备案家庭信息认证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6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201545"/>
            <wp:effectExtent l="0" t="0" r="4445" b="8255"/>
            <wp:docPr id="6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cstheme="minorEastAsia"/>
          <w:sz w:val="24"/>
        </w:rPr>
      </w:pPr>
      <w:bookmarkStart w:id="12" w:name="_Toc26399"/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快速配租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登记入口</w:t>
      </w:r>
      <w:bookmarkEnd w:id="12"/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配租登记计划界面：选择意向登记的配租计划，点击“点击查看”进入配租项目列表页面。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8595" cy="2623185"/>
            <wp:effectExtent l="0" t="0" r="4445" b="13335"/>
            <wp:docPr id="18" name="图片 18" descr="169934620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9934620329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cstheme="minorEastAsia"/>
          <w:b/>
          <w:bCs/>
          <w:sz w:val="24"/>
        </w:rPr>
      </w:pPr>
      <w:bookmarkStart w:id="13" w:name="_Toc12153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快速配租项目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列表页</w:t>
      </w:r>
      <w:bookmarkEnd w:id="13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展示快速配租选房小区列表并展示对应项目的选房时间，点击“查看项目详情”进入详情页。</w:t>
      </w:r>
    </w:p>
    <w:p>
      <w:r>
        <w:drawing>
          <wp:inline distT="0" distB="0" distL="114300" distR="114300">
            <wp:extent cx="5268595" cy="2623185"/>
            <wp:effectExtent l="0" t="0" r="444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5268595" cy="2623185"/>
            <wp:effectExtent l="0" t="0" r="4445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4" w:name="_Toc11420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详情页</w:t>
      </w:r>
      <w:bookmarkEnd w:id="14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展示可登记的房源列表，点击“去登记”可进入房源详情页面。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drawing>
          <wp:inline distT="0" distB="0" distL="114300" distR="114300">
            <wp:extent cx="5268595" cy="2623185"/>
            <wp:effectExtent l="0" t="0" r="4445" b="133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eastAsiaTheme="minorEastAsia" w:cstheme="minorEastAsia"/>
          <w:sz w:val="30"/>
          <w:szCs w:val="30"/>
        </w:rPr>
      </w:pPr>
      <w:bookmarkStart w:id="15" w:name="_Toc29388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选择登记套型</w:t>
      </w:r>
      <w:bookmarkEnd w:id="15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选择需要登记的备案套型。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2405" cy="2360930"/>
            <wp:effectExtent l="0" t="0" r="635" b="12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pStyle w:val="4"/>
        <w:rPr>
          <w:rFonts w:asciiTheme="minorEastAsia" w:hAnsiTheme="minorEastAsia" w:eastAsiaTheme="minorEastAsia" w:cstheme="minorEastAsia"/>
          <w:sz w:val="30"/>
          <w:szCs w:val="30"/>
        </w:rPr>
      </w:pPr>
      <w:bookmarkStart w:id="16" w:name="_Toc26336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登记告知书</w:t>
      </w:r>
      <w:bookmarkEnd w:id="16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展示登记告知书内容，全部预览完成且勾选已阅读登记供告知书后，点击“确定”即可完成对该房源的登记操作。</w:t>
      </w:r>
    </w:p>
    <w:p>
      <w:r>
        <w:drawing>
          <wp:inline distT="0" distB="0" distL="114300" distR="114300">
            <wp:extent cx="5268595" cy="2623185"/>
            <wp:effectExtent l="0" t="0" r="4445" b="1333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2770505" cy="3127375"/>
            <wp:effectExtent l="0" t="0" r="3175" b="1206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cstheme="minorEastAsia"/>
          <w:sz w:val="24"/>
        </w:rPr>
      </w:pPr>
      <w:bookmarkStart w:id="17" w:name="_Toc30822"/>
      <w:r>
        <w:rPr>
          <w:rFonts w:hint="eastAsia" w:asciiTheme="minorEastAsia" w:hAnsiTheme="minorEastAsia" w:eastAsiaTheme="minorEastAsia" w:cstheme="minorEastAsia"/>
          <w:sz w:val="30"/>
          <w:szCs w:val="30"/>
        </w:rPr>
        <w:t>登记成功页</w:t>
      </w:r>
      <w:bookmarkEnd w:id="17"/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登记成功之后出现该页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可以点击具体按钮，进行打印、跳转用户中心查看结果，或继续选择项目进行登记。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eastAsiaTheme="minorEastAsia" w:cstheme="minorEastAsia"/>
          <w:sz w:val="30"/>
          <w:szCs w:val="30"/>
        </w:rPr>
      </w:pPr>
      <w:bookmarkStart w:id="18" w:name="_Toc30080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打印详情</w:t>
      </w:r>
      <w:bookmarkEnd w:id="18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可点击右上角的“打印”按钮，进行打印操作。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8595" cy="2623185"/>
            <wp:effectExtent l="0" t="0" r="4445" b="1333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eastAsiaTheme="minorEastAsia" w:cstheme="minorEastAsia"/>
          <w:sz w:val="30"/>
          <w:szCs w:val="30"/>
        </w:rPr>
      </w:pPr>
      <w:bookmarkStart w:id="19" w:name="_Toc14436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登记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结果查看</w:t>
      </w:r>
      <w:bookmarkEnd w:id="19"/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点击首页右上角的登录账号，进入“个人中心”，选择“业务记录”中的“配租记录”，即可查看刚刚登记的信息。点击“查看更多”支持进行取消登记与打印登记详情操作。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2713355"/>
            <wp:effectExtent l="0" t="0" r="2540" b="14605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8595" cy="2623185"/>
            <wp:effectExtent l="0" t="0" r="4445" b="1333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Theme="minorEastAsia" w:hAnsiTheme="minorEastAsia" w:cstheme="minorEastAsia"/>
          <w:sz w:val="24"/>
        </w:rPr>
      </w:pPr>
      <w:bookmarkStart w:id="20" w:name="_Toc5009"/>
      <w:r>
        <w:rPr>
          <w:rFonts w:hint="eastAsia" w:asciiTheme="minorEastAsia" w:hAnsiTheme="minorEastAsia" w:eastAsiaTheme="minorEastAsia" w:cstheme="minorEastAsia"/>
          <w:sz w:val="30"/>
          <w:szCs w:val="30"/>
        </w:rPr>
        <w:t>取消登记</w:t>
      </w:r>
      <w:bookmarkEnd w:id="20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勾选将要取消登记的房源，点击“取消登记”按钮，验证验证码后，完成取消登记操作。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drawing>
          <wp:inline distT="0" distB="0" distL="114300" distR="114300">
            <wp:extent cx="5268595" cy="2623185"/>
            <wp:effectExtent l="0" t="0" r="4445" b="1333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5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1492250"/>
            <wp:effectExtent l="0" t="0" r="4445" b="1270"/>
            <wp:docPr id="5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bookmarkStart w:id="21" w:name="_Toc24363"/>
      <w:r>
        <w:rPr>
          <w:rFonts w:hint="eastAsia"/>
          <w:lang w:val="en-US" w:eastAsia="zh-CN"/>
        </w:rPr>
        <w:t>App端</w:t>
      </w:r>
      <w:r>
        <w:rPr>
          <w:rFonts w:hint="eastAsia"/>
        </w:rPr>
        <w:t>访问地址</w:t>
      </w:r>
      <w:bookmarkEnd w:id="21"/>
    </w:p>
    <w:p>
      <w:pPr>
        <w:spacing w:line="20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266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bidi w:val="0"/>
      </w:pPr>
      <w:bookmarkStart w:id="22" w:name="_Toc106804474"/>
      <w:bookmarkStart w:id="23" w:name="_Toc19179"/>
      <w:r>
        <w:rPr>
          <w:rFonts w:hint="eastAsia"/>
        </w:rPr>
        <w:t>软件安装</w:t>
      </w:r>
      <w:bookmarkEnd w:id="22"/>
      <w:bookmarkEnd w:id="23"/>
    </w:p>
    <w:p>
      <w:pPr>
        <w:spacing w:line="252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4"/>
        </w:numPr>
        <w:spacing w:line="276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扫描二维码（进入网址：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"https://www.bphc.com.cn/home"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21"/>
          <w:rFonts w:hint="eastAsia" w:ascii="宋体" w:hAnsi="宋体" w:eastAsia="宋体" w:cs="宋体"/>
          <w:sz w:val="24"/>
          <w:szCs w:val="24"/>
        </w:rPr>
        <w:t>北京保障房中心有限公司 (bphc.com.cn)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右上方的“手机APP下载”</w:t>
      </w:r>
      <w:r>
        <w:rPr>
          <w:rFonts w:hint="eastAsia" w:ascii="宋体" w:hAnsi="宋体" w:eastAsia="宋体" w:cs="宋体"/>
          <w:sz w:val="24"/>
          <w:szCs w:val="24"/>
        </w:rPr>
        <w:t>下载安装保障房中心APP。</w:t>
      </w:r>
    </w:p>
    <w:p>
      <w:pPr>
        <w:numPr>
          <w:ilvl w:val="0"/>
          <w:numId w:val="0"/>
        </w:numPr>
        <w:spacing w:line="276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2623185"/>
            <wp:effectExtent l="0" t="0" r="4445" b="13335"/>
            <wp:docPr id="6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276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通过手机自带的应用市场下载app：在应用市场中搜索“北京保障房”下载。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727200" cy="3925570"/>
            <wp:effectExtent l="0" t="0" r="10160" b="6350"/>
            <wp:docPr id="6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52295" cy="3931285"/>
            <wp:effectExtent l="0" t="0" r="6985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39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278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bidi w:val="0"/>
      </w:pPr>
      <w:bookmarkStart w:id="24" w:name="_Toc10801"/>
      <w:bookmarkStart w:id="25" w:name="_Toc106804475"/>
      <w:r>
        <w:rPr>
          <w:rFonts w:hint="eastAsia"/>
        </w:rPr>
        <w:t>软件运行</w:t>
      </w:r>
      <w:bookmarkEnd w:id="24"/>
      <w:bookmarkEnd w:id="25"/>
    </w:p>
    <w:p>
      <w:pPr>
        <w:spacing w:line="278" w:lineRule="exact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spacing w:line="278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用户在安装完毕后，点击桌面图标即可进入 北京保障房APP 首页，首页界面如下图：</w:t>
      </w:r>
    </w:p>
    <w:p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116455" cy="4702810"/>
            <wp:effectExtent l="0" t="0" r="1905" b="6350"/>
            <wp:docPr id="65" name="图片 65" descr="12412694418f17d3466e0605a46b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2412694418f17d3466e0605a46b43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47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</w:pPr>
      <w:bookmarkStart w:id="26" w:name="_Toc106804476"/>
      <w:bookmarkStart w:id="27" w:name="_Toc14908"/>
      <w:r>
        <w:rPr>
          <w:rFonts w:hint="eastAsia"/>
        </w:rPr>
        <w:t>登录</w:t>
      </w:r>
      <w:bookmarkEnd w:id="26"/>
      <w:bookmarkEnd w:id="27"/>
    </w:p>
    <w:p>
      <w:pPr>
        <w:ind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注册成功的用户通过以下步骤进行验证码登陆：</w:t>
      </w:r>
    </w:p>
    <w:p>
      <w:pPr>
        <w:ind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方式一：点击 ”我的“图标→文本框左上角“立即登录“→登录界面→输入手机号、验证码→登陆。</w:t>
      </w:r>
    </w:p>
    <w:p>
      <w:pPr>
        <w:ind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方式二：点击 ”我的“图标→文本框左上角“立即登录“→登录界面→切换为密码登录→输入手机号、密码→登陆。界面如图：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73580" cy="4399280"/>
            <wp:effectExtent l="0" t="0" r="7620" b="5080"/>
            <wp:docPr id="6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64690" cy="4367530"/>
            <wp:effectExtent l="0" t="0" r="1270" b="6350"/>
            <wp:docPr id="6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62150" cy="4553585"/>
            <wp:effectExtent l="0" t="0" r="3810" b="3175"/>
            <wp:docPr id="6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58975" cy="4545330"/>
            <wp:effectExtent l="0" t="0" r="6985" b="11430"/>
            <wp:docPr id="7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45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</w:pPr>
      <w:bookmarkStart w:id="28" w:name="_Toc53"/>
      <w:bookmarkStart w:id="29" w:name="_Toc106804477"/>
      <w:r>
        <w:rPr>
          <w:rFonts w:hint="eastAsia"/>
        </w:rPr>
        <w:t>注册</w:t>
      </w:r>
      <w:bookmarkEnd w:id="28"/>
      <w:bookmarkEnd w:id="29"/>
    </w:p>
    <w:p>
      <w:pPr>
        <w:ind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用户第一次访问的时候，通过以下步骤进行用户注册：</w:t>
      </w:r>
    </w:p>
    <w:p>
      <w:pPr>
        <w:ind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 ”我的“图标→文本框左上角“立即登录“→登录界面→”注册“→输入手机号→点击获取验证码→输入验证码→输入密码→确认密码→提交注册。</w:t>
      </w:r>
    </w:p>
    <w:p>
      <w:pPr>
        <w:ind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注册界面如下图：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751965" cy="3766820"/>
            <wp:effectExtent l="0" t="0" r="635" b="12700"/>
            <wp:docPr id="7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782445" cy="3787140"/>
            <wp:effectExtent l="0" t="0" r="635" b="7620"/>
            <wp:docPr id="7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bidi w:val="0"/>
      </w:pPr>
      <w:bookmarkStart w:id="30" w:name="_Toc106804478"/>
      <w:bookmarkStart w:id="31" w:name="_Toc3304"/>
      <w:r>
        <w:rPr>
          <w:rFonts w:hint="eastAsia"/>
        </w:rPr>
        <w:t>实名认证</w:t>
      </w:r>
      <w:bookmarkEnd w:id="30"/>
      <w:bookmarkEnd w:id="31"/>
    </w:p>
    <w:p>
      <w:pPr>
        <w:spacing w:line="0" w:lineRule="atLeas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eastAsia="宋体" w:cs="宋体"/>
          <w:sz w:val="24"/>
          <w:szCs w:val="24"/>
        </w:rPr>
        <w:t>成功的用户通过以下步骤进行实名登记操作：</w:t>
      </w:r>
    </w:p>
    <w:p>
      <w:pPr>
        <w:pStyle w:val="27"/>
        <w:numPr>
          <w:ilvl w:val="0"/>
          <w:numId w:val="5"/>
        </w:numPr>
        <w:spacing w:line="0" w:lineRule="atLeast"/>
        <w:ind w:firstLineChars="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个人中心实名</w:t>
      </w:r>
      <w:r>
        <w:rPr>
          <w:rFonts w:hint="eastAsia" w:ascii="微软雅黑" w:hAnsi="微软雅黑" w:eastAsia="微软雅黑" w:cs="微软雅黑"/>
          <w:sz w:val="24"/>
          <w:szCs w:val="24"/>
        </w:rPr>
        <w:t>：进入首页，点击“我的”</w:t>
      </w:r>
      <w:r>
        <w:rPr>
          <w:rFonts w:ascii="微软雅黑" w:hAnsi="微软雅黑" w:eastAsia="微软雅黑" w:cs="微软雅黑"/>
          <w:sz w:val="24"/>
          <w:szCs w:val="24"/>
        </w:rPr>
        <w:t>→</w:t>
      </w:r>
      <w:r>
        <w:rPr>
          <w:rFonts w:hint="eastAsia" w:ascii="微软雅黑" w:hAnsi="微软雅黑" w:eastAsia="微软雅黑" w:cs="微软雅黑"/>
          <w:sz w:val="24"/>
          <w:szCs w:val="24"/>
        </w:rPr>
        <w:t>点击“个人中心”</w:t>
      </w:r>
      <w:r>
        <w:rPr>
          <w:rFonts w:ascii="微软雅黑" w:hAnsi="微软雅黑" w:eastAsia="微软雅黑" w:cs="微软雅黑"/>
          <w:sz w:val="24"/>
          <w:szCs w:val="24"/>
        </w:rPr>
        <w:t>→</w:t>
      </w:r>
      <w:r>
        <w:rPr>
          <w:rFonts w:hint="eastAsia" w:ascii="微软雅黑" w:hAnsi="微软雅黑" w:eastAsia="微软雅黑" w:cs="微软雅黑"/>
          <w:sz w:val="24"/>
          <w:szCs w:val="24"/>
        </w:rPr>
        <w:t>进入个人中心，点击“去认证”</w:t>
      </w:r>
      <w:r>
        <w:rPr>
          <w:rFonts w:ascii="微软雅黑" w:hAnsi="微软雅黑" w:eastAsia="微软雅黑" w:cs="微软雅黑"/>
          <w:sz w:val="24"/>
          <w:szCs w:val="24"/>
        </w:rPr>
        <w:t>→</w:t>
      </w:r>
      <w:r>
        <w:rPr>
          <w:rFonts w:hint="eastAsia" w:ascii="微软雅黑" w:hAnsi="微软雅黑" w:eastAsia="微软雅黑" w:cs="微软雅黑"/>
          <w:sz w:val="24"/>
          <w:szCs w:val="24"/>
        </w:rPr>
        <w:t>填写姓名、身份号</w:t>
      </w:r>
      <w:r>
        <w:rPr>
          <w:rFonts w:ascii="微软雅黑" w:hAnsi="微软雅黑" w:eastAsia="微软雅黑" w:cs="微软雅黑"/>
          <w:sz w:val="24"/>
          <w:szCs w:val="24"/>
        </w:rPr>
        <w:t>→</w:t>
      </w:r>
      <w:r>
        <w:rPr>
          <w:rFonts w:hint="eastAsia" w:ascii="微软雅黑" w:hAnsi="微软雅黑" w:eastAsia="微软雅黑" w:cs="微软雅黑"/>
          <w:sz w:val="24"/>
          <w:szCs w:val="24"/>
        </w:rPr>
        <w:t>点击认证</w:t>
      </w:r>
    </w:p>
    <w:p>
      <w:pPr>
        <w:spacing w:line="0" w:lineRule="atLeast"/>
        <w:ind w:left="240"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实名认证界面如下图：</w:t>
      </w:r>
    </w:p>
    <w:p>
      <w:pPr>
        <w:ind w:firstLine="48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479550" cy="3199130"/>
            <wp:effectExtent l="0" t="0" r="13970" b="1270"/>
            <wp:docPr id="4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585595" cy="3182620"/>
            <wp:effectExtent l="0" t="0" r="14605" b="2540"/>
            <wp:docPr id="4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668780" cy="3192145"/>
            <wp:effectExtent l="0" t="0" r="7620" b="8255"/>
            <wp:docPr id="5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32" w:name="_Toc18472"/>
      <w:r>
        <w:rPr>
          <w:rFonts w:hint="eastAsia"/>
          <w:lang w:val="en-US" w:eastAsia="zh-CN"/>
        </w:rPr>
        <w:t>公租房家庭备案号认证</w:t>
      </w:r>
      <w:bookmarkEnd w:id="32"/>
    </w:p>
    <w:p>
      <w:pPr>
        <w:spacing w:line="0" w:lineRule="atLeas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登录并实名</w:t>
      </w:r>
      <w:r>
        <w:rPr>
          <w:rFonts w:hint="eastAsia" w:ascii="宋体" w:hAnsi="宋体" w:eastAsia="宋体" w:cs="宋体"/>
          <w:sz w:val="24"/>
          <w:szCs w:val="24"/>
        </w:rPr>
        <w:t>成功的用户通过以下步骤进行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家庭备案号认证</w:t>
      </w:r>
      <w:r>
        <w:rPr>
          <w:rFonts w:hint="eastAsia" w:ascii="宋体" w:hAnsi="宋体" w:eastAsia="宋体" w:cs="宋体"/>
          <w:sz w:val="24"/>
          <w:szCs w:val="24"/>
        </w:rPr>
        <w:t>操作：</w:t>
      </w:r>
    </w:p>
    <w:p>
      <w:pPr>
        <w:spacing w:line="0" w:lineRule="atLeast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个人中心认证：</w:t>
      </w:r>
      <w:r>
        <w:rPr>
          <w:rFonts w:hint="eastAsia" w:ascii="宋体" w:hAnsi="宋体" w:eastAsia="宋体" w:cs="宋体"/>
          <w:sz w:val="24"/>
          <w:szCs w:val="24"/>
        </w:rPr>
        <w:t>进入首页，点击“我的”→点击“个人中心”→进入个人中心，点击“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家庭备案号</w:t>
      </w:r>
      <w:r>
        <w:rPr>
          <w:rFonts w:hint="eastAsia" w:ascii="宋体" w:hAnsi="宋体" w:eastAsia="宋体" w:cs="宋体"/>
          <w:sz w:val="24"/>
          <w:szCs w:val="24"/>
        </w:rPr>
        <w:t>认证”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</w:t>
      </w:r>
      <w:r>
        <w:rPr>
          <w:rFonts w:hint="eastAsia" w:ascii="宋体" w:hAnsi="宋体" w:eastAsia="宋体" w:cs="宋体"/>
          <w:sz w:val="24"/>
          <w:szCs w:val="24"/>
        </w:rPr>
        <w:t>认证</w:t>
      </w:r>
    </w:p>
    <w:p>
      <w:pPr>
        <w:spacing w:line="0" w:lineRule="atLeast"/>
        <w:ind w:left="240"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实名认证界面如下图：</w:t>
      </w:r>
    </w:p>
    <w:p>
      <w:pPr>
        <w:ind w:firstLine="480" w:firstLineChars="20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626870" cy="3436620"/>
            <wp:effectExtent l="0" t="0" r="3810" b="7620"/>
            <wp:docPr id="7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33" w:name="_Toc15057"/>
      <w:r>
        <w:rPr>
          <w:rFonts w:hint="eastAsia"/>
          <w:lang w:val="en-US" w:eastAsia="zh-CN"/>
        </w:rPr>
        <w:t>登记流程</w:t>
      </w:r>
      <w:bookmarkEnd w:id="33"/>
    </w:p>
    <w:p>
      <w:pPr>
        <w:pStyle w:val="4"/>
        <w:ind w:left="720" w:hanging="72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34" w:name="_Toc23625"/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快速配租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登记入口</w:t>
      </w:r>
      <w:bookmarkEnd w:id="34"/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进入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业务办理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，点击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“快速配租”模块，进入快速配租计划页面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643380" cy="3639185"/>
            <wp:effectExtent l="0" t="0" r="2540" b="317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2595" cy="3656330"/>
            <wp:effectExtent l="0" t="0" r="9525" b="12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35" w:name="_Toc6011"/>
      <w:r>
        <w:rPr>
          <w:rFonts w:hint="eastAsia"/>
          <w:lang w:val="en-US" w:eastAsia="zh-CN"/>
        </w:rPr>
        <w:t>项目详情页面</w:t>
      </w:r>
      <w:bookmarkEnd w:id="35"/>
    </w:p>
    <w:p>
      <w:pPr>
        <w:numPr>
          <w:ilvl w:val="0"/>
          <w:numId w:val="0"/>
        </w:numPr>
        <w:ind w:left="420"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点击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相应配租计划的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查看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按钮，</w:t>
      </w:r>
      <w:r>
        <w:rPr>
          <w:rFonts w:hint="eastAsia" w:ascii="宋体" w:hAnsi="宋体" w:eastAsia="宋体" w:cs="宋体"/>
          <w:sz w:val="24"/>
          <w:szCs w:val="24"/>
        </w:rPr>
        <w:t>进入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项目详情页面。支持针对符合用户备案套型的房源进行登记操作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853565" cy="4060190"/>
            <wp:effectExtent l="0" t="0" r="5715" b="889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04365" cy="4068445"/>
            <wp:effectExtent l="0" t="0" r="635" b="63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36" w:name="_Toc9032"/>
      <w:r>
        <w:rPr>
          <w:rFonts w:hint="eastAsia"/>
          <w:lang w:val="en-US" w:eastAsia="zh-CN"/>
        </w:rPr>
        <w:t>登记操作</w:t>
      </w:r>
      <w:bookmarkEnd w:id="36"/>
    </w:p>
    <w:p>
      <w:pPr>
        <w:numPr>
          <w:ilvl w:val="0"/>
          <w:numId w:val="0"/>
        </w:numPr>
        <w:ind w:left="420"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点击对应的房源“立即登记”按钮，展示登记告知书页面，阅读后勾选“以上内容我已阅读”后可以进行确认登记操作。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148840" cy="4625340"/>
            <wp:effectExtent l="0" t="0" r="0" b="762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48840" cy="4625975"/>
            <wp:effectExtent l="0" t="0" r="0" b="698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720" w:hanging="720"/>
        <w:rPr>
          <w:rFonts w:hint="default"/>
          <w:lang w:val="en-US" w:eastAsia="zh-CN"/>
        </w:rPr>
      </w:pPr>
      <w:bookmarkStart w:id="37" w:name="_Toc13093"/>
      <w:r>
        <w:rPr>
          <w:rFonts w:hint="eastAsia"/>
          <w:lang w:val="en-US" w:eastAsia="zh-CN"/>
        </w:rPr>
        <w:t>查看登记详情</w:t>
      </w:r>
      <w:bookmarkEnd w:id="37"/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入口1：进入首页中的“公租房”模块，选择“我的记录”-“配租记录”-“公共租赁住房配租记录”查看配租信息。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737360" cy="3667760"/>
            <wp:effectExtent l="0" t="0" r="0" b="5080"/>
            <wp:docPr id="7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28495" cy="3654425"/>
            <wp:effectExtent l="0" t="0" r="6985" b="3175"/>
            <wp:docPr id="7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3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682750" cy="3562350"/>
            <wp:effectExtent l="0" t="0" r="8890" b="3810"/>
            <wp:docPr id="7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3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706880" cy="3573145"/>
            <wp:effectExtent l="0" t="0" r="0" b="8255"/>
            <wp:docPr id="8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1988820" cy="4309110"/>
            <wp:effectExtent l="0" t="0" r="7620" b="3810"/>
            <wp:docPr id="81" name="图片 81" descr="aef2b8a3faff9da117453805a5b8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aef2b8a3faff9da117453805a5b84ae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720" w:hanging="720"/>
        <w:rPr>
          <w:rFonts w:hint="default"/>
          <w:lang w:val="en-US" w:eastAsia="zh-CN"/>
        </w:rPr>
      </w:pPr>
      <w:bookmarkStart w:id="38" w:name="_Toc26482"/>
      <w:r>
        <w:rPr>
          <w:rFonts w:hint="eastAsia"/>
          <w:lang w:val="en-US" w:eastAsia="zh-CN"/>
        </w:rPr>
        <w:t>取消登记操作</w:t>
      </w:r>
      <w:bookmarkEnd w:id="38"/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点击“取消登记”按钮。校验验证码后即可完成操作。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984500" cy="6631940"/>
            <wp:effectExtent l="0" t="0" r="2540" b="12700"/>
            <wp:docPr id="46" name="图片 46" descr="ac21fea587c90a597a8edcca3630b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ac21fea587c90a597a8edcca3630bcb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663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EB3E9"/>
    <w:multiLevelType w:val="singleLevel"/>
    <w:tmpl w:val="0AAEB3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856EB7"/>
    <w:multiLevelType w:val="multilevel"/>
    <w:tmpl w:val="22856EB7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596444F5"/>
    <w:multiLevelType w:val="singleLevel"/>
    <w:tmpl w:val="596444F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9644589"/>
    <w:multiLevelType w:val="multilevel"/>
    <w:tmpl w:val="5964458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736BDB09"/>
    <w:multiLevelType w:val="multilevel"/>
    <w:tmpl w:val="736BDB0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zYzk5YjFhZDA1NzhiMTBlZTZhYWIxZmUwNjdjNWMifQ=="/>
  </w:docVars>
  <w:rsids>
    <w:rsidRoot w:val="41875FF2"/>
    <w:rsid w:val="00044D4F"/>
    <w:rsid w:val="000711D0"/>
    <w:rsid w:val="000B3AFB"/>
    <w:rsid w:val="0012380F"/>
    <w:rsid w:val="00142949"/>
    <w:rsid w:val="00171D64"/>
    <w:rsid w:val="001B3185"/>
    <w:rsid w:val="001F35FE"/>
    <w:rsid w:val="001F5470"/>
    <w:rsid w:val="001F5E43"/>
    <w:rsid w:val="00203FDC"/>
    <w:rsid w:val="00244E43"/>
    <w:rsid w:val="00287637"/>
    <w:rsid w:val="002E6347"/>
    <w:rsid w:val="00331642"/>
    <w:rsid w:val="00344910"/>
    <w:rsid w:val="00386F08"/>
    <w:rsid w:val="0040274B"/>
    <w:rsid w:val="004029F1"/>
    <w:rsid w:val="004A4FC9"/>
    <w:rsid w:val="004B4D4F"/>
    <w:rsid w:val="00561EAB"/>
    <w:rsid w:val="00570E57"/>
    <w:rsid w:val="005A4302"/>
    <w:rsid w:val="005B1D24"/>
    <w:rsid w:val="00601E4A"/>
    <w:rsid w:val="00606408"/>
    <w:rsid w:val="0062714A"/>
    <w:rsid w:val="00636968"/>
    <w:rsid w:val="00647E6C"/>
    <w:rsid w:val="00670923"/>
    <w:rsid w:val="006B42DA"/>
    <w:rsid w:val="006C37BF"/>
    <w:rsid w:val="006D30EE"/>
    <w:rsid w:val="006D6961"/>
    <w:rsid w:val="00716CB0"/>
    <w:rsid w:val="0073789B"/>
    <w:rsid w:val="00746A1E"/>
    <w:rsid w:val="0075383A"/>
    <w:rsid w:val="00757330"/>
    <w:rsid w:val="007D03BD"/>
    <w:rsid w:val="007D4E92"/>
    <w:rsid w:val="00803459"/>
    <w:rsid w:val="00813141"/>
    <w:rsid w:val="00815EF1"/>
    <w:rsid w:val="0087147E"/>
    <w:rsid w:val="008830C2"/>
    <w:rsid w:val="008B2BDA"/>
    <w:rsid w:val="008C50A2"/>
    <w:rsid w:val="008D67C4"/>
    <w:rsid w:val="008F44ED"/>
    <w:rsid w:val="0096487C"/>
    <w:rsid w:val="00991CDA"/>
    <w:rsid w:val="00A24503"/>
    <w:rsid w:val="00A35620"/>
    <w:rsid w:val="00A41C0F"/>
    <w:rsid w:val="00A4398A"/>
    <w:rsid w:val="00A80373"/>
    <w:rsid w:val="00A868D7"/>
    <w:rsid w:val="00AA48BF"/>
    <w:rsid w:val="00AC2991"/>
    <w:rsid w:val="00AC3191"/>
    <w:rsid w:val="00AE7A06"/>
    <w:rsid w:val="00AF0BBB"/>
    <w:rsid w:val="00B24039"/>
    <w:rsid w:val="00B27280"/>
    <w:rsid w:val="00B45751"/>
    <w:rsid w:val="00B47A13"/>
    <w:rsid w:val="00B6438B"/>
    <w:rsid w:val="00B717F9"/>
    <w:rsid w:val="00BC7EF9"/>
    <w:rsid w:val="00BD0BA4"/>
    <w:rsid w:val="00BF72AA"/>
    <w:rsid w:val="00C319C3"/>
    <w:rsid w:val="00C324E6"/>
    <w:rsid w:val="00C80D39"/>
    <w:rsid w:val="00CA42B9"/>
    <w:rsid w:val="00D00014"/>
    <w:rsid w:val="00D0355A"/>
    <w:rsid w:val="00D242ED"/>
    <w:rsid w:val="00D24AC6"/>
    <w:rsid w:val="00D56D16"/>
    <w:rsid w:val="00D62705"/>
    <w:rsid w:val="00D715FF"/>
    <w:rsid w:val="00D7554C"/>
    <w:rsid w:val="00D933EB"/>
    <w:rsid w:val="00DA38D1"/>
    <w:rsid w:val="00E2219B"/>
    <w:rsid w:val="00E23FB9"/>
    <w:rsid w:val="00E835E7"/>
    <w:rsid w:val="00EF27DA"/>
    <w:rsid w:val="00EF4BDA"/>
    <w:rsid w:val="01B71398"/>
    <w:rsid w:val="07047ECE"/>
    <w:rsid w:val="07D94EB6"/>
    <w:rsid w:val="0A5C7D4D"/>
    <w:rsid w:val="0C9C460A"/>
    <w:rsid w:val="0CB20324"/>
    <w:rsid w:val="0E6014C6"/>
    <w:rsid w:val="0F2175E4"/>
    <w:rsid w:val="112B7A32"/>
    <w:rsid w:val="12767ED2"/>
    <w:rsid w:val="13095683"/>
    <w:rsid w:val="1364115C"/>
    <w:rsid w:val="13A66595"/>
    <w:rsid w:val="17644AF8"/>
    <w:rsid w:val="19A71334"/>
    <w:rsid w:val="1DE75F4B"/>
    <w:rsid w:val="21936A20"/>
    <w:rsid w:val="21B26104"/>
    <w:rsid w:val="23CA78D9"/>
    <w:rsid w:val="250255F5"/>
    <w:rsid w:val="288B6DBB"/>
    <w:rsid w:val="2A275041"/>
    <w:rsid w:val="2B086EBF"/>
    <w:rsid w:val="2DD16DC5"/>
    <w:rsid w:val="2E960B5C"/>
    <w:rsid w:val="32D8484C"/>
    <w:rsid w:val="346D54C4"/>
    <w:rsid w:val="34AD3956"/>
    <w:rsid w:val="3578200F"/>
    <w:rsid w:val="35785C72"/>
    <w:rsid w:val="373E6079"/>
    <w:rsid w:val="3C495AA9"/>
    <w:rsid w:val="3CAF1767"/>
    <w:rsid w:val="3DB94B7A"/>
    <w:rsid w:val="40366A4E"/>
    <w:rsid w:val="41875FF2"/>
    <w:rsid w:val="437B52E2"/>
    <w:rsid w:val="44906321"/>
    <w:rsid w:val="4D583754"/>
    <w:rsid w:val="4DE150C3"/>
    <w:rsid w:val="4EC2357B"/>
    <w:rsid w:val="52FB6135"/>
    <w:rsid w:val="531E52E6"/>
    <w:rsid w:val="539816D1"/>
    <w:rsid w:val="562C3186"/>
    <w:rsid w:val="57F14E9F"/>
    <w:rsid w:val="58DE7204"/>
    <w:rsid w:val="59744138"/>
    <w:rsid w:val="5989507D"/>
    <w:rsid w:val="5C5A2C5B"/>
    <w:rsid w:val="5CB87D6C"/>
    <w:rsid w:val="651E6BDA"/>
    <w:rsid w:val="6717505A"/>
    <w:rsid w:val="67582877"/>
    <w:rsid w:val="685E1E87"/>
    <w:rsid w:val="6A544DE7"/>
    <w:rsid w:val="6D5D1824"/>
    <w:rsid w:val="741C3123"/>
    <w:rsid w:val="74E64233"/>
    <w:rsid w:val="74EE481B"/>
    <w:rsid w:val="753164B5"/>
    <w:rsid w:val="76B949B4"/>
    <w:rsid w:val="7EAF5740"/>
    <w:rsid w:val="7EC55D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23"/>
    <w:autoRedefine/>
    <w:qFormat/>
    <w:uiPriority w:val="0"/>
    <w:rPr>
      <w:rFonts w:ascii="宋体" w:eastAsia="宋体"/>
      <w:sz w:val="24"/>
    </w:rPr>
  </w:style>
  <w:style w:type="paragraph" w:styleId="12">
    <w:name w:val="toc 3"/>
    <w:basedOn w:val="1"/>
    <w:next w:val="1"/>
    <w:autoRedefine/>
    <w:qFormat/>
    <w:uiPriority w:val="39"/>
    <w:pPr>
      <w:ind w:left="840" w:leftChars="400"/>
    </w:pPr>
  </w:style>
  <w:style w:type="paragraph" w:styleId="13">
    <w:name w:val="Balloon Text"/>
    <w:basedOn w:val="1"/>
    <w:link w:val="26"/>
    <w:autoRedefine/>
    <w:qFormat/>
    <w:uiPriority w:val="0"/>
    <w:rPr>
      <w:sz w:val="18"/>
      <w:szCs w:val="18"/>
    </w:rPr>
  </w:style>
  <w:style w:type="paragraph" w:styleId="14">
    <w:name w:val="footer"/>
    <w:basedOn w:val="1"/>
    <w:link w:val="2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qFormat/>
    <w:uiPriority w:val="39"/>
  </w:style>
  <w:style w:type="paragraph" w:styleId="17">
    <w:name w:val="toc 2"/>
    <w:basedOn w:val="1"/>
    <w:next w:val="1"/>
    <w:autoRedefine/>
    <w:qFormat/>
    <w:uiPriority w:val="39"/>
    <w:pPr>
      <w:ind w:left="420" w:leftChars="200"/>
    </w:pPr>
  </w:style>
  <w:style w:type="character" w:styleId="20">
    <w:name w:val="FollowedHyperlink"/>
    <w:basedOn w:val="19"/>
    <w:qFormat/>
    <w:uiPriority w:val="0"/>
    <w:rPr>
      <w:color w:val="800080"/>
      <w:u w:val="single"/>
    </w:rPr>
  </w:style>
  <w:style w:type="character" w:styleId="21">
    <w:name w:val="Hyperlink"/>
    <w:basedOn w:val="1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2">
    <w:name w:val="样式4"/>
    <w:basedOn w:val="6"/>
    <w:autoRedefine/>
    <w:qFormat/>
    <w:uiPriority w:val="0"/>
  </w:style>
  <w:style w:type="character" w:customStyle="1" w:styleId="23">
    <w:name w:val="文档结构图 字符"/>
    <w:basedOn w:val="19"/>
    <w:link w:val="11"/>
    <w:autoRedefine/>
    <w:qFormat/>
    <w:uiPriority w:val="0"/>
    <w:rPr>
      <w:rFonts w:ascii="宋体" w:eastAsia="宋体"/>
      <w:kern w:val="2"/>
      <w:sz w:val="24"/>
      <w:szCs w:val="24"/>
    </w:rPr>
  </w:style>
  <w:style w:type="character" w:customStyle="1" w:styleId="24">
    <w:name w:val="页眉 字符"/>
    <w:basedOn w:val="19"/>
    <w:link w:val="15"/>
    <w:autoRedefine/>
    <w:qFormat/>
    <w:uiPriority w:val="0"/>
    <w:rPr>
      <w:kern w:val="2"/>
      <w:sz w:val="18"/>
      <w:szCs w:val="18"/>
    </w:rPr>
  </w:style>
  <w:style w:type="character" w:customStyle="1" w:styleId="25">
    <w:name w:val="页脚 字符"/>
    <w:basedOn w:val="19"/>
    <w:link w:val="14"/>
    <w:autoRedefine/>
    <w:qFormat/>
    <w:uiPriority w:val="0"/>
    <w:rPr>
      <w:kern w:val="2"/>
      <w:sz w:val="18"/>
      <w:szCs w:val="18"/>
    </w:rPr>
  </w:style>
  <w:style w:type="character" w:customStyle="1" w:styleId="26">
    <w:name w:val="批注框文本 字符"/>
    <w:basedOn w:val="19"/>
    <w:link w:val="13"/>
    <w:autoRedefine/>
    <w:qFormat/>
    <w:uiPriority w:val="0"/>
    <w:rPr>
      <w:kern w:val="2"/>
      <w:sz w:val="18"/>
      <w:szCs w:val="18"/>
    </w:rPr>
  </w:style>
  <w:style w:type="paragraph" w:styleId="27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8" Type="http://schemas.openxmlformats.org/officeDocument/2006/relationships/fontTable" Target="fontTable.xml"/><Relationship Id="rId57" Type="http://schemas.openxmlformats.org/officeDocument/2006/relationships/customXml" Target="../customXml/item2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jpe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B11712-A1E8-C74B-90CF-306F2370F8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2198</Words>
  <Characters>2567</Characters>
  <Lines>28</Lines>
  <Paragraphs>7</Paragraphs>
  <TotalTime>0</TotalTime>
  <ScaleCrop>false</ScaleCrop>
  <LinksUpToDate>false</LinksUpToDate>
  <CharactersWithSpaces>2641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2017-07-11T14:27:00Z</dcterms:created>
  <dc:creator>叶瑞莹</dc:creator>
  <cp:lastModifiedBy>YY</cp:lastModifiedBy>
  <cp:lastPrinted>2017-09-22T07:19:00Z</cp:lastPrinted>
  <dcterms:modified xsi:type="dcterms:W3CDTF">2024-04-08T01:57:58Z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B287335F0C6E48BBA1C22FEC168A2E1F_13</vt:lpwstr>
  </property>
</Properties>
</file>