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ind w:firstLine="8" w:firstLineChars="2"/>
        <w:jc w:val="center"/>
        <w:rPr>
          <w:rFonts w:hint="eastAsia" w:ascii="方正小标宋简体" w:hAnsi="方正小标宋_GBK" w:eastAsia="方正小标宋简体" w:cs="方正小标宋_GBK"/>
          <w:bCs/>
          <w:sz w:val="44"/>
          <w:szCs w:val="44"/>
        </w:rPr>
      </w:pPr>
      <w:r>
        <w:rPr>
          <w:rFonts w:hint="eastAsia" w:ascii="方正小标宋简体" w:hAnsi="方正小标宋_GBK" w:eastAsia="方正小标宋简体" w:cs="方正小标宋_GBK"/>
          <w:bCs/>
          <w:sz w:val="44"/>
          <w:szCs w:val="44"/>
        </w:rPr>
        <w:t>关于“</w:t>
      </w:r>
      <w:r>
        <w:rPr>
          <w:rFonts w:hint="eastAsia" w:ascii="方正小标宋简体" w:hAnsi="方正小标宋_GBK" w:eastAsia="方正小标宋简体" w:cs="方正小标宋_GBK"/>
          <w:bCs/>
          <w:sz w:val="44"/>
          <w:szCs w:val="44"/>
          <w:lang w:eastAsia="zh-CN"/>
        </w:rPr>
        <w:t>丰台站站前城中村改造项目B区</w:t>
      </w:r>
      <w:r>
        <w:rPr>
          <w:rFonts w:hint="eastAsia" w:ascii="方正小标宋简体" w:hAnsi="方正小标宋_GBK" w:eastAsia="方正小标宋简体" w:cs="方正小标宋_GBK"/>
          <w:bCs/>
          <w:sz w:val="44"/>
          <w:szCs w:val="44"/>
        </w:rPr>
        <w:t>”</w:t>
      </w:r>
    </w:p>
    <w:p>
      <w:pPr>
        <w:widowControl/>
        <w:spacing w:line="520" w:lineRule="exact"/>
        <w:ind w:firstLine="8" w:firstLineChars="2"/>
        <w:jc w:val="center"/>
        <w:rPr>
          <w:rFonts w:hint="eastAsia" w:ascii="方正小标宋简体" w:hAnsi="方正小标宋_GBK" w:eastAsia="方正小标宋简体" w:cs="方正小标宋_GBK"/>
          <w:bCs/>
          <w:sz w:val="44"/>
          <w:szCs w:val="44"/>
        </w:rPr>
      </w:pPr>
      <w:r>
        <w:rPr>
          <w:rFonts w:hint="eastAsia" w:ascii="方正小标宋简体" w:hAnsi="方正小标宋_GBK" w:eastAsia="方正小标宋简体" w:cs="方正小标宋_GBK"/>
          <w:bCs/>
          <w:sz w:val="44"/>
          <w:szCs w:val="44"/>
        </w:rPr>
        <w:t>协商选定房地产价格评估机构的通知</w:t>
      </w:r>
    </w:p>
    <w:p>
      <w:pPr>
        <w:widowControl/>
        <w:spacing w:line="520" w:lineRule="exact"/>
        <w:ind w:firstLine="8" w:firstLineChars="2"/>
        <w:rPr>
          <w:rFonts w:hint="eastAsia" w:ascii="方正小标宋_GBK" w:hAnsi="方正小标宋_GBK" w:eastAsia="方正小标宋_GBK" w:cs="方正小标宋_GBK"/>
          <w:bCs/>
          <w:sz w:val="44"/>
          <w:szCs w:val="44"/>
        </w:rPr>
      </w:pPr>
    </w:p>
    <w:p>
      <w:pPr>
        <w:widowControl/>
        <w:spacing w:line="520" w:lineRule="exact"/>
        <w:ind w:firstLine="6" w:firstLineChars="2"/>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拟被征收人：</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根据《国有土地上房屋征收与补偿条例》（国务院令第590号）《北京市国有土地上房屋征收与补偿实施意见》（京政发〔2011〕27号）和《北京市国有土地上房屋征收房地产价格评估机构选定办法》（京建法〔2011〕16号）的规定，为保障“</w:t>
      </w:r>
      <w:r>
        <w:rPr>
          <w:rFonts w:hint="eastAsia" w:ascii="仿宋_GB2312" w:hAnsi="仿宋_GB2312" w:eastAsia="仿宋_GB2312" w:cs="仿宋_GB2312"/>
          <w:bCs/>
          <w:kern w:val="0"/>
          <w:sz w:val="32"/>
          <w:szCs w:val="32"/>
          <w:lang w:eastAsia="zh-CN"/>
        </w:rPr>
        <w:t>丰台站站前城中村改造项目B区</w:t>
      </w:r>
      <w:r>
        <w:rPr>
          <w:rFonts w:hint="eastAsia" w:ascii="仿宋_GB2312" w:hAnsi="仿宋_GB2312" w:eastAsia="仿宋_GB2312" w:cs="仿宋_GB2312"/>
          <w:bCs/>
          <w:kern w:val="0"/>
          <w:sz w:val="32"/>
          <w:szCs w:val="32"/>
        </w:rPr>
        <w:t>”国有土地上非住宅房屋征收工作顺利推进，北京市丰台区住房和城乡建设委员会将报名并通过审核的房地产价格评估机构在本次征收范围内和丰台区人民政府门户网站公布，供拟被征收人协商选定1家房地产价格评估机构，现通知如下：</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黑体" w:hAnsi="黑体" w:eastAsia="黑体" w:cs="黑体"/>
          <w:bCs/>
          <w:kern w:val="0"/>
          <w:sz w:val="32"/>
          <w:szCs w:val="32"/>
        </w:rPr>
        <w:t>一、房地产价格评估机构报名基本情况</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北京市丰台区住房和城乡建设委员会于2026年6月2日在“</w:t>
      </w:r>
      <w:r>
        <w:rPr>
          <w:rFonts w:hint="eastAsia" w:ascii="仿宋_GB2312" w:hAnsi="仿宋_GB2312" w:eastAsia="仿宋_GB2312" w:cs="仿宋_GB2312"/>
          <w:bCs/>
          <w:kern w:val="0"/>
          <w:sz w:val="32"/>
          <w:szCs w:val="32"/>
          <w:lang w:eastAsia="zh-CN"/>
        </w:rPr>
        <w:t>丰台站站前城中村改造项目B区</w:t>
      </w:r>
      <w:r>
        <w:rPr>
          <w:rFonts w:hint="eastAsia" w:ascii="仿宋_GB2312" w:hAnsi="仿宋_GB2312" w:eastAsia="仿宋_GB2312" w:cs="仿宋_GB2312"/>
          <w:bCs/>
          <w:kern w:val="0"/>
          <w:sz w:val="32"/>
          <w:szCs w:val="32"/>
        </w:rPr>
        <w:t>”涉及规划的</w:t>
      </w:r>
      <w:r>
        <w:rPr>
          <w:rFonts w:hint="eastAsia" w:ascii="仿宋_GB2312" w:hAnsi="仿宋_GB2312" w:eastAsia="仿宋_GB2312" w:cs="仿宋_GB2312"/>
          <w:sz w:val="32"/>
          <w:szCs w:val="32"/>
        </w:rPr>
        <w:t>东至造甲街、南至建国街、西至韩庄路北侧、北至丰台站西路</w:t>
      </w:r>
      <w:r>
        <w:rPr>
          <w:rFonts w:hint="eastAsia" w:ascii="仿宋_GB2312" w:eastAsia="仿宋_GB2312"/>
          <w:sz w:val="32"/>
          <w:szCs w:val="32"/>
        </w:rPr>
        <w:t>规划红线范围内</w:t>
      </w:r>
      <w:r>
        <w:rPr>
          <w:rFonts w:hint="eastAsia" w:ascii="仿宋_GB2312" w:hAnsi="仿宋_GB2312" w:eastAsia="仿宋_GB2312" w:cs="仿宋_GB2312"/>
          <w:sz w:val="32"/>
          <w:szCs w:val="32"/>
        </w:rPr>
        <w:t>（具体以规划文件标明的范围为准）</w:t>
      </w:r>
      <w:r>
        <w:rPr>
          <w:rFonts w:hint="eastAsia" w:ascii="仿宋_GB2312" w:hAnsi="仿宋_GB2312" w:eastAsia="仿宋_GB2312" w:cs="仿宋_GB2312"/>
          <w:bCs/>
          <w:kern w:val="0"/>
          <w:sz w:val="32"/>
          <w:szCs w:val="32"/>
        </w:rPr>
        <w:t>的本次房屋征收范围内以及丰台区人民政府门户网站公布</w:t>
      </w:r>
      <w:r>
        <w:rPr>
          <w:rFonts w:hint="eastAsia" w:ascii="仿宋_GB2312" w:hAnsi="仿宋_GB2312" w:eastAsia="仿宋_GB2312" w:cs="仿宋_GB2312"/>
          <w:bCs/>
          <w:kern w:val="0"/>
          <w:sz w:val="32"/>
          <w:szCs w:val="32"/>
          <w:lang w:eastAsia="zh-CN"/>
        </w:rPr>
        <w:t>了</w:t>
      </w:r>
      <w:r>
        <w:rPr>
          <w:rFonts w:hint="eastAsia" w:ascii="仿宋_GB2312" w:hAnsi="仿宋_GB2312" w:eastAsia="仿宋_GB2312" w:cs="仿宋_GB2312"/>
          <w:bCs/>
          <w:kern w:val="0"/>
          <w:sz w:val="32"/>
          <w:szCs w:val="32"/>
        </w:rPr>
        <w:t>选择房地产价格评估机构的报名通知，在通知规定的期限内报名并通过审核的共有1</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家评估机构（详见附件）。</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黑体" w:hAnsi="黑体" w:eastAsia="黑体" w:cs="黑体"/>
          <w:bCs/>
          <w:kern w:val="0"/>
          <w:sz w:val="32"/>
          <w:szCs w:val="32"/>
        </w:rPr>
        <w:t>二、拟被征收人协商选定房地产价格评估机构安排</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1.本通知公示后，拟被征收人应积极开展协商，确定评估机构选定意见，协商时间为6月1</w:t>
      </w: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日至6月1</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日中午12：00。</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2.为便于拟被征收人进一步了解评估机构情况，定于2026年6月1</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日上午9:30于</w:t>
      </w:r>
      <w:r>
        <w:rPr>
          <w:rFonts w:hint="eastAsia" w:ascii="仿宋_GB2312" w:hAnsi="宋体" w:eastAsia="仿宋_GB2312"/>
          <w:bCs/>
          <w:color w:val="000000"/>
          <w:sz w:val="32"/>
          <w:szCs w:val="32"/>
          <w:lang w:val="en-US" w:eastAsia="zh-CN"/>
        </w:rPr>
        <w:t>北京市丰台区住建委217</w:t>
      </w:r>
      <w:r>
        <w:rPr>
          <w:rFonts w:hint="eastAsia" w:ascii="仿宋_GB2312" w:hAnsi="仿宋_GB2312" w:eastAsia="仿宋_GB2312" w:cs="仿宋_GB2312"/>
          <w:bCs/>
          <w:kern w:val="0"/>
          <w:sz w:val="32"/>
          <w:szCs w:val="32"/>
          <w:highlight w:val="none"/>
          <w:lang w:val="en-US" w:eastAsia="zh-CN"/>
        </w:rPr>
        <w:t>会议室</w:t>
      </w:r>
      <w:r>
        <w:rPr>
          <w:rFonts w:hint="eastAsia" w:ascii="仿宋_GB2312" w:hAnsi="宋体" w:eastAsia="仿宋_GB2312"/>
          <w:bCs/>
          <w:color w:val="000000"/>
          <w:sz w:val="32"/>
          <w:szCs w:val="32"/>
          <w:lang w:val="en-US" w:eastAsia="zh-CN"/>
        </w:rPr>
        <w:t>（丰台区周庄子路1号院1号楼A座）</w:t>
      </w:r>
      <w:r>
        <w:rPr>
          <w:rFonts w:hint="eastAsia" w:ascii="仿宋_GB2312" w:hAnsi="仿宋_GB2312" w:eastAsia="仿宋_GB2312" w:cs="仿宋_GB2312"/>
          <w:bCs/>
          <w:kern w:val="0"/>
          <w:sz w:val="32"/>
          <w:szCs w:val="32"/>
        </w:rPr>
        <w:t>召开评估机构咨询暨现场协商会。</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3.请拟被征收人携带房屋产权证明、营业执照、组织机构代码证等证明材料按时参加现场协商会议</w:t>
      </w:r>
      <w:r>
        <w:rPr>
          <w:rFonts w:hint="eastAsia" w:ascii="仿宋_GB2312" w:hAnsi="仿宋_GB2312" w:eastAsia="仿宋_GB2312" w:cs="仿宋_GB2312"/>
          <w:bCs/>
          <w:kern w:val="0"/>
          <w:sz w:val="32"/>
          <w:szCs w:val="32"/>
          <w:lang w:val="en-US" w:eastAsia="zh-CN"/>
        </w:rPr>
        <w:t>,</w:t>
      </w:r>
      <w:r>
        <w:rPr>
          <w:rFonts w:hint="eastAsia" w:ascii="仿宋_GB2312" w:hAnsi="仿宋_GB2312" w:eastAsia="仿宋_GB2312" w:cs="仿宋_GB2312"/>
          <w:bCs/>
          <w:kern w:val="0"/>
          <w:sz w:val="32"/>
          <w:szCs w:val="32"/>
        </w:rPr>
        <w:t>领取和填写协商单，并于规定时间内投放到</w:t>
      </w:r>
      <w:r>
        <w:rPr>
          <w:rFonts w:hint="eastAsia" w:ascii="仿宋_GB2312" w:hAnsi="宋体" w:eastAsia="仿宋_GB2312"/>
          <w:bCs/>
          <w:color w:val="000000"/>
          <w:sz w:val="32"/>
          <w:szCs w:val="32"/>
          <w:lang w:val="en-US" w:eastAsia="zh-CN"/>
        </w:rPr>
        <w:t>北京市丰台区住建委217</w:t>
      </w:r>
      <w:r>
        <w:rPr>
          <w:rFonts w:hint="eastAsia" w:ascii="仿宋_GB2312" w:hAnsi="仿宋_GB2312" w:eastAsia="仿宋_GB2312" w:cs="仿宋_GB2312"/>
          <w:bCs/>
          <w:kern w:val="0"/>
          <w:sz w:val="32"/>
          <w:szCs w:val="32"/>
          <w:highlight w:val="none"/>
          <w:lang w:val="en-US" w:eastAsia="zh-CN"/>
        </w:rPr>
        <w:t>会议室</w:t>
      </w:r>
      <w:r>
        <w:rPr>
          <w:rFonts w:hint="eastAsia" w:ascii="仿宋_GB2312" w:hAnsi="仿宋_GB2312" w:eastAsia="仿宋_GB2312" w:cs="仿宋_GB2312"/>
          <w:bCs/>
          <w:kern w:val="0"/>
          <w:sz w:val="32"/>
          <w:szCs w:val="32"/>
        </w:rPr>
        <w:t xml:space="preserve">票箱中。 </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4.拟被征收人只能提交一次有效的协商意见。拟被征收人可协商选择1家评估机构，多选、涂改、复印协商单均视为无效。拟被征收人在规定时间内不参与协商会议或逾期不反馈协商单的，视为弃权。</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5.经协商，如有1家评估机构获得多数拟被征收人（总户数50%以上）同意，则协商选定1家评估机构，协商选定评估机构结果将即时在本次征收范围内和丰台区政府门户网站公布。</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6.如协商不能确定评估机构，将通过公开摇号形式选定评估机构，日期另行通知。</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充分协商、自主选择评估机构是维护自身权益的保证，是公开、公平、公正的基础，也是征收工作顺利开展的前提。请拟被征收人积极参与，充分行使自己的权利。</w:t>
      </w:r>
    </w:p>
    <w:p>
      <w:pPr>
        <w:widowControl/>
        <w:spacing w:line="52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特此通知。</w:t>
      </w:r>
    </w:p>
    <w:p>
      <w:pPr>
        <w:spacing w:line="520" w:lineRule="exact"/>
        <w:ind w:left="1380" w:leftChars="200" w:hanging="960" w:hangingChars="300"/>
        <w:rPr>
          <w:rFonts w:ascii="仿宋_GB2312" w:eastAsia="仿宋_GB2312"/>
          <w:sz w:val="32"/>
          <w:szCs w:val="32"/>
        </w:rPr>
      </w:pPr>
    </w:p>
    <w:p>
      <w:pPr>
        <w:spacing w:line="520" w:lineRule="exact"/>
        <w:ind w:left="1590" w:leftChars="300" w:hanging="960" w:hangingChars="3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附件：</w:t>
      </w:r>
      <w:r>
        <w:rPr>
          <w:rFonts w:hint="eastAsia" w:ascii="仿宋_GB2312" w:hAnsi="仿宋_GB2312" w:eastAsia="仿宋_GB2312" w:cs="仿宋_GB2312"/>
          <w:bCs/>
          <w:kern w:val="0"/>
          <w:sz w:val="32"/>
          <w:szCs w:val="32"/>
          <w:lang w:eastAsia="zh-CN"/>
        </w:rPr>
        <w:t>丰台站站前城中村改造项目B区</w:t>
      </w:r>
      <w:r>
        <w:rPr>
          <w:rFonts w:hint="eastAsia" w:ascii="仿宋_GB2312" w:hAnsi="仿宋_GB2312" w:eastAsia="仿宋_GB2312" w:cs="仿宋_GB2312"/>
          <w:bCs/>
          <w:kern w:val="0"/>
          <w:sz w:val="32"/>
          <w:szCs w:val="32"/>
        </w:rPr>
        <w:t>公开选定房地产价格评估机构协商单</w:t>
      </w:r>
    </w:p>
    <w:p>
      <w:pPr>
        <w:widowControl/>
        <w:spacing w:line="520" w:lineRule="exact"/>
        <w:ind w:right="-193" w:rightChars="-92" w:firstLine="6" w:firstLineChars="2"/>
        <w:rPr>
          <w:rFonts w:hint="eastAsia" w:ascii="仿宋_GB2312" w:hAnsi="仿宋_GB2312" w:eastAsia="仿宋_GB2312" w:cs="仿宋_GB2312"/>
          <w:kern w:val="0"/>
          <w:sz w:val="32"/>
          <w:szCs w:val="32"/>
        </w:rPr>
      </w:pPr>
    </w:p>
    <w:p>
      <w:pPr>
        <w:widowControl/>
        <w:spacing w:line="520" w:lineRule="exact"/>
        <w:ind w:right="-193" w:rightChars="-92" w:firstLine="6" w:firstLineChars="2"/>
        <w:rPr>
          <w:rFonts w:hint="eastAsia" w:ascii="仿宋_GB2312" w:hAnsi="仿宋_GB2312" w:eastAsia="仿宋_GB2312" w:cs="仿宋_GB2312"/>
          <w:kern w:val="0"/>
          <w:sz w:val="32"/>
          <w:szCs w:val="32"/>
        </w:rPr>
      </w:pPr>
    </w:p>
    <w:p>
      <w:pPr>
        <w:widowControl/>
        <w:spacing w:line="520" w:lineRule="exact"/>
        <w:ind w:right="55" w:rightChars="26" w:firstLine="6" w:firstLineChars="2"/>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北京市丰台区住房和城乡建设委员会</w:t>
      </w:r>
    </w:p>
    <w:p>
      <w:pPr>
        <w:widowControl/>
        <w:spacing w:line="520" w:lineRule="exact"/>
        <w:ind w:right="55" w:rightChars="26" w:firstLine="5244" w:firstLineChars="1639"/>
        <w:rPr>
          <w:rFonts w:hint="eastAsia" w:ascii="仿宋" w:hAnsi="仿宋" w:eastAsia="仿宋" w:cs="仿宋"/>
          <w:kern w:val="0"/>
          <w:sz w:val="32"/>
          <w:szCs w:val="32"/>
        </w:rPr>
        <w:sectPr>
          <w:headerReference r:id="rId3" w:type="default"/>
          <w:footerReference r:id="rId4" w:type="default"/>
          <w:footerReference r:id="rId5" w:type="even"/>
          <w:type w:val="continuous"/>
          <w:pgSz w:w="11906" w:h="16838"/>
          <w:pgMar w:top="1701" w:right="1474" w:bottom="1418" w:left="1588" w:header="851" w:footer="992" w:gutter="0"/>
          <w:cols w:space="720" w:num="1"/>
          <w:docGrid w:type="lines" w:linePitch="312" w:charSpace="0"/>
        </w:sectPr>
      </w:pPr>
      <w:r>
        <w:rPr>
          <w:rFonts w:hint="eastAsia" w:ascii="仿宋_GB2312" w:hAnsi="仿宋_GB2312" w:eastAsia="仿宋_GB2312" w:cs="仿宋_GB2312"/>
          <w:bCs/>
          <w:kern w:val="0"/>
          <w:sz w:val="32"/>
          <w:szCs w:val="32"/>
        </w:rPr>
        <w:t>2026年6月1</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日</w:t>
      </w:r>
    </w:p>
    <w:p>
      <w:pPr>
        <w:widowControl/>
        <w:spacing w:line="400" w:lineRule="exact"/>
        <w:ind w:left="210" w:leftChars="100"/>
        <w:rPr>
          <w:rFonts w:hint="eastAsia" w:ascii="方正小标宋_GBK" w:hAnsi="方正小标宋_GBK" w:eastAsia="方正小标宋_GBK" w:cs="方正小标宋_GBK"/>
          <w:b/>
          <w:w w:val="90"/>
          <w:kern w:val="0"/>
          <w:sz w:val="44"/>
          <w:szCs w:val="44"/>
          <w:lang w:eastAsia="zh-CN"/>
        </w:rPr>
      </w:pPr>
      <w:r>
        <w:rPr>
          <w:rFonts w:hint="eastAsia" w:ascii="黑体" w:hAnsi="黑体" w:eastAsia="黑体" w:cs="黑体"/>
          <w:bCs/>
          <w:w w:val="90"/>
          <w:kern w:val="0"/>
          <w:sz w:val="32"/>
          <w:szCs w:val="32"/>
        </w:rPr>
        <w:t>附件</w:t>
      </w:r>
    </w:p>
    <w:p>
      <w:pPr>
        <w:widowControl/>
        <w:spacing w:line="480" w:lineRule="exact"/>
        <w:ind w:left="210" w:leftChars="100"/>
        <w:jc w:val="center"/>
        <w:rPr>
          <w:rFonts w:hint="eastAsia" w:ascii="宋体" w:hAnsi="宋体" w:cs="宋体"/>
          <w:b/>
          <w:kern w:val="0"/>
          <w:sz w:val="28"/>
        </w:rPr>
      </w:pPr>
      <w:r>
        <w:rPr>
          <w:rFonts w:hint="eastAsia" w:ascii="方正小标宋简体" w:hAnsi="方正小标宋简体" w:eastAsia="方正小标宋简体" w:cs="方正小标宋简体"/>
          <w:b/>
          <w:w w:val="90"/>
          <w:kern w:val="0"/>
          <w:sz w:val="44"/>
          <w:szCs w:val="44"/>
          <w:lang w:eastAsia="zh-CN"/>
        </w:rPr>
        <w:t>丰台站站前城中村改造项目B区</w:t>
      </w:r>
      <w:r>
        <w:rPr>
          <w:rFonts w:hint="eastAsia" w:ascii="方正小标宋简体" w:hAnsi="方正小标宋简体" w:eastAsia="方正小标宋简体" w:cs="方正小标宋简体"/>
          <w:b/>
          <w:w w:val="90"/>
          <w:kern w:val="0"/>
          <w:sz w:val="44"/>
          <w:szCs w:val="44"/>
        </w:rPr>
        <w:t>公开选定房地产价格评估机构协商单</w:t>
      </w:r>
    </w:p>
    <w:p>
      <w:pPr>
        <w:widowControl/>
        <w:spacing w:line="480" w:lineRule="exact"/>
        <w:ind w:firstLine="988" w:firstLineChars="353"/>
        <w:rPr>
          <w:rFonts w:hint="eastAsia" w:ascii="宋体" w:hAnsi="宋体" w:cs="宋体"/>
          <w:b/>
          <w:kern w:val="0"/>
          <w:sz w:val="28"/>
        </w:rPr>
      </w:pPr>
    </w:p>
    <w:p>
      <w:pPr>
        <w:widowControl/>
        <w:spacing w:line="480" w:lineRule="exact"/>
        <w:ind w:firstLine="988" w:firstLineChars="353"/>
        <w:rPr>
          <w:rFonts w:hint="eastAsia" w:ascii="宋体" w:hAnsi="宋体" w:cs="宋体"/>
          <w:b/>
          <w:kern w:val="0"/>
          <w:sz w:val="28"/>
        </w:rPr>
      </w:pPr>
      <w:bookmarkStart w:id="0" w:name="_GoBack"/>
      <w:r>
        <w:rPr>
          <w:rFonts w:hint="eastAsia" w:ascii="黑体" w:hAnsi="黑体" w:eastAsia="黑体" w:cs="黑体"/>
          <w:bCs/>
          <w:kern w:val="0"/>
          <w:sz w:val="28"/>
        </w:rPr>
        <w:t>拟</w:t>
      </w:r>
      <w:bookmarkEnd w:id="0"/>
      <w:r>
        <w:rPr>
          <w:rFonts w:hint="eastAsia" w:ascii="黑体" w:hAnsi="黑体" w:eastAsia="黑体" w:cs="黑体"/>
          <w:bCs/>
          <w:kern w:val="0"/>
          <w:sz w:val="28"/>
        </w:rPr>
        <w:t>被征收人：</w:t>
      </w:r>
    </w:p>
    <w:tbl>
      <w:tblPr>
        <w:tblStyle w:val="6"/>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034"/>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35" w:type="dxa"/>
            <w:vAlign w:val="center"/>
          </w:tcPr>
          <w:p>
            <w:pPr>
              <w:widowControl/>
              <w:spacing w:line="288" w:lineRule="auto"/>
              <w:jc w:val="center"/>
              <w:rPr>
                <w:rFonts w:hint="eastAsia" w:ascii="宋体" w:hAnsi="宋体" w:cs="宋体"/>
                <w:kern w:val="0"/>
                <w:sz w:val="22"/>
                <w:szCs w:val="22"/>
              </w:rPr>
            </w:pPr>
            <w:r>
              <w:rPr>
                <w:rFonts w:hint="eastAsia" w:ascii="黑体" w:hAnsi="宋体" w:eastAsia="黑体" w:cs="宋体"/>
                <w:kern w:val="0"/>
                <w:sz w:val="24"/>
              </w:rPr>
              <w:t>序号</w:t>
            </w:r>
          </w:p>
        </w:tc>
        <w:tc>
          <w:tcPr>
            <w:tcW w:w="8034" w:type="dxa"/>
            <w:vAlign w:val="center"/>
          </w:tcPr>
          <w:p>
            <w:pPr>
              <w:widowControl/>
              <w:spacing w:line="288" w:lineRule="auto"/>
              <w:jc w:val="center"/>
              <w:rPr>
                <w:rFonts w:hint="eastAsia" w:ascii="宋体" w:hAnsi="宋体" w:cs="宋体"/>
                <w:kern w:val="0"/>
                <w:sz w:val="22"/>
                <w:szCs w:val="22"/>
              </w:rPr>
            </w:pPr>
            <w:r>
              <w:rPr>
                <w:rFonts w:hint="eastAsia" w:ascii="黑体" w:hAnsi="宋体" w:eastAsia="黑体" w:cs="宋体"/>
                <w:kern w:val="0"/>
                <w:sz w:val="24"/>
              </w:rPr>
              <w:t>评估公司名称</w:t>
            </w:r>
          </w:p>
        </w:tc>
        <w:tc>
          <w:tcPr>
            <w:tcW w:w="4600" w:type="dxa"/>
            <w:vAlign w:val="center"/>
          </w:tcPr>
          <w:p>
            <w:pPr>
              <w:widowControl/>
              <w:spacing w:line="288" w:lineRule="auto"/>
              <w:jc w:val="center"/>
              <w:rPr>
                <w:rFonts w:hint="eastAsia" w:ascii="宋体" w:hAnsi="宋体" w:cs="宋体"/>
                <w:kern w:val="0"/>
                <w:sz w:val="22"/>
                <w:szCs w:val="22"/>
              </w:rPr>
            </w:pPr>
            <w:r>
              <w:rPr>
                <w:rFonts w:hint="eastAsia" w:ascii="黑体" w:hAnsi="宋体" w:eastAsia="黑体" w:cs="宋体"/>
                <w:kern w:val="0"/>
                <w:sz w:val="24"/>
              </w:rPr>
              <w:t>协商选定意见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1</w:t>
            </w:r>
          </w:p>
        </w:tc>
        <w:tc>
          <w:tcPr>
            <w:tcW w:w="8034" w:type="dxa"/>
            <w:vAlign w:val="center"/>
          </w:tcPr>
          <w:p>
            <w:pPr>
              <w:widowControl/>
              <w:spacing w:line="288" w:lineRule="auto"/>
              <w:jc w:val="left"/>
              <w:rPr>
                <w:rFonts w:hint="eastAsia"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北京建正合生房地产评估有限公司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2</w:t>
            </w:r>
          </w:p>
        </w:tc>
        <w:tc>
          <w:tcPr>
            <w:tcW w:w="8034" w:type="dxa"/>
            <w:vAlign w:val="center"/>
          </w:tcPr>
          <w:p>
            <w:pPr>
              <w:widowControl/>
              <w:spacing w:line="288" w:lineRule="auto"/>
              <w:jc w:val="left"/>
              <w:rPr>
                <w:rFonts w:hint="eastAsia"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中安盛世（北京）土地房地产资产评估有限责任公司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3</w:t>
            </w:r>
          </w:p>
        </w:tc>
        <w:tc>
          <w:tcPr>
            <w:tcW w:w="8034" w:type="dxa"/>
            <w:vAlign w:val="center"/>
          </w:tcPr>
          <w:p>
            <w:pPr>
              <w:widowControl/>
              <w:spacing w:line="288" w:lineRule="auto"/>
              <w:jc w:val="left"/>
              <w:rPr>
                <w:rFonts w:hint="eastAsia"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北京中地联合房地产评估有限公司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4</w:t>
            </w:r>
          </w:p>
        </w:tc>
        <w:tc>
          <w:tcPr>
            <w:tcW w:w="8034" w:type="dxa"/>
            <w:vAlign w:val="center"/>
          </w:tcPr>
          <w:p>
            <w:pPr>
              <w:widowControl/>
              <w:spacing w:line="288" w:lineRule="auto"/>
              <w:jc w:val="left"/>
              <w:rPr>
                <w:rFonts w:hint="eastAsia"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北京东华天业房地产评估有限公司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5</w:t>
            </w:r>
          </w:p>
        </w:tc>
        <w:tc>
          <w:tcPr>
            <w:tcW w:w="8034" w:type="dxa"/>
            <w:vAlign w:val="center"/>
          </w:tcPr>
          <w:p>
            <w:pPr>
              <w:widowControl/>
              <w:spacing w:line="288" w:lineRule="auto"/>
              <w:jc w:val="left"/>
              <w:rPr>
                <w:rFonts w:hint="eastAsia"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北京仁达房地产土地资产评估有限公司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6</w:t>
            </w:r>
          </w:p>
        </w:tc>
        <w:tc>
          <w:tcPr>
            <w:tcW w:w="8034" w:type="dxa"/>
            <w:vAlign w:val="center"/>
          </w:tcPr>
          <w:p>
            <w:pPr>
              <w:widowControl/>
              <w:spacing w:line="288" w:lineRule="auto"/>
              <w:jc w:val="left"/>
              <w:rPr>
                <w:rFonts w:hint="eastAsia"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北京华源龙泰房地产土地资产评估有限公司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7</w:t>
            </w:r>
          </w:p>
        </w:tc>
        <w:tc>
          <w:tcPr>
            <w:tcW w:w="8034" w:type="dxa"/>
            <w:vAlign w:val="center"/>
          </w:tcPr>
          <w:p>
            <w:pPr>
              <w:widowControl/>
              <w:spacing w:line="288" w:lineRule="auto"/>
              <w:jc w:val="left"/>
              <w:rPr>
                <w:rFonts w:hint="eastAsia"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北京市金利安房地产咨询评估有限责任公司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8</w:t>
            </w:r>
          </w:p>
        </w:tc>
        <w:tc>
          <w:tcPr>
            <w:tcW w:w="8034" w:type="dxa"/>
            <w:vAlign w:val="center"/>
          </w:tcPr>
          <w:p>
            <w:pPr>
              <w:widowControl/>
              <w:spacing w:line="288" w:lineRule="auto"/>
              <w:jc w:val="left"/>
              <w:rPr>
                <w:rFonts w:hint="eastAsia"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北京市国盛房地产评估有限责任公司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9</w:t>
            </w:r>
          </w:p>
        </w:tc>
        <w:tc>
          <w:tcPr>
            <w:tcW w:w="8034" w:type="dxa"/>
            <w:vAlign w:val="center"/>
          </w:tcPr>
          <w:p>
            <w:pPr>
              <w:widowControl/>
              <w:spacing w:line="288" w:lineRule="auto"/>
              <w:jc w:val="left"/>
              <w:rPr>
                <w:rFonts w:hint="eastAsia"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北京华信土地房地产资产评估有限公司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rPr>
            </w:pPr>
            <w:r>
              <w:rPr>
                <w:rFonts w:hint="eastAsia" w:ascii="黑体" w:hAnsi="宋体" w:eastAsia="黑体" w:cs="宋体"/>
                <w:kern w:val="0"/>
                <w:sz w:val="24"/>
              </w:rPr>
              <w:t>10</w:t>
            </w:r>
          </w:p>
        </w:tc>
        <w:tc>
          <w:tcPr>
            <w:tcW w:w="8034" w:type="dxa"/>
            <w:vAlign w:val="center"/>
          </w:tcPr>
          <w:p>
            <w:pPr>
              <w:widowControl/>
              <w:spacing w:line="288" w:lineRule="auto"/>
              <w:jc w:val="left"/>
              <w:rPr>
                <w:rFonts w:hint="eastAsia"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北京首佳房地产土地资产评估有限公司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lang w:eastAsia="zh-CN"/>
              </w:rPr>
            </w:pPr>
            <w:r>
              <w:rPr>
                <w:rFonts w:hint="eastAsia" w:ascii="黑体" w:hAnsi="宋体" w:eastAsia="黑体" w:cs="宋体"/>
                <w:kern w:val="0"/>
                <w:sz w:val="24"/>
              </w:rPr>
              <w:t>1</w:t>
            </w:r>
            <w:r>
              <w:rPr>
                <w:rFonts w:hint="eastAsia" w:ascii="黑体" w:hAnsi="宋体" w:eastAsia="黑体" w:cs="宋体"/>
                <w:kern w:val="0"/>
                <w:sz w:val="24"/>
                <w:lang w:val="en-US" w:eastAsia="zh-CN"/>
              </w:rPr>
              <w:t>1</w:t>
            </w:r>
          </w:p>
        </w:tc>
        <w:tc>
          <w:tcPr>
            <w:tcW w:w="8034" w:type="dxa"/>
            <w:vAlign w:val="center"/>
          </w:tcPr>
          <w:p>
            <w:pPr>
              <w:widowControl/>
              <w:spacing w:line="288" w:lineRule="auto"/>
              <w:jc w:val="left"/>
              <w:rPr>
                <w:rFonts w:hint="eastAsia"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北京吉翔房地产土地资产评估有限公司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default" w:ascii="黑体" w:hAnsi="宋体" w:eastAsia="黑体" w:cs="宋体"/>
                <w:kern w:val="0"/>
                <w:sz w:val="24"/>
                <w:lang w:val="en-US" w:eastAsia="zh-CN"/>
              </w:rPr>
            </w:pPr>
            <w:r>
              <w:rPr>
                <w:rFonts w:hint="eastAsia" w:ascii="黑体" w:hAnsi="宋体" w:eastAsia="黑体" w:cs="宋体"/>
                <w:kern w:val="0"/>
                <w:sz w:val="24"/>
                <w:lang w:val="en-US" w:eastAsia="zh-CN"/>
              </w:rPr>
              <w:t>12</w:t>
            </w:r>
          </w:p>
        </w:tc>
        <w:tc>
          <w:tcPr>
            <w:tcW w:w="8034" w:type="dxa"/>
            <w:vAlign w:val="center"/>
          </w:tcPr>
          <w:p>
            <w:pPr>
              <w:widowControl/>
              <w:spacing w:line="288" w:lineRule="auto"/>
              <w:jc w:val="left"/>
              <w:rPr>
                <w:rFonts w:hint="default"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北京统信房地产土地资产评估有限公司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default" w:ascii="黑体" w:hAnsi="宋体" w:eastAsia="黑体" w:cs="宋体"/>
                <w:kern w:val="0"/>
                <w:sz w:val="24"/>
                <w:lang w:val="en-US" w:eastAsia="zh-CN"/>
              </w:rPr>
            </w:pPr>
            <w:r>
              <w:rPr>
                <w:rFonts w:hint="eastAsia" w:ascii="黑体" w:hAnsi="宋体" w:eastAsia="黑体" w:cs="宋体"/>
                <w:kern w:val="0"/>
                <w:sz w:val="24"/>
                <w:lang w:val="en-US" w:eastAsia="zh-CN"/>
              </w:rPr>
              <w:t>13</w:t>
            </w:r>
          </w:p>
        </w:tc>
        <w:tc>
          <w:tcPr>
            <w:tcW w:w="8034" w:type="dxa"/>
            <w:vAlign w:val="center"/>
          </w:tcPr>
          <w:p>
            <w:pPr>
              <w:widowControl/>
              <w:spacing w:line="288" w:lineRule="auto"/>
              <w:jc w:val="left"/>
              <w:rPr>
                <w:rFonts w:hint="default"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北京植地通诚房地产评估有限公司</w:t>
            </w:r>
          </w:p>
        </w:tc>
        <w:tc>
          <w:tcPr>
            <w:tcW w:w="4600" w:type="dxa"/>
            <w:vAlign w:val="center"/>
          </w:tcPr>
          <w:p>
            <w:pPr>
              <w:widowControl/>
              <w:spacing w:line="288" w:lineRule="auto"/>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1135" w:type="dxa"/>
          </w:tcPr>
          <w:p>
            <w:pPr>
              <w:widowControl/>
              <w:spacing w:line="288" w:lineRule="auto"/>
              <w:jc w:val="center"/>
              <w:rPr>
                <w:rFonts w:hint="eastAsia" w:ascii="黑体" w:hAnsi="宋体" w:eastAsia="黑体" w:cs="宋体"/>
                <w:kern w:val="0"/>
                <w:sz w:val="24"/>
                <w:lang w:eastAsia="zh-CN"/>
              </w:rPr>
            </w:pPr>
            <w:r>
              <w:rPr>
                <w:rFonts w:hint="eastAsia" w:ascii="黑体" w:hAnsi="宋体" w:eastAsia="黑体" w:cs="宋体"/>
                <w:kern w:val="0"/>
                <w:sz w:val="24"/>
              </w:rPr>
              <w:t>1</w:t>
            </w:r>
            <w:r>
              <w:rPr>
                <w:rFonts w:hint="eastAsia" w:ascii="黑体" w:hAnsi="宋体" w:eastAsia="黑体" w:cs="宋体"/>
                <w:kern w:val="0"/>
                <w:sz w:val="24"/>
                <w:lang w:val="en-US" w:eastAsia="zh-CN"/>
              </w:rPr>
              <w:t>4</w:t>
            </w:r>
          </w:p>
        </w:tc>
        <w:tc>
          <w:tcPr>
            <w:tcW w:w="8034" w:type="dxa"/>
            <w:vAlign w:val="center"/>
          </w:tcPr>
          <w:p>
            <w:pPr>
              <w:widowControl/>
              <w:spacing w:line="288" w:lineRule="auto"/>
              <w:jc w:val="left"/>
              <w:rPr>
                <w:rFonts w:hint="eastAsia" w:ascii="黑体" w:hAnsi="宋体" w:eastAsia="黑体" w:cs="宋体"/>
                <w:color w:val="494949"/>
                <w:kern w:val="0"/>
                <w:sz w:val="24"/>
                <w:lang w:val="en-US" w:eastAsia="zh-CN"/>
              </w:rPr>
            </w:pPr>
            <w:r>
              <w:rPr>
                <w:rFonts w:hint="default" w:ascii="黑体" w:hAnsi="宋体" w:eastAsia="黑体" w:cs="宋体"/>
                <w:color w:val="494949"/>
                <w:kern w:val="0"/>
                <w:sz w:val="24"/>
                <w:lang w:val="en-US" w:eastAsia="zh-CN"/>
              </w:rPr>
              <w:t>宝业恒（北京）土地房地产资产评估咨询有限公司</w:t>
            </w:r>
          </w:p>
        </w:tc>
        <w:tc>
          <w:tcPr>
            <w:tcW w:w="4600" w:type="dxa"/>
            <w:vAlign w:val="center"/>
          </w:tcPr>
          <w:p>
            <w:pPr>
              <w:widowControl/>
              <w:spacing w:line="288" w:lineRule="auto"/>
              <w:rPr>
                <w:rFonts w:hint="eastAsia" w:ascii="宋体" w:hAnsi="宋体" w:cs="宋体"/>
                <w:kern w:val="0"/>
                <w:sz w:val="22"/>
                <w:szCs w:val="22"/>
              </w:rPr>
            </w:pPr>
          </w:p>
        </w:tc>
      </w:tr>
    </w:tbl>
    <w:p>
      <w:pPr>
        <w:widowControl/>
        <w:spacing w:line="240" w:lineRule="exact"/>
        <w:rPr>
          <w:rFonts w:hint="eastAsia" w:ascii="宋体" w:hAnsi="宋体" w:eastAsia="仿宋" w:cs="宋体"/>
          <w:b/>
          <w:kern w:val="0"/>
          <w:sz w:val="20"/>
          <w:szCs w:val="1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
          <w:kern w:val="0"/>
          <w:sz w:val="28"/>
        </w:rPr>
      </w:pPr>
    </w:p>
    <w:p>
      <w:pPr>
        <w:widowControl/>
        <w:spacing w:line="240" w:lineRule="exact"/>
        <w:rPr>
          <w:rFonts w:hint="eastAsia" w:ascii="仿宋" w:hAnsi="仿宋" w:eastAsia="仿宋" w:cs="宋体"/>
          <w:bCs/>
          <w:kern w:val="0"/>
          <w:sz w:val="28"/>
        </w:rPr>
      </w:pPr>
    </w:p>
    <w:p>
      <w:pPr>
        <w:widowControl/>
        <w:spacing w:line="240" w:lineRule="exact"/>
        <w:rPr>
          <w:rFonts w:hint="eastAsia" w:ascii="仿宋" w:hAnsi="仿宋" w:eastAsia="仿宋" w:cs="宋体"/>
          <w:bCs/>
          <w:kern w:val="0"/>
          <w:sz w:val="28"/>
        </w:rPr>
      </w:pPr>
    </w:p>
    <w:p>
      <w:pPr>
        <w:widowControl/>
        <w:spacing w:line="240" w:lineRule="exact"/>
        <w:rPr>
          <w:rFonts w:hint="eastAsia" w:ascii="仿宋" w:hAnsi="仿宋" w:eastAsia="仿宋" w:cs="宋体"/>
          <w:bCs/>
          <w:kern w:val="0"/>
          <w:sz w:val="28"/>
        </w:rPr>
      </w:pPr>
    </w:p>
    <w:p>
      <w:pPr>
        <w:widowControl/>
        <w:spacing w:line="240" w:lineRule="exact"/>
        <w:rPr>
          <w:rFonts w:hint="eastAsia" w:ascii="仿宋" w:hAnsi="仿宋" w:eastAsia="仿宋" w:cs="宋体"/>
          <w:bCs/>
          <w:kern w:val="0"/>
          <w:sz w:val="28"/>
        </w:rPr>
      </w:pPr>
    </w:p>
    <w:p>
      <w:pPr>
        <w:widowControl/>
        <w:spacing w:line="240" w:lineRule="exact"/>
        <w:rPr>
          <w:rFonts w:hint="eastAsia" w:ascii="仿宋" w:hAnsi="仿宋" w:eastAsia="仿宋" w:cs="宋体"/>
          <w:bCs/>
          <w:kern w:val="0"/>
          <w:sz w:val="28"/>
        </w:rPr>
      </w:pPr>
    </w:p>
    <w:p>
      <w:pPr>
        <w:widowControl/>
        <w:spacing w:line="240" w:lineRule="exact"/>
        <w:rPr>
          <w:rFonts w:hint="eastAsia" w:ascii="仿宋" w:hAnsi="仿宋" w:eastAsia="仿宋" w:cs="宋体"/>
          <w:bCs/>
          <w:kern w:val="0"/>
          <w:sz w:val="28"/>
        </w:rPr>
      </w:pPr>
    </w:p>
    <w:p>
      <w:pPr>
        <w:widowControl/>
        <w:spacing w:line="240" w:lineRule="exact"/>
        <w:rPr>
          <w:rFonts w:hint="eastAsia" w:ascii="仿宋" w:hAnsi="仿宋" w:eastAsia="仿宋" w:cs="宋体"/>
          <w:bCs/>
          <w:kern w:val="0"/>
          <w:sz w:val="28"/>
        </w:rPr>
      </w:pPr>
    </w:p>
    <w:p>
      <w:pPr>
        <w:widowControl/>
        <w:spacing w:line="240" w:lineRule="exact"/>
        <w:rPr>
          <w:rFonts w:hint="eastAsia" w:ascii="仿宋" w:hAnsi="仿宋" w:eastAsia="仿宋" w:cs="宋体"/>
          <w:bCs/>
          <w:kern w:val="0"/>
          <w:sz w:val="28"/>
        </w:rPr>
      </w:pPr>
    </w:p>
    <w:p>
      <w:pPr>
        <w:widowControl/>
        <w:spacing w:line="240" w:lineRule="exact"/>
        <w:rPr>
          <w:rFonts w:hint="eastAsia" w:ascii="仿宋" w:hAnsi="仿宋" w:eastAsia="仿宋" w:cs="宋体"/>
          <w:bCs/>
          <w:kern w:val="0"/>
          <w:sz w:val="28"/>
        </w:rPr>
      </w:pPr>
    </w:p>
    <w:p>
      <w:pPr>
        <w:widowControl/>
        <w:spacing w:line="240" w:lineRule="exact"/>
        <w:rPr>
          <w:rFonts w:hint="eastAsia" w:ascii="仿宋" w:hAnsi="仿宋" w:eastAsia="仿宋" w:cs="宋体"/>
          <w:bCs/>
          <w:kern w:val="0"/>
          <w:sz w:val="28"/>
        </w:rPr>
      </w:pPr>
    </w:p>
    <w:p>
      <w:pPr>
        <w:widowControl/>
        <w:spacing w:line="400" w:lineRule="exact"/>
        <w:ind w:firstLine="960" w:firstLineChars="400"/>
        <w:rPr>
          <w:rFonts w:hint="eastAsia" w:ascii="仿宋" w:hAnsi="仿宋" w:eastAsia="仿宋"/>
          <w:bCs/>
          <w:kern w:val="0"/>
          <w:sz w:val="24"/>
        </w:rPr>
      </w:pPr>
      <w:r>
        <w:rPr>
          <w:rFonts w:hint="eastAsia" w:ascii="仿宋" w:hAnsi="仿宋" w:eastAsia="仿宋"/>
          <w:bCs/>
          <w:kern w:val="0"/>
          <w:sz w:val="24"/>
        </w:rPr>
        <w:t>备注：</w:t>
      </w:r>
    </w:p>
    <w:p>
      <w:pPr>
        <w:widowControl/>
        <w:spacing w:line="400" w:lineRule="exact"/>
        <w:ind w:firstLine="960" w:firstLineChars="400"/>
        <w:rPr>
          <w:rFonts w:hint="eastAsia" w:ascii="仿宋" w:hAnsi="仿宋" w:eastAsia="仿宋" w:cs="宋体"/>
          <w:bCs/>
          <w:kern w:val="0"/>
          <w:sz w:val="24"/>
        </w:rPr>
      </w:pPr>
      <w:r>
        <w:rPr>
          <w:rFonts w:hint="eastAsia" w:ascii="仿宋" w:hAnsi="仿宋" w:eastAsia="仿宋"/>
          <w:bCs/>
          <w:kern w:val="0"/>
          <w:sz w:val="24"/>
        </w:rPr>
        <w:t>1.请选择1家评估机构，在其后的“协商选定意见”栏中划“√”，多选、涂改、复印均无效；</w:t>
      </w:r>
    </w:p>
    <w:p>
      <w:pPr>
        <w:widowControl/>
        <w:spacing w:line="400" w:lineRule="exact"/>
        <w:ind w:firstLine="960" w:firstLineChars="400"/>
        <w:rPr>
          <w:rFonts w:hint="eastAsia" w:ascii="仿宋" w:hAnsi="仿宋" w:eastAsia="仿宋"/>
          <w:bCs/>
          <w:kern w:val="0"/>
          <w:sz w:val="24"/>
        </w:rPr>
      </w:pPr>
      <w:r>
        <w:rPr>
          <w:rFonts w:hint="eastAsia" w:ascii="仿宋" w:hAnsi="仿宋" w:eastAsia="仿宋"/>
          <w:bCs/>
          <w:kern w:val="0"/>
          <w:sz w:val="24"/>
        </w:rPr>
        <w:t>2.未在规定时间内领取协商单或未按时投放协商单的，视同自动放弃协商选定权利；</w:t>
      </w:r>
    </w:p>
    <w:p>
      <w:pPr>
        <w:widowControl/>
        <w:spacing w:line="400" w:lineRule="exact"/>
        <w:ind w:firstLine="960" w:firstLineChars="400"/>
        <w:rPr>
          <w:rFonts w:hint="eastAsia" w:ascii="仿宋" w:hAnsi="仿宋" w:eastAsia="仿宋"/>
          <w:bCs/>
          <w:kern w:val="0"/>
          <w:sz w:val="28"/>
        </w:rPr>
      </w:pPr>
      <w:r>
        <w:rPr>
          <w:rFonts w:hint="eastAsia" w:ascii="仿宋" w:hAnsi="仿宋" w:eastAsia="仿宋"/>
          <w:bCs/>
          <w:kern w:val="0"/>
          <w:sz w:val="24"/>
        </w:rPr>
        <w:t>3.评估机构序号为报名参选顺序。</w:t>
      </w:r>
    </w:p>
    <w:sectPr>
      <w:headerReference r:id="rId6" w:type="default"/>
      <w:footerReference r:id="rId7" w:type="default"/>
      <w:footerReference r:id="rId8" w:type="even"/>
      <w:pgSz w:w="16838" w:h="11906" w:orient="landscape"/>
      <w:pgMar w:top="323" w:right="550" w:bottom="323" w:left="55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C06027-2CC7-40AE-B33B-227C979710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F2C72317-E782-41EB-BCA2-82099E26411E}"/>
  </w:font>
  <w:font w:name="方正小标宋_GBK">
    <w:altName w:val="Arial Unicode MS"/>
    <w:panose1 w:val="02000000000000000000"/>
    <w:charset w:val="86"/>
    <w:family w:val="auto"/>
    <w:pitch w:val="default"/>
    <w:sig w:usb0="00000000" w:usb1="00000000" w:usb2="00000000" w:usb3="00000000" w:csb0="00040000" w:csb1="00000000"/>
    <w:embedRegular r:id="rId3" w:fontKey="{3175A270-24C2-44AA-AB05-480127F2AA7B}"/>
  </w:font>
  <w:font w:name="仿宋_GB2312">
    <w:panose1 w:val="02010609030101010101"/>
    <w:charset w:val="86"/>
    <w:family w:val="modern"/>
    <w:pitch w:val="default"/>
    <w:sig w:usb0="00000001" w:usb1="080E0000" w:usb2="00000000" w:usb3="00000000" w:csb0="00040000" w:csb1="00000000"/>
    <w:embedRegular r:id="rId4" w:fontKey="{E1F5CEFE-5FA7-41B1-9963-C5BB6663178C}"/>
  </w:font>
  <w:font w:name="仿宋">
    <w:panose1 w:val="02010609060101010101"/>
    <w:charset w:val="86"/>
    <w:family w:val="modern"/>
    <w:pitch w:val="default"/>
    <w:sig w:usb0="800002BF" w:usb1="38CF7CFA" w:usb2="00000016" w:usb3="00000000" w:csb0="00040001" w:csb1="00000000"/>
    <w:embedRegular r:id="rId5" w:fontKey="{FADAF29E-81C4-4A47-A070-F4792BFEE165}"/>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89A"/>
    <w:rsid w:val="000B4762"/>
    <w:rsid w:val="000D5C9E"/>
    <w:rsid w:val="000F527E"/>
    <w:rsid w:val="000F660E"/>
    <w:rsid w:val="000F69C4"/>
    <w:rsid w:val="00126254"/>
    <w:rsid w:val="00151522"/>
    <w:rsid w:val="00153DD6"/>
    <w:rsid w:val="001552CF"/>
    <w:rsid w:val="00172055"/>
    <w:rsid w:val="001734EA"/>
    <w:rsid w:val="001864DE"/>
    <w:rsid w:val="00186FD9"/>
    <w:rsid w:val="00190623"/>
    <w:rsid w:val="00197D8E"/>
    <w:rsid w:val="001A349C"/>
    <w:rsid w:val="001B64F7"/>
    <w:rsid w:val="001E342F"/>
    <w:rsid w:val="001F161A"/>
    <w:rsid w:val="0020019B"/>
    <w:rsid w:val="002001CF"/>
    <w:rsid w:val="0022223D"/>
    <w:rsid w:val="00231F0F"/>
    <w:rsid w:val="002372CA"/>
    <w:rsid w:val="00264153"/>
    <w:rsid w:val="002814B3"/>
    <w:rsid w:val="002B1CE5"/>
    <w:rsid w:val="002E17F6"/>
    <w:rsid w:val="002E4F5C"/>
    <w:rsid w:val="0031336A"/>
    <w:rsid w:val="003220AE"/>
    <w:rsid w:val="0032401E"/>
    <w:rsid w:val="00335B4F"/>
    <w:rsid w:val="00354818"/>
    <w:rsid w:val="00380AB9"/>
    <w:rsid w:val="003F2B44"/>
    <w:rsid w:val="004142D2"/>
    <w:rsid w:val="00415448"/>
    <w:rsid w:val="004253FE"/>
    <w:rsid w:val="004424C4"/>
    <w:rsid w:val="004529DB"/>
    <w:rsid w:val="004547DF"/>
    <w:rsid w:val="00456765"/>
    <w:rsid w:val="00467B0E"/>
    <w:rsid w:val="0048778E"/>
    <w:rsid w:val="004B42B4"/>
    <w:rsid w:val="004D144A"/>
    <w:rsid w:val="004D65F5"/>
    <w:rsid w:val="004F3D20"/>
    <w:rsid w:val="00510336"/>
    <w:rsid w:val="005302E0"/>
    <w:rsid w:val="005319F2"/>
    <w:rsid w:val="00547D21"/>
    <w:rsid w:val="005642EC"/>
    <w:rsid w:val="005B12A9"/>
    <w:rsid w:val="005B3CCC"/>
    <w:rsid w:val="005B4CCB"/>
    <w:rsid w:val="005B7EF5"/>
    <w:rsid w:val="005D6AC1"/>
    <w:rsid w:val="005E186C"/>
    <w:rsid w:val="005E753A"/>
    <w:rsid w:val="00611602"/>
    <w:rsid w:val="00612F84"/>
    <w:rsid w:val="00625B60"/>
    <w:rsid w:val="00626603"/>
    <w:rsid w:val="00644F70"/>
    <w:rsid w:val="00653529"/>
    <w:rsid w:val="00671144"/>
    <w:rsid w:val="0067510E"/>
    <w:rsid w:val="006869CC"/>
    <w:rsid w:val="00687488"/>
    <w:rsid w:val="00696DA8"/>
    <w:rsid w:val="006B05DC"/>
    <w:rsid w:val="006D76C9"/>
    <w:rsid w:val="006D7B9B"/>
    <w:rsid w:val="006E5A89"/>
    <w:rsid w:val="006E76F8"/>
    <w:rsid w:val="006F7DA3"/>
    <w:rsid w:val="007202BD"/>
    <w:rsid w:val="007234E4"/>
    <w:rsid w:val="007372D9"/>
    <w:rsid w:val="00746909"/>
    <w:rsid w:val="00763688"/>
    <w:rsid w:val="00780D73"/>
    <w:rsid w:val="00785668"/>
    <w:rsid w:val="007917A3"/>
    <w:rsid w:val="007A4AAA"/>
    <w:rsid w:val="007A7F2E"/>
    <w:rsid w:val="007B258F"/>
    <w:rsid w:val="007C7ADA"/>
    <w:rsid w:val="007D575C"/>
    <w:rsid w:val="007E6E3A"/>
    <w:rsid w:val="00800575"/>
    <w:rsid w:val="008245F9"/>
    <w:rsid w:val="00841809"/>
    <w:rsid w:val="00845885"/>
    <w:rsid w:val="00847F1F"/>
    <w:rsid w:val="008618F0"/>
    <w:rsid w:val="008A203A"/>
    <w:rsid w:val="008B3B78"/>
    <w:rsid w:val="008B5B8B"/>
    <w:rsid w:val="008C34FB"/>
    <w:rsid w:val="008D24DA"/>
    <w:rsid w:val="008D64EB"/>
    <w:rsid w:val="008E0FB3"/>
    <w:rsid w:val="00926CA4"/>
    <w:rsid w:val="00930A99"/>
    <w:rsid w:val="00950EB6"/>
    <w:rsid w:val="00957282"/>
    <w:rsid w:val="009665FE"/>
    <w:rsid w:val="009855FD"/>
    <w:rsid w:val="0099242B"/>
    <w:rsid w:val="00997FDC"/>
    <w:rsid w:val="009A5FA8"/>
    <w:rsid w:val="009B2C33"/>
    <w:rsid w:val="009B3A03"/>
    <w:rsid w:val="009D0F45"/>
    <w:rsid w:val="009D3B27"/>
    <w:rsid w:val="009E01DC"/>
    <w:rsid w:val="00A24304"/>
    <w:rsid w:val="00A403A2"/>
    <w:rsid w:val="00A64FC0"/>
    <w:rsid w:val="00A82523"/>
    <w:rsid w:val="00AA0987"/>
    <w:rsid w:val="00AA3B75"/>
    <w:rsid w:val="00AD7100"/>
    <w:rsid w:val="00AE224D"/>
    <w:rsid w:val="00AF614F"/>
    <w:rsid w:val="00B14CC5"/>
    <w:rsid w:val="00B27A0C"/>
    <w:rsid w:val="00B31699"/>
    <w:rsid w:val="00B376FC"/>
    <w:rsid w:val="00B43514"/>
    <w:rsid w:val="00B46269"/>
    <w:rsid w:val="00B53D2C"/>
    <w:rsid w:val="00B53EE4"/>
    <w:rsid w:val="00B61D80"/>
    <w:rsid w:val="00B70B76"/>
    <w:rsid w:val="00B771E1"/>
    <w:rsid w:val="00BA0894"/>
    <w:rsid w:val="00BC7433"/>
    <w:rsid w:val="00BF4990"/>
    <w:rsid w:val="00C07EFD"/>
    <w:rsid w:val="00C11A10"/>
    <w:rsid w:val="00C14642"/>
    <w:rsid w:val="00C16077"/>
    <w:rsid w:val="00C413DB"/>
    <w:rsid w:val="00C76CFD"/>
    <w:rsid w:val="00CB384A"/>
    <w:rsid w:val="00CB4815"/>
    <w:rsid w:val="00CE1F9B"/>
    <w:rsid w:val="00D418D5"/>
    <w:rsid w:val="00D4498B"/>
    <w:rsid w:val="00D502BE"/>
    <w:rsid w:val="00D90FF0"/>
    <w:rsid w:val="00DA4495"/>
    <w:rsid w:val="00DB3F12"/>
    <w:rsid w:val="00DD264B"/>
    <w:rsid w:val="00DD4497"/>
    <w:rsid w:val="00DE651E"/>
    <w:rsid w:val="00E1457A"/>
    <w:rsid w:val="00E15407"/>
    <w:rsid w:val="00E5489A"/>
    <w:rsid w:val="00E60411"/>
    <w:rsid w:val="00E63FA1"/>
    <w:rsid w:val="00E75C11"/>
    <w:rsid w:val="00E8668C"/>
    <w:rsid w:val="00EB0870"/>
    <w:rsid w:val="00EB14A7"/>
    <w:rsid w:val="00EB7909"/>
    <w:rsid w:val="00ED7610"/>
    <w:rsid w:val="00EF3B17"/>
    <w:rsid w:val="00F0640A"/>
    <w:rsid w:val="00F07C9F"/>
    <w:rsid w:val="00F31AC9"/>
    <w:rsid w:val="00F450B7"/>
    <w:rsid w:val="00F618AD"/>
    <w:rsid w:val="00F661DB"/>
    <w:rsid w:val="00F827FF"/>
    <w:rsid w:val="00F9011F"/>
    <w:rsid w:val="00F933C5"/>
    <w:rsid w:val="00FA182C"/>
    <w:rsid w:val="00FA29B8"/>
    <w:rsid w:val="00FA4A53"/>
    <w:rsid w:val="00FB1AFA"/>
    <w:rsid w:val="00FB1BFE"/>
    <w:rsid w:val="00FB3EE2"/>
    <w:rsid w:val="00FE7C7A"/>
    <w:rsid w:val="046A63E8"/>
    <w:rsid w:val="04DC0F89"/>
    <w:rsid w:val="0571394D"/>
    <w:rsid w:val="061D79E9"/>
    <w:rsid w:val="07487DFB"/>
    <w:rsid w:val="07695B4B"/>
    <w:rsid w:val="09397729"/>
    <w:rsid w:val="0A4D7BBC"/>
    <w:rsid w:val="0F333696"/>
    <w:rsid w:val="0F945EF3"/>
    <w:rsid w:val="104C787B"/>
    <w:rsid w:val="11741138"/>
    <w:rsid w:val="12FC360E"/>
    <w:rsid w:val="150B5AD8"/>
    <w:rsid w:val="159536BA"/>
    <w:rsid w:val="1B7725C5"/>
    <w:rsid w:val="21AD294D"/>
    <w:rsid w:val="28811531"/>
    <w:rsid w:val="294F4B81"/>
    <w:rsid w:val="29CD3A9C"/>
    <w:rsid w:val="2AD16798"/>
    <w:rsid w:val="2CC3341A"/>
    <w:rsid w:val="2EE47B19"/>
    <w:rsid w:val="2FC85D74"/>
    <w:rsid w:val="31C363A2"/>
    <w:rsid w:val="32AE0EB6"/>
    <w:rsid w:val="369D517D"/>
    <w:rsid w:val="36B324A2"/>
    <w:rsid w:val="38400449"/>
    <w:rsid w:val="3C5E3963"/>
    <w:rsid w:val="3DB4066D"/>
    <w:rsid w:val="3DEEEB0D"/>
    <w:rsid w:val="3E396E31"/>
    <w:rsid w:val="3E3F5DC2"/>
    <w:rsid w:val="3F1723BC"/>
    <w:rsid w:val="425E58C7"/>
    <w:rsid w:val="49361ADE"/>
    <w:rsid w:val="4BB03E05"/>
    <w:rsid w:val="4C4A5008"/>
    <w:rsid w:val="4CA936D8"/>
    <w:rsid w:val="4FBF36E0"/>
    <w:rsid w:val="503A13DA"/>
    <w:rsid w:val="5076035C"/>
    <w:rsid w:val="50A62A29"/>
    <w:rsid w:val="50C730CB"/>
    <w:rsid w:val="520B7F6E"/>
    <w:rsid w:val="527D31A5"/>
    <w:rsid w:val="54BF26D6"/>
    <w:rsid w:val="56446F6C"/>
    <w:rsid w:val="56DF0A43"/>
    <w:rsid w:val="57C252A2"/>
    <w:rsid w:val="5C651686"/>
    <w:rsid w:val="5C767535"/>
    <w:rsid w:val="5D5810C4"/>
    <w:rsid w:val="5DFB7B79"/>
    <w:rsid w:val="5FF85F59"/>
    <w:rsid w:val="628E4029"/>
    <w:rsid w:val="65D53AF1"/>
    <w:rsid w:val="66B477F6"/>
    <w:rsid w:val="67967119"/>
    <w:rsid w:val="68F17182"/>
    <w:rsid w:val="6A2151A2"/>
    <w:rsid w:val="6ADE540A"/>
    <w:rsid w:val="6B046134"/>
    <w:rsid w:val="6E0077C5"/>
    <w:rsid w:val="6E5B42E0"/>
    <w:rsid w:val="7108496E"/>
    <w:rsid w:val="71904F90"/>
    <w:rsid w:val="73CA6B13"/>
    <w:rsid w:val="74BFB8F1"/>
    <w:rsid w:val="754A035E"/>
    <w:rsid w:val="75765E1A"/>
    <w:rsid w:val="75836ADF"/>
    <w:rsid w:val="76FE4B87"/>
    <w:rsid w:val="776D7BEC"/>
    <w:rsid w:val="795544FE"/>
    <w:rsid w:val="798D3023"/>
    <w:rsid w:val="7CF2529E"/>
    <w:rsid w:val="7F507050"/>
    <w:rsid w:val="EFD1E299"/>
    <w:rsid w:val="EFF719CC"/>
    <w:rsid w:val="FF5FF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Emphasis"/>
    <w:qFormat/>
    <w:uiPriority w:val="0"/>
    <w:rPr>
      <w:i/>
    </w:rPr>
  </w:style>
  <w:style w:type="character" w:styleId="10">
    <w:name w:val="lin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238</Words>
  <Characters>1358</Characters>
  <Lines>11</Lines>
  <Paragraphs>3</Paragraphs>
  <TotalTime>24</TotalTime>
  <ScaleCrop>false</ScaleCrop>
  <LinksUpToDate>false</LinksUpToDate>
  <CharactersWithSpaces>1593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2026-06-11T05:34:00Z</dcterms:created>
  <dc:creator>微软用户</dc:creator>
  <cp:lastModifiedBy>ASUS</cp:lastModifiedBy>
  <cp:lastPrinted>2026-06-11T18:37:00Z</cp:lastPrinted>
  <dcterms:modified xsi:type="dcterms:W3CDTF">2026-06-11T07:50:49Z</dcterms:modified>
  <dc:title>关于北京市丰台区“北京地铁十四号线工程”征收范围内被征收人协商选定房地产价格评估机构的通知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BE3042071A385BF5611B2A6A6D0DA8EE_43</vt:lpwstr>
  </property>
  <property fmtid="{D5CDD505-2E9C-101B-9397-08002B2CF9AE}" pid="4" name="KSOTemplateDocerSaveRecord">
    <vt:lpwstr>eyJoZGlkIjoiZGIzMTkzMjBhNzhhMThjZWNmZGIyMzM1NjhkN2QxZGUiLCJ1c2VySWQiOiI3MzE3NDUzNjYifQ==</vt:lpwstr>
  </property>
</Properties>
</file>