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084" w:rsidRDefault="00DF4084" w:rsidP="00DF4084">
      <w:pPr>
        <w:widowControl/>
        <w:adjustRightInd w:val="0"/>
        <w:spacing w:line="560" w:lineRule="exact"/>
        <w:ind w:firstLineChars="200" w:firstLine="703"/>
        <w:jc w:val="center"/>
        <w:rPr>
          <w:rFonts w:ascii="仿宋_GB2312" w:eastAsia="仿宋_GB2312" w:hAnsi="宋体" w:cs="宋体"/>
          <w:b/>
          <w:color w:val="000000"/>
          <w:spacing w:val="15"/>
          <w:kern w:val="0"/>
          <w:sz w:val="32"/>
          <w:szCs w:val="32"/>
        </w:rPr>
      </w:pPr>
      <w:r>
        <w:rPr>
          <w:rFonts w:ascii="仿宋_GB2312" w:eastAsia="仿宋_GB2312" w:hAnsi="宋体" w:cs="宋体" w:hint="eastAsia"/>
          <w:b/>
          <w:color w:val="000000"/>
          <w:spacing w:val="15"/>
          <w:kern w:val="0"/>
          <w:sz w:val="32"/>
          <w:szCs w:val="32"/>
        </w:rPr>
        <w:t>专业名词解释</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预算：</w:t>
      </w:r>
      <w:r>
        <w:rPr>
          <w:rFonts w:ascii="仿宋_GB2312" w:eastAsia="仿宋_GB2312" w:hAnsi="Calibri" w:hint="eastAsia"/>
          <w:sz w:val="30"/>
          <w:szCs w:val="30"/>
        </w:rPr>
        <w:t>指遵循统筹兼顾、勤俭节约、量力而行、讲求绩效和收支平衡的原则编制，经法定程序审核批准的国家年度集中性财政收支计划。政府的全部收入和支出都应当纳入预算，地方各级预算一般不列赤字。</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政府预算体系：</w:t>
      </w:r>
      <w:r>
        <w:rPr>
          <w:rFonts w:ascii="仿宋_GB2312" w:eastAsia="仿宋_GB2312" w:hAnsi="Calibri" w:hint="eastAsia"/>
          <w:sz w:val="30"/>
          <w:szCs w:val="30"/>
        </w:rPr>
        <w:t>由一般公共预算、政府性基金预算、国有资本经营预算和社会保险基金预算共同组成。四本预算保持完整、独立并相衔接，全面反映政府收支总量、结构和管理活动。</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一般公共预算：</w:t>
      </w:r>
      <w:r>
        <w:rPr>
          <w:rFonts w:ascii="仿宋_GB2312" w:eastAsia="仿宋_GB2312" w:hAnsi="Calibri" w:hint="eastAsia"/>
          <w:sz w:val="30"/>
          <w:szCs w:val="30"/>
        </w:rPr>
        <w:t>对以税收为主体的财政收入，安排用于保障和改善民生、推动经济社会发展、维护国家安全、维持国家机构正常运转等方面的收支预算。</w:t>
      </w:r>
    </w:p>
    <w:p w:rsidR="00DF4084" w:rsidRDefault="00DF4084" w:rsidP="00DF4084">
      <w:pPr>
        <w:tabs>
          <w:tab w:val="left" w:pos="2043"/>
        </w:tabs>
        <w:spacing w:line="480" w:lineRule="exact"/>
        <w:ind w:firstLineChars="200" w:firstLine="602"/>
        <w:rPr>
          <w:rFonts w:ascii="仿宋_GB2312" w:eastAsia="仿宋_GB2312" w:hAnsi="Calibri" w:hint="eastAsia"/>
          <w:spacing w:val="-2"/>
          <w:sz w:val="30"/>
          <w:szCs w:val="30"/>
        </w:rPr>
      </w:pPr>
      <w:r>
        <w:rPr>
          <w:rFonts w:ascii="仿宋_GB2312" w:eastAsia="仿宋_GB2312" w:hAnsi="Calibri" w:hint="eastAsia"/>
          <w:b/>
          <w:sz w:val="30"/>
          <w:szCs w:val="30"/>
        </w:rPr>
        <w:t>一般性转移支付：</w:t>
      </w:r>
      <w:r>
        <w:rPr>
          <w:rFonts w:ascii="仿宋_GB2312" w:eastAsia="仿宋_GB2312" w:hAnsi="Calibri" w:hint="eastAsia"/>
          <w:spacing w:val="-2"/>
          <w:sz w:val="30"/>
          <w:szCs w:val="30"/>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rsidR="00DF4084" w:rsidRDefault="00DF4084" w:rsidP="00DF4084">
      <w:pPr>
        <w:tabs>
          <w:tab w:val="left" w:pos="2043"/>
        </w:tabs>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结余结转资金：</w:t>
      </w:r>
      <w:r>
        <w:rPr>
          <w:rFonts w:ascii="仿宋_GB2312" w:eastAsia="仿宋_GB2312" w:hAnsi="Calibri" w:hint="eastAsia"/>
          <w:sz w:val="30"/>
          <w:szCs w:val="30"/>
        </w:rPr>
        <w:t>指当年预算已执行但工作目标未完成，或者因故未执行，下一年度需要按原用途继续使用的资金。</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部门预算:</w:t>
      </w:r>
      <w:r>
        <w:rPr>
          <w:rFonts w:ascii="仿宋_GB2312" w:eastAsia="仿宋_GB2312" w:hAnsi="Calibri" w:hint="eastAsia"/>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 xml:space="preserve">国库集中收付: </w:t>
      </w:r>
      <w:r>
        <w:rPr>
          <w:rFonts w:ascii="仿宋_GB2312" w:eastAsia="仿宋_GB2312" w:hAnsi="Calibri" w:hint="eastAsia"/>
          <w:sz w:val="30"/>
          <w:szCs w:val="30"/>
        </w:rPr>
        <w:t>指所有财政性资金纳入国库单一账户体系管理，收入直接缴入国库或财政专户，支出在支付行为发生时通过国库单一账户体系以直接支付和授权支付方式支付到收款人或用款单位的现代国库管理制度。</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 xml:space="preserve">政府采购: </w:t>
      </w:r>
      <w:r>
        <w:rPr>
          <w:rFonts w:ascii="仿宋_GB2312" w:eastAsia="仿宋_GB2312" w:hAnsi="Calibri" w:hint="eastAsia"/>
          <w:sz w:val="30"/>
          <w:szCs w:val="30"/>
        </w:rPr>
        <w:t>指各级国家机关、事业单位和团体组织，使用财政性资金采购依法制定的集中采购目录以内的或者采购限额标</w:t>
      </w:r>
      <w:r>
        <w:rPr>
          <w:rFonts w:ascii="仿宋_GB2312" w:eastAsia="仿宋_GB2312" w:hAnsi="Calibri" w:hint="eastAsia"/>
          <w:sz w:val="30"/>
          <w:szCs w:val="30"/>
        </w:rPr>
        <w:lastRenderedPageBreak/>
        <w:t>准以上的货物、工程和服务的行为。政府采购是规范财政支出管理和强化预算约束的有效措施。</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预算绩效管理：</w:t>
      </w:r>
      <w:r>
        <w:rPr>
          <w:rFonts w:ascii="仿宋_GB2312" w:eastAsia="仿宋_GB2312" w:hAnsi="Calibri" w:hint="eastAsia"/>
          <w:sz w:val="30"/>
          <w:szCs w:val="30"/>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财政投资评审：</w:t>
      </w:r>
      <w:r>
        <w:rPr>
          <w:rFonts w:ascii="仿宋_GB2312" w:eastAsia="仿宋_GB2312" w:hAnsi="Calibri" w:hint="eastAsia"/>
          <w:sz w:val="30"/>
          <w:szCs w:val="30"/>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“三公”经费：</w:t>
      </w:r>
      <w:r>
        <w:rPr>
          <w:rFonts w:ascii="仿宋_GB2312" w:eastAsia="仿宋_GB2312" w:hAnsi="Calibri" w:hint="eastAsia"/>
          <w:sz w:val="30"/>
          <w:szCs w:val="30"/>
        </w:rPr>
        <w:t>指因公出国（境）费、公务用车购置及运行维护费和公务接待费。其中，因公出国（境）</w:t>
      </w:r>
      <w:proofErr w:type="gramStart"/>
      <w:r>
        <w:rPr>
          <w:rFonts w:ascii="仿宋_GB2312" w:eastAsia="仿宋_GB2312" w:hAnsi="Calibri" w:hint="eastAsia"/>
          <w:sz w:val="30"/>
          <w:szCs w:val="30"/>
        </w:rPr>
        <w:t>费反映</w:t>
      </w:r>
      <w:proofErr w:type="gramEnd"/>
      <w:r>
        <w:rPr>
          <w:rFonts w:ascii="仿宋_GB2312" w:eastAsia="仿宋_GB2312" w:hAnsi="Calibri" w:hint="eastAsia"/>
          <w:sz w:val="30"/>
          <w:szCs w:val="30"/>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Pr>
          <w:rFonts w:ascii="仿宋_GB2312" w:eastAsia="仿宋_GB2312" w:hAnsi="Calibri" w:hint="eastAsia"/>
          <w:sz w:val="30"/>
          <w:szCs w:val="30"/>
        </w:rPr>
        <w:t>费反映</w:t>
      </w:r>
      <w:proofErr w:type="gramEnd"/>
      <w:r>
        <w:rPr>
          <w:rFonts w:ascii="仿宋_GB2312" w:eastAsia="仿宋_GB2312" w:hAnsi="Calibri" w:hint="eastAsia"/>
          <w:sz w:val="30"/>
          <w:szCs w:val="30"/>
        </w:rPr>
        <w:t>单位按规定开支的各类公务接待（含外宾接待）支出。</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政府购买服务：</w:t>
      </w:r>
      <w:r>
        <w:rPr>
          <w:rFonts w:ascii="仿宋_GB2312" w:eastAsia="仿宋_GB2312" w:hAnsi="Calibri" w:hint="eastAsia"/>
          <w:sz w:val="30"/>
          <w:szCs w:val="30"/>
        </w:rPr>
        <w:t>指通过发挥市场机制作用，把政府直接向社会公众提供的公共服务等事项，按照一定的方式和程序，交由具备条件的社会力量承担，并由政府根据服务数量和质量向其支付费用。</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机关运行经费：</w:t>
      </w:r>
      <w:r>
        <w:rPr>
          <w:rFonts w:ascii="仿宋_GB2312" w:eastAsia="仿宋_GB2312" w:hAnsi="Calibri" w:hint="eastAsia"/>
          <w:sz w:val="30"/>
          <w:szCs w:val="30"/>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F4084" w:rsidRDefault="00DF4084" w:rsidP="00DF4084">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lastRenderedPageBreak/>
        <w:t>部门整体支出绩效评价：</w:t>
      </w:r>
      <w:r>
        <w:rPr>
          <w:rFonts w:ascii="仿宋_GB2312" w:eastAsia="仿宋_GB2312" w:hAnsi="Calibri" w:hint="eastAsia"/>
          <w:sz w:val="30"/>
          <w:szCs w:val="30"/>
        </w:rPr>
        <w:t>是对包括部门整体基本支出和项目支出在内的整体预算支出的绩效评价，评价以项目支出为重点。一般以预算年度为周期，对跨年度的重点项目可根据项目支出完成情况实施阶段性评价。</w:t>
      </w:r>
    </w:p>
    <w:p w:rsidR="00C53C5A" w:rsidRPr="00DF4084" w:rsidRDefault="00C53C5A">
      <w:pPr>
        <w:rPr>
          <w:rFonts w:hint="eastAsia"/>
        </w:rPr>
      </w:pPr>
      <w:bookmarkStart w:id="0" w:name="_GoBack"/>
      <w:bookmarkEnd w:id="0"/>
    </w:p>
    <w:sectPr w:rsidR="00C53C5A" w:rsidRPr="00DF40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02"/>
    <w:rsid w:val="006A4802"/>
    <w:rsid w:val="00C53C5A"/>
    <w:rsid w:val="00DF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01569-6E3A-4A9C-8E59-5E0B3218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0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9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jellolo_ok</dc:creator>
  <cp:keywords/>
  <dc:description/>
  <cp:lastModifiedBy>jellolo_ok</cp:lastModifiedBy>
  <cp:revision>2</cp:revision>
  <dcterms:created xsi:type="dcterms:W3CDTF">2021-01-27T07:54:00Z</dcterms:created>
  <dcterms:modified xsi:type="dcterms:W3CDTF">2021-01-27T07:54:00Z</dcterms:modified>
</cp:coreProperties>
</file>