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exact"/>
        <w:ind w:left="0" w:right="0"/>
        <w:jc w:val="center"/>
        <w:rPr>
          <w:rFonts w:hint="eastAsia" w:ascii="方正小标宋简体" w:hAnsi="方正小标宋简体" w:eastAsia="方正小标宋简体" w:cs="方正小标宋简体"/>
          <w:b w:val="0"/>
          <w:bCs w:val="0"/>
          <w:color w:val="auto"/>
          <w:kern w:val="2"/>
          <w:sz w:val="44"/>
          <w:szCs w:val="44"/>
          <w:lang w:val="en-US" w:eastAsia="zh-CN" w:bidi="ar-SA"/>
        </w:rPr>
      </w:pPr>
      <w:bookmarkStart w:id="0" w:name="_GoBack"/>
      <w:bookmarkEnd w:id="0"/>
      <w:r>
        <w:rPr>
          <w:rFonts w:hint="eastAsia" w:ascii="方正小标宋简体" w:hAnsi="方正小标宋简体" w:eastAsia="方正小标宋简体" w:cs="方正小标宋简体"/>
          <w:b w:val="0"/>
          <w:bCs w:val="0"/>
          <w:color w:val="auto"/>
          <w:kern w:val="2"/>
          <w:sz w:val="44"/>
          <w:szCs w:val="44"/>
          <w:lang w:val="en-US" w:eastAsia="zh-CN" w:bidi="ar-SA"/>
        </w:rPr>
        <w:t>和义街道2025年度法治政府建设情况报告</w:t>
      </w:r>
    </w:p>
    <w:p>
      <w:pPr>
        <w:keepNext w:val="0"/>
        <w:keepLines w:val="0"/>
        <w:widowControl/>
        <w:suppressLineNumbers w:val="0"/>
        <w:jc w:val="left"/>
        <w:rPr>
          <w:rFonts w:hint="eastAsia" w:ascii="仿宋_GB2312" w:hAnsi="宋体" w:eastAsia="仿宋_GB2312" w:cs="仿宋_GB2312"/>
          <w:color w:val="auto"/>
          <w:kern w:val="0"/>
          <w:sz w:val="31"/>
          <w:szCs w:val="31"/>
          <w:lang w:val="en-US" w:eastAsia="zh-CN" w:bidi="ar"/>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0" w:firstLineChars="0"/>
        <w:jc w:val="both"/>
        <w:textAlignment w:val="auto"/>
        <w:rPr>
          <w:rFonts w:hint="eastAsia" w:ascii="仿宋_GB2312" w:hAnsi="仿宋_GB2312" w:eastAsia="仿宋_GB2312" w:cs="仿宋_GB2312"/>
          <w:i w:val="0"/>
          <w:iCs w:val="0"/>
          <w:caps w:val="0"/>
          <w:color w:val="auto"/>
          <w:spacing w:val="0"/>
          <w:sz w:val="32"/>
          <w:szCs w:val="32"/>
          <w:shd w:val="clear" w:fill="auto"/>
          <w:lang w:val="en-US" w:eastAsia="zh-CN"/>
        </w:rPr>
      </w:pPr>
      <w:r>
        <w:rPr>
          <w:rFonts w:hint="eastAsia" w:ascii="仿宋_GB2312" w:hAnsi="仿宋_GB2312" w:eastAsia="仿宋_GB2312" w:cs="仿宋_GB2312"/>
          <w:i w:val="0"/>
          <w:iCs w:val="0"/>
          <w:caps w:val="0"/>
          <w:color w:val="auto"/>
          <w:spacing w:val="0"/>
          <w:sz w:val="32"/>
          <w:szCs w:val="32"/>
          <w:shd w:val="clear" w:fill="auto"/>
          <w:lang w:val="en-US" w:eastAsia="zh-CN"/>
        </w:rPr>
        <w:t xml:space="preserve">    2025年，和义街道</w:t>
      </w:r>
      <w:r>
        <w:rPr>
          <w:rFonts w:hint="eastAsia" w:ascii="仿宋_GB2312" w:hAnsi="仿宋_GB2312" w:eastAsia="仿宋_GB2312" w:cs="仿宋_GB2312"/>
          <w:i w:val="0"/>
          <w:iCs w:val="0"/>
          <w:caps w:val="0"/>
          <w:color w:val="auto"/>
          <w:spacing w:val="0"/>
          <w:sz w:val="32"/>
          <w:szCs w:val="32"/>
          <w:shd w:val="clear" w:fill="auto"/>
        </w:rPr>
        <w:t>在区委、区政府的坚强领导下，</w:t>
      </w:r>
      <w:r>
        <w:rPr>
          <w:rFonts w:hint="eastAsia" w:ascii="仿宋_GB2312" w:hAnsi="仿宋_GB2312" w:eastAsia="仿宋_GB2312" w:cs="仿宋_GB2312"/>
          <w:i w:val="0"/>
          <w:iCs w:val="0"/>
          <w:caps w:val="0"/>
          <w:color w:val="auto"/>
          <w:spacing w:val="0"/>
          <w:sz w:val="32"/>
          <w:szCs w:val="32"/>
          <w:shd w:val="clear" w:fill="auto"/>
          <w:lang w:eastAsia="zh-CN"/>
        </w:rPr>
        <w:t>坚持</w:t>
      </w:r>
      <w:r>
        <w:rPr>
          <w:rFonts w:hint="eastAsia" w:ascii="仿宋_GB2312" w:hAnsi="仿宋_GB2312" w:eastAsia="仿宋_GB2312" w:cs="仿宋_GB2312"/>
          <w:i w:val="0"/>
          <w:iCs w:val="0"/>
          <w:caps w:val="0"/>
          <w:color w:val="auto"/>
          <w:spacing w:val="0"/>
          <w:sz w:val="32"/>
          <w:szCs w:val="32"/>
          <w:shd w:val="clear" w:fill="auto"/>
          <w:lang w:val="en-US" w:eastAsia="zh-CN"/>
        </w:rPr>
        <w:t>以习近平新时代中国特色社会主义思想为指导，</w:t>
      </w:r>
      <w:r>
        <w:rPr>
          <w:rFonts w:hint="eastAsia" w:ascii="仿宋_GB2312" w:hAnsi="仿宋_GB2312" w:eastAsia="仿宋_GB2312" w:cs="仿宋_GB2312"/>
          <w:i w:val="0"/>
          <w:iCs w:val="0"/>
          <w:caps w:val="0"/>
          <w:color w:val="auto"/>
          <w:spacing w:val="0"/>
          <w:sz w:val="32"/>
          <w:szCs w:val="32"/>
          <w:shd w:val="clear" w:fill="auto"/>
        </w:rPr>
        <w:t>全面贯彻党的二十大和二十届历次全会精神，深入践行</w:t>
      </w:r>
      <w:r>
        <w:rPr>
          <w:rFonts w:hint="eastAsia" w:ascii="仿宋_GB2312" w:hAnsi="仿宋_GB2312" w:eastAsia="仿宋_GB2312" w:cs="仿宋_GB2312"/>
          <w:i w:val="0"/>
          <w:iCs w:val="0"/>
          <w:caps w:val="0"/>
          <w:color w:val="auto"/>
          <w:spacing w:val="0"/>
          <w:sz w:val="32"/>
          <w:szCs w:val="32"/>
          <w:shd w:val="clear" w:fill="auto"/>
          <w:lang w:val="en-US" w:eastAsia="zh-CN"/>
        </w:rPr>
        <w:t>习近平法治思想，严格落实《党政主要负责人履行推进法治建设第一责任人职责规定》，</w:t>
      </w:r>
      <w:r>
        <w:rPr>
          <w:rFonts w:hint="eastAsia" w:ascii="仿宋_GB2312" w:hAnsi="仿宋_GB2312" w:eastAsia="仿宋_GB2312" w:cs="仿宋_GB2312"/>
          <w:i w:val="0"/>
          <w:iCs w:val="0"/>
          <w:caps w:val="0"/>
          <w:color w:val="auto"/>
          <w:spacing w:val="0"/>
          <w:sz w:val="32"/>
          <w:szCs w:val="32"/>
          <w:shd w:val="clear" w:fill="auto"/>
        </w:rPr>
        <w:t>围绕全区法治建设部署要求，</w:t>
      </w:r>
      <w:r>
        <w:rPr>
          <w:rFonts w:hint="eastAsia" w:ascii="仿宋_GB2312" w:hAnsi="仿宋_GB2312" w:eastAsia="仿宋_GB2312" w:cs="仿宋_GB2312"/>
          <w:i w:val="0"/>
          <w:iCs w:val="0"/>
          <w:caps w:val="0"/>
          <w:color w:val="auto"/>
          <w:spacing w:val="0"/>
          <w:sz w:val="32"/>
          <w:szCs w:val="32"/>
          <w:shd w:val="clear" w:fill="auto"/>
          <w:lang w:val="en-US" w:eastAsia="zh-CN"/>
        </w:rPr>
        <w:t>持续巩固提升2024年工作成效，</w:t>
      </w:r>
      <w:r>
        <w:rPr>
          <w:rFonts w:hint="eastAsia" w:ascii="仿宋_GB2312" w:hAnsi="仿宋_GB2312" w:eastAsia="仿宋_GB2312" w:cs="仿宋_GB2312"/>
          <w:i w:val="0"/>
          <w:iCs w:val="0"/>
          <w:caps w:val="0"/>
          <w:color w:val="auto"/>
          <w:spacing w:val="0"/>
          <w:sz w:val="32"/>
          <w:szCs w:val="32"/>
          <w:shd w:val="clear" w:fill="auto"/>
        </w:rPr>
        <w:t>以“治理+”模式创新和科技赋能力量驱动为核心，</w:t>
      </w:r>
      <w:r>
        <w:rPr>
          <w:rFonts w:hint="eastAsia" w:ascii="仿宋_GB2312" w:hAnsi="仿宋_GB2312" w:eastAsia="仿宋_GB2312" w:cs="仿宋_GB2312"/>
          <w:i w:val="0"/>
          <w:iCs w:val="0"/>
          <w:caps w:val="0"/>
          <w:color w:val="auto"/>
          <w:spacing w:val="0"/>
          <w:sz w:val="32"/>
          <w:szCs w:val="32"/>
          <w:shd w:val="clear" w:fill="auto"/>
          <w:lang w:val="en-US" w:eastAsia="zh-CN"/>
        </w:rPr>
        <w:t>推动法治政府建设与基层治理深度融合。全年工作聚焦依法决策、</w:t>
      </w:r>
      <w:r>
        <w:rPr>
          <w:rFonts w:hint="eastAsia" w:ascii="仿宋_GB2312" w:hAnsi="仿宋_GB2312" w:eastAsia="仿宋_GB2312" w:cs="仿宋_GB2312"/>
          <w:i w:val="0"/>
          <w:iCs w:val="0"/>
          <w:caps w:val="0"/>
          <w:color w:val="auto"/>
          <w:spacing w:val="0"/>
          <w:sz w:val="32"/>
          <w:szCs w:val="32"/>
          <w:shd w:val="clear" w:fill="auto"/>
        </w:rPr>
        <w:t>规范执法、多元解纷、精准普法等重点环节，系统施策、精准发力，依法履职能力与治理效能实现新提升</w:t>
      </w:r>
      <w:r>
        <w:rPr>
          <w:rFonts w:hint="eastAsia" w:ascii="仿宋_GB2312" w:hAnsi="仿宋_GB2312" w:eastAsia="仿宋_GB2312" w:cs="仿宋_GB2312"/>
          <w:i w:val="0"/>
          <w:iCs w:val="0"/>
          <w:caps w:val="0"/>
          <w:color w:val="auto"/>
          <w:spacing w:val="0"/>
          <w:sz w:val="32"/>
          <w:szCs w:val="32"/>
          <w:shd w:val="clear" w:fill="auto"/>
          <w:lang w:val="en-US" w:eastAsia="zh-CN"/>
        </w:rPr>
        <w:t>。现将年度法治政府建设工作情况报告如下：</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eastAsia" w:ascii="楷体_GB2312" w:hAnsi="楷体_GB2312" w:eastAsia="楷体_GB2312" w:cs="楷体_GB2312"/>
          <w:b/>
          <w:bCs/>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一、2025年度推进法治政府建设的主要举措和成效</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textAlignment w:val="auto"/>
        <w:rPr>
          <w:rStyle w:val="15"/>
          <w:rFonts w:hint="eastAsia" w:ascii="楷体_GB2312" w:hAnsi="楷体_GB2312" w:eastAsia="楷体_GB2312" w:cs="楷体_GB2312"/>
          <w:b/>
          <w:bCs/>
          <w:i w:val="0"/>
          <w:iCs w:val="0"/>
          <w:caps w:val="0"/>
          <w:color w:val="auto"/>
          <w:spacing w:val="0"/>
          <w:sz w:val="32"/>
          <w:szCs w:val="32"/>
          <w:shd w:val="clear" w:fill="FFFFFF"/>
        </w:rPr>
      </w:pPr>
      <w:r>
        <w:rPr>
          <w:rFonts w:hint="eastAsia" w:ascii="楷体_GB2312" w:hAnsi="楷体_GB2312" w:eastAsia="楷体_GB2312" w:cs="楷体_GB2312"/>
          <w:b/>
          <w:bCs/>
          <w:i w:val="0"/>
          <w:iCs w:val="0"/>
          <w:caps w:val="0"/>
          <w:color w:val="auto"/>
          <w:spacing w:val="0"/>
          <w:sz w:val="32"/>
          <w:szCs w:val="32"/>
          <w:shd w:val="clear"/>
          <w:lang w:eastAsia="zh-CN"/>
        </w:rPr>
        <w:t>（一）</w:t>
      </w:r>
      <w:r>
        <w:rPr>
          <w:rStyle w:val="14"/>
          <w:rFonts w:hint="eastAsia" w:ascii="楷体_GB2312" w:hAnsi="楷体_GB2312" w:eastAsia="楷体_GB2312" w:cs="楷体_GB2312"/>
          <w:b/>
          <w:bCs/>
          <w:i w:val="0"/>
          <w:iCs w:val="0"/>
          <w:caps w:val="0"/>
          <w:color w:val="auto"/>
          <w:spacing w:val="0"/>
          <w:sz w:val="32"/>
          <w:szCs w:val="32"/>
          <w:shd w:val="clear" w:fill="FFFFFF"/>
        </w:rPr>
        <w:t>强化</w:t>
      </w:r>
      <w:r>
        <w:rPr>
          <w:rStyle w:val="15"/>
          <w:rFonts w:hint="eastAsia" w:ascii="楷体_GB2312" w:hAnsi="楷体_GB2312" w:eastAsia="楷体_GB2312" w:cs="楷体_GB2312"/>
          <w:b/>
          <w:bCs/>
          <w:i w:val="0"/>
          <w:iCs w:val="0"/>
          <w:caps w:val="0"/>
          <w:color w:val="auto"/>
          <w:spacing w:val="0"/>
          <w:sz w:val="32"/>
          <w:szCs w:val="32"/>
          <w:shd w:val="clear" w:fill="FFFFFF"/>
        </w:rPr>
        <w:t>政治引领，构建法治建设新格局</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textAlignment w:val="auto"/>
        <w:rPr>
          <w:rFonts w:hint="eastAsia" w:ascii="仿宋_GB2312" w:hAnsi="仿宋_GB2312" w:eastAsia="仿宋_GB2312" w:cs="仿宋_GB2312"/>
          <w:i w:val="0"/>
          <w:iCs w:val="0"/>
          <w:caps w:val="0"/>
          <w:color w:val="auto"/>
          <w:spacing w:val="0"/>
          <w:sz w:val="32"/>
          <w:szCs w:val="32"/>
          <w:shd w:val="clear" w:fill="auto"/>
        </w:rPr>
      </w:pPr>
      <w:r>
        <w:rPr>
          <w:rFonts w:hint="eastAsia" w:ascii="仿宋_GB2312" w:hAnsi="仿宋_GB2312" w:eastAsia="仿宋_GB2312" w:cs="仿宋_GB2312"/>
          <w:i w:val="0"/>
          <w:iCs w:val="0"/>
          <w:caps w:val="0"/>
          <w:color w:val="auto"/>
          <w:spacing w:val="0"/>
          <w:sz w:val="32"/>
          <w:szCs w:val="32"/>
          <w:shd w:val="clear" w:fill="auto"/>
        </w:rPr>
        <w:t>始终坚持党对法治建设工作的全面领导，构建“党组领航、支部攻坚、党员争先”工作格局。将党的二十大</w:t>
      </w:r>
      <w:r>
        <w:rPr>
          <w:rFonts w:hint="eastAsia" w:ascii="仿宋_GB2312" w:hAnsi="仿宋_GB2312" w:eastAsia="仿宋_GB2312" w:cs="仿宋_GB2312"/>
          <w:i w:val="0"/>
          <w:iCs w:val="0"/>
          <w:caps w:val="0"/>
          <w:color w:val="auto"/>
          <w:spacing w:val="0"/>
          <w:sz w:val="32"/>
          <w:szCs w:val="32"/>
          <w:shd w:val="clear"/>
          <w:lang w:eastAsia="zh-CN"/>
        </w:rPr>
        <w:t>及二十届历次</w:t>
      </w:r>
      <w:r>
        <w:rPr>
          <w:rFonts w:hint="eastAsia" w:ascii="仿宋_GB2312" w:hAnsi="仿宋_GB2312" w:eastAsia="仿宋_GB2312" w:cs="仿宋_GB2312"/>
          <w:i w:val="0"/>
          <w:iCs w:val="0"/>
          <w:caps w:val="0"/>
          <w:color w:val="auto"/>
          <w:spacing w:val="0"/>
          <w:sz w:val="32"/>
          <w:szCs w:val="32"/>
          <w:shd w:val="clear" w:fill="auto"/>
        </w:rPr>
        <w:t>全会重大决策部署和习近平法治思想纳入党工委理论中心组核心学习内容，创新“沉浸式+研讨式”学习模式，组织专题研学与专题辅导，提升干部运用法治思维破解难题的能力。深化“一把手负总责、分管领导具体抓、各部门协同推进”</w:t>
      </w:r>
      <w:r>
        <w:rPr>
          <w:rFonts w:hint="eastAsia" w:ascii="仿宋_GB2312" w:hAnsi="仿宋_GB2312" w:eastAsia="仿宋_GB2312" w:cs="仿宋_GB2312"/>
          <w:i w:val="0"/>
          <w:iCs w:val="0"/>
          <w:caps w:val="0"/>
          <w:color w:val="auto"/>
          <w:spacing w:val="0"/>
          <w:sz w:val="32"/>
          <w:szCs w:val="32"/>
          <w:shd w:val="clear" w:fill="auto"/>
          <w:lang w:eastAsia="zh-CN"/>
        </w:rPr>
        <w:t>的法治建设</w:t>
      </w:r>
      <w:r>
        <w:rPr>
          <w:rFonts w:hint="eastAsia" w:ascii="仿宋_GB2312" w:hAnsi="仿宋_GB2312" w:eastAsia="仿宋_GB2312" w:cs="仿宋_GB2312"/>
          <w:i w:val="0"/>
          <w:iCs w:val="0"/>
          <w:caps w:val="0"/>
          <w:color w:val="auto"/>
          <w:spacing w:val="0"/>
          <w:sz w:val="32"/>
          <w:szCs w:val="32"/>
          <w:shd w:val="clear" w:fill="auto"/>
        </w:rPr>
        <w:t>责任体系，明确职责、协同联动，形成一级抓一级、层层抓落实的工作合力。</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（二）</w:t>
      </w:r>
      <w:r>
        <w:rPr>
          <w:rStyle w:val="14"/>
          <w:rFonts w:hint="eastAsia" w:ascii="楷体_GB2312" w:hAnsi="楷体_GB2312" w:eastAsia="楷体_GB2312" w:cs="楷体_GB2312"/>
          <w:b/>
          <w:bCs/>
          <w:i w:val="0"/>
          <w:iCs w:val="0"/>
          <w:caps w:val="0"/>
          <w:color w:val="auto"/>
          <w:spacing w:val="0"/>
          <w:sz w:val="32"/>
          <w:szCs w:val="32"/>
          <w:shd w:val="clear"/>
        </w:rPr>
        <w:t>筑牢依法决策防线，健全风险防控闭环机制</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坚持民主集中制，严格执行重大行政决策法定程序。2025年，和义街道共召开主任办公会45次，工委会48次,严格执行“三重一大”制度和纪检监察、法制部门列席会议制度，充分征求各方意见，保障决策的科学性、民主性和风险可控性</w:t>
      </w:r>
      <w:r>
        <w:rPr>
          <w:rFonts w:hint="eastAsia" w:ascii="仿宋_GB2312" w:hAnsi="仿宋_GB2312" w:eastAsia="仿宋_GB2312" w:cs="仿宋_GB2312"/>
          <w:i w:val="0"/>
          <w:iCs w:val="0"/>
          <w:caps w:val="0"/>
          <w:color w:val="auto"/>
          <w:spacing w:val="0"/>
          <w:sz w:val="32"/>
          <w:szCs w:val="32"/>
          <w:shd w:val="clear" w:fill="auto"/>
        </w:rPr>
        <w:t>。</w:t>
      </w:r>
      <w:r>
        <w:rPr>
          <w:rFonts w:hint="eastAsia" w:ascii="仿宋_GB2312" w:hAnsi="仿宋_GB2312" w:eastAsia="仿宋_GB2312" w:cs="仿宋_GB2312"/>
          <w:b w:val="0"/>
          <w:color w:val="auto"/>
          <w:kern w:val="2"/>
          <w:sz w:val="32"/>
          <w:szCs w:val="32"/>
          <w:lang w:val="en-US" w:eastAsia="zh-CN" w:bidi="ar-SA"/>
        </w:rPr>
        <w:t>创新落实“法制员+法律顾问+专家智库”三重审核论证机制。针对征地拆迁、停车管理等疑难复杂、涉及面广的决策事项，组建由南苑法庭法官、首经贸法学教授和专业律师等组成的专家智库进行论证。全年前置性法制审核修改各类合同509份，采纳法制论证建议230余条</w:t>
      </w:r>
      <w:r>
        <w:rPr>
          <w:rFonts w:hint="eastAsia" w:ascii="仿宋_GB2312" w:hAnsi="仿宋_GB2312" w:eastAsia="仿宋_GB2312" w:cs="仿宋_GB2312"/>
          <w:i w:val="0"/>
          <w:iCs w:val="0"/>
          <w:caps w:val="0"/>
          <w:color w:val="auto"/>
          <w:spacing w:val="0"/>
          <w:sz w:val="32"/>
          <w:szCs w:val="32"/>
          <w:shd w:val="clear" w:fill="auto"/>
          <w:lang w:eastAsia="zh-CN"/>
        </w:rPr>
        <w:t>。</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i w:val="0"/>
          <w:iCs w:val="0"/>
          <w:caps w:val="0"/>
          <w:color w:val="auto"/>
          <w:spacing w:val="0"/>
          <w:sz w:val="32"/>
          <w:szCs w:val="32"/>
          <w:shd w:val="clear"/>
        </w:rPr>
      </w:pPr>
      <w:r>
        <w:rPr>
          <w:rFonts w:hint="eastAsia" w:ascii="楷体_GB2312" w:hAnsi="楷体_GB2312" w:eastAsia="楷体_GB2312" w:cs="楷体_GB2312"/>
          <w:b/>
          <w:bCs/>
          <w:i w:val="0"/>
          <w:iCs w:val="0"/>
          <w:caps w:val="0"/>
          <w:color w:val="auto"/>
          <w:spacing w:val="0"/>
          <w:sz w:val="32"/>
          <w:szCs w:val="32"/>
          <w:shd w:val="clear"/>
          <w:lang w:eastAsia="zh-CN"/>
        </w:rPr>
        <w:t>（三）</w:t>
      </w:r>
      <w:r>
        <w:rPr>
          <w:rStyle w:val="15"/>
          <w:rFonts w:hint="eastAsia" w:ascii="楷体_GB2312" w:hAnsi="楷体_GB2312" w:eastAsia="楷体_GB2312" w:cs="楷体_GB2312"/>
          <w:b/>
          <w:bCs/>
          <w:i w:val="0"/>
          <w:iCs w:val="0"/>
          <w:caps w:val="0"/>
          <w:color w:val="auto"/>
          <w:spacing w:val="0"/>
          <w:sz w:val="32"/>
          <w:szCs w:val="32"/>
          <w:shd w:val="clear" w:fill="FFFFFF"/>
        </w:rPr>
        <w:t>规范政务服务，</w:t>
      </w:r>
      <w:r>
        <w:rPr>
          <w:rFonts w:hint="eastAsia" w:ascii="楷体_GB2312" w:hAnsi="楷体_GB2312" w:eastAsia="楷体_GB2312" w:cs="楷体_GB2312"/>
          <w:b/>
          <w:bCs/>
          <w:i w:val="0"/>
          <w:iCs w:val="0"/>
          <w:caps w:val="0"/>
          <w:color w:val="auto"/>
          <w:spacing w:val="0"/>
          <w:sz w:val="32"/>
          <w:szCs w:val="32"/>
          <w:shd w:val="clear"/>
          <w:lang w:eastAsia="zh-CN"/>
        </w:rPr>
        <w:t>提升</w:t>
      </w:r>
      <w:r>
        <w:rPr>
          <w:rStyle w:val="15"/>
          <w:rFonts w:hint="eastAsia" w:ascii="楷体_GB2312" w:hAnsi="楷体_GB2312" w:eastAsia="楷体_GB2312" w:cs="楷体_GB2312"/>
          <w:b/>
          <w:bCs/>
          <w:i w:val="0"/>
          <w:iCs w:val="0"/>
          <w:caps w:val="0"/>
          <w:color w:val="auto"/>
          <w:spacing w:val="0"/>
          <w:sz w:val="32"/>
          <w:szCs w:val="32"/>
          <w:shd w:val="clear" w:fill="FFFFFF"/>
        </w:rPr>
        <w:t>信息公开</w:t>
      </w:r>
      <w:r>
        <w:rPr>
          <w:rFonts w:hint="eastAsia" w:ascii="楷体_GB2312" w:hAnsi="楷体_GB2312" w:eastAsia="楷体_GB2312" w:cs="楷体_GB2312"/>
          <w:b/>
          <w:bCs/>
          <w:i w:val="0"/>
          <w:iCs w:val="0"/>
          <w:caps w:val="0"/>
          <w:color w:val="auto"/>
          <w:spacing w:val="0"/>
          <w:sz w:val="32"/>
          <w:szCs w:val="32"/>
          <w:shd w:val="clear"/>
          <w:lang w:eastAsia="zh-CN"/>
        </w:rPr>
        <w:t>透明度与效能</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kern w:val="2"/>
          <w:sz w:val="32"/>
          <w:szCs w:val="32"/>
          <w:highlight w:val="none"/>
          <w:lang w:val="en-US" w:eastAsia="zh-CN" w:bidi="ar-SA"/>
        </w:rPr>
        <w:t>严格按照《丰台区街道（乡镇）政务服务中心规范化、标准化建设的指导意见》要求</w:t>
      </w:r>
      <w:r>
        <w:rPr>
          <w:rFonts w:hint="eastAsia" w:ascii="仿宋_GB2312" w:hAnsi="仿宋_GB2312" w:eastAsia="仿宋_GB2312" w:cs="仿宋_GB2312"/>
          <w:i w:val="0"/>
          <w:iCs w:val="0"/>
          <w:caps w:val="0"/>
          <w:color w:val="auto"/>
          <w:spacing w:val="0"/>
          <w:sz w:val="32"/>
          <w:szCs w:val="32"/>
          <w:shd w:val="clear" w:fill="auto"/>
        </w:rPr>
        <w:t>，推进政务服务</w:t>
      </w:r>
      <w:r>
        <w:rPr>
          <w:rFonts w:hint="eastAsia" w:ascii="仿宋_GB2312" w:hAnsi="仿宋_GB2312" w:eastAsia="仿宋_GB2312" w:cs="仿宋_GB2312"/>
          <w:i w:val="0"/>
          <w:iCs w:val="0"/>
          <w:caps w:val="0"/>
          <w:color w:val="auto"/>
          <w:spacing w:val="0"/>
          <w:sz w:val="32"/>
          <w:szCs w:val="32"/>
          <w:shd w:val="clear"/>
          <w:lang w:eastAsia="zh-CN"/>
        </w:rPr>
        <w:t>规范</w:t>
      </w:r>
      <w:r>
        <w:rPr>
          <w:rFonts w:hint="eastAsia" w:ascii="仿宋_GB2312" w:hAnsi="仿宋_GB2312" w:eastAsia="仿宋_GB2312" w:cs="仿宋_GB2312"/>
          <w:i w:val="0"/>
          <w:iCs w:val="0"/>
          <w:caps w:val="0"/>
          <w:color w:val="auto"/>
          <w:spacing w:val="0"/>
          <w:sz w:val="32"/>
          <w:szCs w:val="32"/>
          <w:shd w:val="clear" w:fill="auto"/>
        </w:rPr>
        <w:t>化。聚焦行政执法、民生保障等重点领域，依法依规梳理公开事项，规范公开流程与载体，全面落实决策、执行、管理、服务、结果“五公开”。保障群众知情权与监督权，依法妥善答复政府信息公开申请，全年受理并答复申请22件，政务公开效能持续提升。</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（四）创新“治理+”模式，赋能基层法治提质增效</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i w:val="0"/>
          <w:iCs w:val="0"/>
          <w:caps w:val="0"/>
          <w:color w:val="auto"/>
          <w:spacing w:val="0"/>
          <w:sz w:val="32"/>
          <w:szCs w:val="32"/>
          <w:shd w:val="clear" w:fill="auto"/>
        </w:rPr>
      </w:pPr>
      <w:r>
        <w:rPr>
          <w:rFonts w:hint="eastAsia" w:ascii="仿宋_GB2312" w:hAnsi="仿宋_GB2312" w:eastAsia="仿宋_GB2312" w:cs="仿宋_GB2312"/>
          <w:color w:val="auto"/>
          <w:sz w:val="32"/>
          <w:szCs w:val="32"/>
          <w:lang w:val="en-US" w:eastAsia="zh-CN"/>
        </w:rPr>
        <w:t>以“长辛先锋·善治和义”党建品牌为引领，依托街道综治中心阵地，</w:t>
      </w:r>
      <w:r>
        <w:rPr>
          <w:rFonts w:hint="eastAsia" w:ascii="仿宋_GB2312" w:hAnsi="仿宋_GB2312" w:eastAsia="仿宋_GB2312" w:cs="仿宋_GB2312"/>
          <w:i w:val="0"/>
          <w:iCs w:val="0"/>
          <w:caps w:val="0"/>
          <w:color w:val="auto"/>
          <w:spacing w:val="0"/>
          <w:sz w:val="32"/>
          <w:szCs w:val="32"/>
          <w:shd w:val="clear" w:fill="auto"/>
        </w:rPr>
        <w:t>首创并深化“治理+”体系，有效整合多元法治资源</w:t>
      </w:r>
      <w:r>
        <w:rPr>
          <w:rFonts w:hint="eastAsia" w:ascii="仿宋_GB2312" w:hAnsi="仿宋_GB2312" w:eastAsia="仿宋_GB2312" w:cs="仿宋_GB2312"/>
          <w:i w:val="0"/>
          <w:iCs w:val="0"/>
          <w:caps w:val="0"/>
          <w:color w:val="auto"/>
          <w:spacing w:val="0"/>
          <w:sz w:val="32"/>
          <w:szCs w:val="32"/>
          <w:shd w:val="clear"/>
          <w:lang w:eastAsia="zh-CN"/>
        </w:rPr>
        <w:t>，通过“</w:t>
      </w:r>
      <w:r>
        <w:rPr>
          <w:rFonts w:hint="eastAsia" w:ascii="仿宋_GB2312" w:hAnsi="仿宋_GB2312" w:eastAsia="仿宋_GB2312" w:cs="仿宋_GB2312"/>
          <w:i w:val="0"/>
          <w:iCs w:val="0"/>
          <w:caps w:val="0"/>
          <w:color w:val="auto"/>
          <w:spacing w:val="0"/>
          <w:sz w:val="32"/>
          <w:szCs w:val="32"/>
          <w:shd w:val="clear"/>
        </w:rPr>
        <w:t>治理</w:t>
      </w:r>
      <w:r>
        <w:rPr>
          <w:rFonts w:hint="eastAsia" w:ascii="仿宋_GB2312" w:hAnsi="仿宋_GB2312" w:eastAsia="仿宋_GB2312" w:cs="仿宋_GB2312"/>
          <w:i w:val="0"/>
          <w:iCs w:val="0"/>
          <w:caps w:val="0"/>
          <w:color w:val="auto"/>
          <w:spacing w:val="0"/>
          <w:sz w:val="32"/>
          <w:szCs w:val="32"/>
          <w:shd w:val="clear"/>
          <w:lang w:val="en-US" w:eastAsia="zh-CN"/>
        </w:rPr>
        <w:t>+力量、网格、服务、机制”，</w:t>
      </w:r>
      <w:r>
        <w:rPr>
          <w:rFonts w:hint="eastAsia" w:ascii="仿宋_GB2312" w:hAnsi="仿宋_GB2312" w:eastAsia="仿宋_GB2312" w:cs="仿宋_GB2312"/>
          <w:color w:val="auto"/>
          <w:sz w:val="32"/>
          <w:szCs w:val="32"/>
          <w:lang w:val="en-US" w:eastAsia="zh-CN"/>
        </w:rPr>
        <w:t>全面赋能</w:t>
      </w:r>
      <w:r>
        <w:rPr>
          <w:rFonts w:hint="eastAsia" w:ascii="仿宋_GB2312" w:hAnsi="仿宋_GB2312" w:eastAsia="仿宋_GB2312" w:cs="仿宋_GB2312"/>
          <w:color w:val="auto"/>
          <w:sz w:val="32"/>
          <w:szCs w:val="32"/>
          <w:lang w:eastAsia="zh-CN"/>
        </w:rPr>
        <w:t>“法治和义”工作</w:t>
      </w:r>
      <w:r>
        <w:rPr>
          <w:rFonts w:hint="eastAsia" w:ascii="仿宋_GB2312" w:hAnsi="仿宋_GB2312" w:eastAsia="仿宋_GB2312" w:cs="仿宋_GB2312"/>
          <w:i w:val="0"/>
          <w:iCs w:val="0"/>
          <w:caps w:val="0"/>
          <w:color w:val="auto"/>
          <w:spacing w:val="0"/>
          <w:sz w:val="32"/>
          <w:szCs w:val="32"/>
          <w:shd w:val="clear" w:fill="auto"/>
        </w:rPr>
        <w:t>。推动政法力量下沉，联动公、检、法、司及高校成立共享专家团队，设立“检助丰治检察联络站”“苗智瑄反诈工作室”等特色平台。构建“街道-社区-网格-楼栋”四级矛调网络，成立</w:t>
      </w:r>
      <w:r>
        <w:rPr>
          <w:rFonts w:hint="eastAsia" w:ascii="仿宋_GB2312" w:hAnsi="仿宋_GB2312" w:eastAsia="仿宋_GB2312" w:cs="仿宋_GB2312"/>
          <w:i w:val="0"/>
          <w:iCs w:val="0"/>
          <w:caps w:val="0"/>
          <w:color w:val="auto"/>
          <w:spacing w:val="0"/>
          <w:sz w:val="32"/>
          <w:szCs w:val="32"/>
          <w:shd w:val="clear" w:fill="auto"/>
          <w:lang w:eastAsia="zh-CN"/>
        </w:rPr>
        <w:t>“</w:t>
      </w:r>
      <w:r>
        <w:rPr>
          <w:rFonts w:hint="eastAsia" w:ascii="仿宋_GB2312" w:hAnsi="仿宋_GB2312" w:eastAsia="仿宋_GB2312" w:cs="仿宋_GB2312"/>
          <w:i w:val="0"/>
          <w:iCs w:val="0"/>
          <w:caps w:val="0"/>
          <w:color w:val="auto"/>
          <w:spacing w:val="0"/>
          <w:sz w:val="32"/>
          <w:szCs w:val="32"/>
          <w:shd w:val="clear" w:fill="auto"/>
        </w:rPr>
        <w:t>区调解协会</w:t>
      </w:r>
      <w:r>
        <w:rPr>
          <w:rFonts w:hint="eastAsia" w:ascii="仿宋_GB2312" w:hAnsi="仿宋_GB2312" w:eastAsia="仿宋_GB2312" w:cs="仿宋_GB2312"/>
          <w:i w:val="0"/>
          <w:iCs w:val="0"/>
          <w:caps w:val="0"/>
          <w:color w:val="auto"/>
          <w:spacing w:val="0"/>
          <w:sz w:val="32"/>
          <w:szCs w:val="32"/>
          <w:shd w:val="clear" w:fill="auto"/>
          <w:lang w:eastAsia="zh-CN"/>
        </w:rPr>
        <w:t>和义</w:t>
      </w:r>
      <w:r>
        <w:rPr>
          <w:rFonts w:hint="eastAsia" w:ascii="仿宋_GB2312" w:hAnsi="仿宋_GB2312" w:eastAsia="仿宋_GB2312" w:cs="仿宋_GB2312"/>
          <w:i w:val="0"/>
          <w:iCs w:val="0"/>
          <w:caps w:val="0"/>
          <w:color w:val="auto"/>
          <w:spacing w:val="0"/>
          <w:sz w:val="32"/>
          <w:szCs w:val="32"/>
          <w:shd w:val="clear" w:fill="auto"/>
        </w:rPr>
        <w:t>工作站</w:t>
      </w:r>
      <w:r>
        <w:rPr>
          <w:rFonts w:hint="eastAsia" w:ascii="仿宋_GB2312" w:hAnsi="仿宋_GB2312" w:eastAsia="仿宋_GB2312" w:cs="仿宋_GB2312"/>
          <w:i w:val="0"/>
          <w:iCs w:val="0"/>
          <w:caps w:val="0"/>
          <w:color w:val="auto"/>
          <w:spacing w:val="0"/>
          <w:sz w:val="32"/>
          <w:szCs w:val="32"/>
          <w:shd w:val="clear" w:fill="auto"/>
          <w:lang w:eastAsia="zh-CN"/>
        </w:rPr>
        <w:t>”</w:t>
      </w:r>
      <w:r>
        <w:rPr>
          <w:rFonts w:hint="eastAsia" w:ascii="仿宋_GB2312" w:hAnsi="仿宋_GB2312" w:eastAsia="仿宋_GB2312" w:cs="仿宋_GB2312"/>
          <w:i w:val="0"/>
          <w:iCs w:val="0"/>
          <w:caps w:val="0"/>
          <w:color w:val="auto"/>
          <w:spacing w:val="0"/>
          <w:sz w:val="32"/>
          <w:szCs w:val="32"/>
          <w:shd w:val="clear" w:fill="auto"/>
        </w:rPr>
        <w:t>，吸纳“五老”力量，深化“警调</w:t>
      </w:r>
      <w:r>
        <w:rPr>
          <w:rFonts w:hint="eastAsia" w:ascii="仿宋_GB2312" w:hAnsi="仿宋_GB2312" w:eastAsia="仿宋_GB2312" w:cs="仿宋_GB2312"/>
          <w:i w:val="0"/>
          <w:iCs w:val="0"/>
          <w:caps w:val="0"/>
          <w:color w:val="auto"/>
          <w:spacing w:val="0"/>
          <w:sz w:val="32"/>
          <w:szCs w:val="32"/>
          <w:shd w:val="clear" w:fill="auto"/>
          <w:lang w:eastAsia="zh-CN"/>
        </w:rPr>
        <w:t>联动</w:t>
      </w:r>
      <w:r>
        <w:rPr>
          <w:rFonts w:hint="eastAsia" w:ascii="仿宋_GB2312" w:hAnsi="仿宋_GB2312" w:eastAsia="仿宋_GB2312" w:cs="仿宋_GB2312"/>
          <w:i w:val="0"/>
          <w:iCs w:val="0"/>
          <w:caps w:val="0"/>
          <w:color w:val="auto"/>
          <w:spacing w:val="0"/>
          <w:sz w:val="32"/>
          <w:szCs w:val="32"/>
          <w:shd w:val="clear" w:fill="auto"/>
        </w:rPr>
        <w:t>”“诉调对接</w:t>
      </w:r>
      <w:r>
        <w:rPr>
          <w:rFonts w:hint="eastAsia" w:ascii="仿宋_GB2312" w:hAnsi="仿宋_GB2312" w:eastAsia="仿宋_GB2312" w:cs="仿宋_GB2312"/>
          <w:i w:val="0"/>
          <w:iCs w:val="0"/>
          <w:caps w:val="0"/>
          <w:color w:val="auto"/>
          <w:spacing w:val="0"/>
          <w:sz w:val="32"/>
          <w:szCs w:val="32"/>
          <w:shd w:val="clear" w:fill="auto"/>
          <w:lang w:eastAsia="zh-CN"/>
        </w:rPr>
        <w:t>”</w:t>
      </w:r>
      <w:r>
        <w:rPr>
          <w:rFonts w:hint="eastAsia" w:ascii="仿宋_GB2312" w:hAnsi="仿宋_GB2312" w:eastAsia="仿宋_GB2312" w:cs="仿宋_GB2312"/>
          <w:i w:val="0"/>
          <w:iCs w:val="0"/>
          <w:caps w:val="0"/>
          <w:color w:val="auto"/>
          <w:spacing w:val="0"/>
          <w:sz w:val="32"/>
          <w:szCs w:val="32"/>
          <w:shd w:val="clear" w:fill="auto"/>
        </w:rPr>
        <w:t>。全年成功化解矛盾纠纷325件，实现“小事不出网格、大事不出社区</w:t>
      </w:r>
      <w:r>
        <w:rPr>
          <w:rFonts w:hint="eastAsia" w:ascii="仿宋_GB2312" w:hAnsi="仿宋_GB2312" w:eastAsia="仿宋_GB2312" w:cs="仿宋_GB2312"/>
          <w:b w:val="0"/>
          <w:color w:val="auto"/>
          <w:kern w:val="2"/>
          <w:sz w:val="32"/>
          <w:szCs w:val="32"/>
          <w:lang w:val="en-US" w:eastAsia="zh-CN" w:bidi="ar-SA"/>
        </w:rPr>
        <w:t>、矛盾不上交</w:t>
      </w:r>
      <w:r>
        <w:rPr>
          <w:rFonts w:hint="eastAsia" w:ascii="仿宋_GB2312" w:hAnsi="仿宋_GB2312" w:eastAsia="仿宋_GB2312" w:cs="仿宋_GB2312"/>
          <w:i w:val="0"/>
          <w:iCs w:val="0"/>
          <w:caps w:val="0"/>
          <w:color w:val="auto"/>
          <w:spacing w:val="0"/>
          <w:sz w:val="32"/>
          <w:szCs w:val="32"/>
          <w:shd w:val="clear" w:fill="auto"/>
        </w:rPr>
        <w:t>”，新时代“枫桥经验</w:t>
      </w:r>
      <w:r>
        <w:rPr>
          <w:rFonts w:hint="eastAsia" w:ascii="仿宋_GB2312" w:hAnsi="仿宋_GB2312" w:eastAsia="仿宋_GB2312" w:cs="仿宋_GB2312"/>
          <w:i w:val="0"/>
          <w:iCs w:val="0"/>
          <w:caps w:val="0"/>
          <w:color w:val="auto"/>
          <w:spacing w:val="0"/>
          <w:sz w:val="32"/>
          <w:szCs w:val="32"/>
          <w:shd w:val="clear"/>
          <w:lang w:eastAsia="zh-CN"/>
        </w:rPr>
        <w:t>”</w:t>
      </w:r>
      <w:r>
        <w:rPr>
          <w:rFonts w:hint="eastAsia" w:ascii="仿宋_GB2312" w:hAnsi="仿宋_GB2312" w:eastAsia="仿宋_GB2312" w:cs="仿宋_GB2312"/>
          <w:i w:val="0"/>
          <w:iCs w:val="0"/>
          <w:caps w:val="0"/>
          <w:color w:val="auto"/>
          <w:spacing w:val="0"/>
          <w:sz w:val="32"/>
          <w:szCs w:val="32"/>
          <w:shd w:val="clear" w:fill="auto"/>
          <w:lang w:eastAsia="zh-CN"/>
        </w:rPr>
        <w:t>在和义</w:t>
      </w:r>
      <w:r>
        <w:rPr>
          <w:rFonts w:hint="eastAsia" w:ascii="仿宋_GB2312" w:hAnsi="仿宋_GB2312" w:eastAsia="仿宋_GB2312" w:cs="仿宋_GB2312"/>
          <w:i w:val="0"/>
          <w:iCs w:val="0"/>
          <w:caps w:val="0"/>
          <w:color w:val="auto"/>
          <w:spacing w:val="0"/>
          <w:sz w:val="32"/>
          <w:szCs w:val="32"/>
          <w:shd w:val="clear" w:fill="auto"/>
        </w:rPr>
        <w:t>落地生根。</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Style w:val="14"/>
          <w:rFonts w:hint="eastAsia" w:ascii="楷体_GB2312" w:hAnsi="楷体_GB2312" w:eastAsia="楷体_GB2312" w:cs="楷体_GB2312"/>
          <w:b/>
          <w:bCs/>
          <w:i w:val="0"/>
          <w:iCs w:val="0"/>
          <w:caps w:val="0"/>
          <w:color w:val="auto"/>
          <w:spacing w:val="0"/>
          <w:sz w:val="32"/>
          <w:szCs w:val="32"/>
          <w:shd w:val="clear"/>
        </w:rPr>
      </w:pPr>
      <w:r>
        <w:rPr>
          <w:rStyle w:val="14"/>
          <w:rFonts w:hint="eastAsia" w:ascii="楷体_GB2312" w:hAnsi="楷体_GB2312" w:eastAsia="楷体_GB2312" w:cs="楷体_GB2312"/>
          <w:b/>
          <w:bCs/>
          <w:i w:val="0"/>
          <w:iCs w:val="0"/>
          <w:caps w:val="0"/>
          <w:color w:val="auto"/>
          <w:spacing w:val="0"/>
          <w:sz w:val="32"/>
          <w:szCs w:val="32"/>
          <w:shd w:val="clear"/>
          <w:lang w:eastAsia="zh-CN"/>
        </w:rPr>
        <w:t>（五）</w:t>
      </w:r>
      <w:r>
        <w:rPr>
          <w:rStyle w:val="14"/>
          <w:rFonts w:hint="eastAsia" w:ascii="楷体_GB2312" w:hAnsi="楷体_GB2312" w:eastAsia="楷体_GB2312" w:cs="楷体_GB2312"/>
          <w:b/>
          <w:bCs/>
          <w:i w:val="0"/>
          <w:iCs w:val="0"/>
          <w:caps w:val="0"/>
          <w:color w:val="auto"/>
          <w:spacing w:val="0"/>
          <w:sz w:val="32"/>
          <w:szCs w:val="32"/>
          <w:shd w:val="clear"/>
        </w:rPr>
        <w:t>科技赋能主动治理，提升执法监管精准效能</w:t>
      </w:r>
    </w:p>
    <w:p>
      <w:pPr>
        <w:keepNext w:val="0"/>
        <w:keepLines w:val="0"/>
        <w:pageBreakBefore w:val="0"/>
        <w:widowControl w:val="0"/>
        <w:numPr>
          <w:ilvl w:val="0"/>
          <w:numId w:val="0"/>
        </w:numPr>
        <w:kinsoku/>
        <w:wordWrap w:val="0"/>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shd w:val="clear" w:fill="FFFFFF"/>
        </w:rPr>
        <w:t>深度融合“热线+网格”与智能民情图系统，依托街道综合指挥中心，对街头游商、占道经营等即办问题实现智能预警与快速处置。创新实施重复扰企预警机制，规范涉企检查行为。行政执法全面推行“非现场检查”模式，全年开展非现场检查950次，占比高达94.3%，在减少对企业干扰的同时，确保了监管全覆盖与高效能。全年累计拆除违法建设193处，</w:t>
      </w:r>
      <w:r>
        <w:rPr>
          <w:rFonts w:hint="eastAsia" w:ascii="仿宋_GB2312" w:hAnsi="仿宋_GB2312" w:eastAsia="仿宋_GB2312" w:cs="仿宋_GB2312"/>
          <w:i w:val="0"/>
          <w:iCs w:val="0"/>
          <w:caps w:val="0"/>
          <w:color w:val="auto"/>
          <w:spacing w:val="0"/>
          <w:sz w:val="32"/>
          <w:szCs w:val="32"/>
          <w:shd w:val="clear" w:fill="auto"/>
          <w:lang w:eastAsia="zh-CN"/>
        </w:rPr>
        <w:t>涉及违法面积</w:t>
      </w:r>
      <w:r>
        <w:rPr>
          <w:rFonts w:hint="eastAsia" w:ascii="仿宋_GB2312" w:hAnsi="仿宋_GB2312" w:eastAsia="仿宋_GB2312" w:cs="仿宋_GB2312"/>
          <w:i w:val="0"/>
          <w:iCs w:val="0"/>
          <w:caps w:val="0"/>
          <w:color w:val="auto"/>
          <w:spacing w:val="0"/>
          <w:sz w:val="32"/>
          <w:szCs w:val="32"/>
          <w:shd w:val="clear" w:fill="auto"/>
          <w:lang w:val="en-US" w:eastAsia="zh-CN"/>
        </w:rPr>
        <w:t>7.5完平方米，</w:t>
      </w:r>
      <w:r>
        <w:rPr>
          <w:rFonts w:hint="eastAsia" w:ascii="仿宋_GB2312" w:hAnsi="仿宋_GB2312" w:eastAsia="仿宋_GB2312" w:cs="仿宋_GB2312"/>
          <w:i w:val="0"/>
          <w:iCs w:val="0"/>
          <w:caps w:val="0"/>
          <w:color w:val="auto"/>
          <w:spacing w:val="0"/>
          <w:sz w:val="32"/>
          <w:szCs w:val="32"/>
          <w:shd w:val="clear" w:fill="FFFFFF"/>
        </w:rPr>
        <w:t>腾退土地近3万平方米，辖区秩序持续优化。</w:t>
      </w:r>
      <w:r>
        <w:rPr>
          <w:rFonts w:hint="eastAsia" w:ascii="仿宋_GB2312" w:hAnsi="仿宋_GB2312" w:eastAsia="仿宋_GB2312" w:cs="仿宋_GB2312"/>
          <w:i w:val="0"/>
          <w:iCs w:val="0"/>
          <w:caps w:val="0"/>
          <w:color w:val="auto"/>
          <w:spacing w:val="0"/>
          <w:sz w:val="32"/>
          <w:szCs w:val="32"/>
          <w:shd w:val="clear"/>
          <w:lang w:eastAsia="zh-CN"/>
        </w:rPr>
        <w:t>同时，</w:t>
      </w:r>
      <w:r>
        <w:rPr>
          <w:rFonts w:hint="eastAsia" w:ascii="仿宋_GB2312" w:hAnsi="仿宋_GB2312" w:eastAsia="仿宋_GB2312" w:cs="仿宋_GB2312"/>
          <w:i w:val="0"/>
          <w:iCs w:val="0"/>
          <w:caps w:val="0"/>
          <w:color w:val="auto"/>
          <w:spacing w:val="0"/>
          <w:sz w:val="32"/>
          <w:szCs w:val="32"/>
          <w:highlight w:val="none"/>
          <w:shd w:val="clear"/>
        </w:rPr>
        <w:t>健全执法监督体系，严格落实行政执法三项制度。全年开展现场检查57次，问题发现率22.8%；行政处罚立案242起。全年未发生违规干预执法情形，执法公信力与规范化水平持续提升。</w:t>
      </w:r>
    </w:p>
    <w:p>
      <w:pPr>
        <w:keepNext w:val="0"/>
        <w:keepLines w:val="0"/>
        <w:pageBreakBefore w:val="0"/>
        <w:widowControl w:val="0"/>
        <w:numPr>
          <w:ilvl w:val="-1"/>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（六）</w:t>
      </w:r>
      <w:r>
        <w:rPr>
          <w:rStyle w:val="15"/>
          <w:rFonts w:hint="eastAsia" w:ascii="楷体_GB2312" w:hAnsi="楷体_GB2312" w:eastAsia="楷体_GB2312" w:cs="楷体_GB2312"/>
          <w:b/>
          <w:bCs/>
          <w:i w:val="0"/>
          <w:iCs w:val="0"/>
          <w:caps w:val="0"/>
          <w:color w:val="auto"/>
          <w:spacing w:val="0"/>
          <w:sz w:val="32"/>
          <w:szCs w:val="32"/>
          <w:shd w:val="clear" w:fill="FFFFFF"/>
        </w:rPr>
        <w:t>法律服务普惠精准，法治社会基础不断夯实</w:t>
      </w:r>
    </w:p>
    <w:p>
      <w:pPr>
        <w:keepNext w:val="0"/>
        <w:keepLines w:val="0"/>
        <w:pageBreakBefore w:val="0"/>
        <w:widowControl w:val="0"/>
        <w:kinsoku/>
        <w:wordWrap w:val="0"/>
        <w:overflowPunct/>
        <w:topLinePunct w:val="0"/>
        <w:autoSpaceDE/>
        <w:autoSpaceDN/>
        <w:bidi w:val="0"/>
        <w:adjustRightInd/>
        <w:snapToGrid w:val="0"/>
        <w:spacing w:beforeAutospacing="0" w:afterAutospacing="0" w:line="560" w:lineRule="exact"/>
        <w:ind w:firstLine="640" w:firstLineChars="200"/>
        <w:jc w:val="left"/>
        <w:textAlignment w:val="auto"/>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i w:val="0"/>
          <w:iCs w:val="0"/>
          <w:caps w:val="0"/>
          <w:color w:val="auto"/>
          <w:spacing w:val="0"/>
          <w:sz w:val="32"/>
          <w:szCs w:val="32"/>
          <w:shd w:val="clear" w:fill="auto"/>
        </w:rPr>
        <w:t>实现社区法律顾问全覆盖，携手区律协共建“和润法泽服务站”，联合律所设立“老常工作室”，通过“法律门诊”“移动驿站”等形式提供便捷</w:t>
      </w:r>
      <w:r>
        <w:rPr>
          <w:rFonts w:hint="eastAsia" w:ascii="仿宋_GB2312" w:hAnsi="仿宋_GB2312" w:eastAsia="仿宋_GB2312" w:cs="仿宋_GB2312"/>
          <w:i w:val="0"/>
          <w:iCs w:val="0"/>
          <w:caps w:val="0"/>
          <w:color w:val="auto"/>
          <w:spacing w:val="0"/>
          <w:sz w:val="32"/>
          <w:szCs w:val="32"/>
          <w:shd w:val="clear" w:fill="auto"/>
          <w:lang w:eastAsia="zh-CN"/>
        </w:rPr>
        <w:t>公共法律</w:t>
      </w:r>
      <w:r>
        <w:rPr>
          <w:rFonts w:hint="eastAsia" w:ascii="仿宋_GB2312" w:hAnsi="仿宋_GB2312" w:eastAsia="仿宋_GB2312" w:cs="仿宋_GB2312"/>
          <w:i w:val="0"/>
          <w:iCs w:val="0"/>
          <w:caps w:val="0"/>
          <w:color w:val="auto"/>
          <w:spacing w:val="0"/>
          <w:sz w:val="32"/>
          <w:szCs w:val="32"/>
          <w:shd w:val="clear" w:fill="auto"/>
        </w:rPr>
        <w:t>服务。全年</w:t>
      </w:r>
      <w:r>
        <w:rPr>
          <w:rFonts w:hint="eastAsia" w:ascii="仿宋_GB2312" w:hAnsi="仿宋_GB2312" w:eastAsia="仿宋_GB2312" w:cs="仿宋_GB2312"/>
          <w:i w:val="0"/>
          <w:iCs w:val="0"/>
          <w:caps w:val="0"/>
          <w:color w:val="auto"/>
          <w:spacing w:val="0"/>
          <w:sz w:val="32"/>
          <w:szCs w:val="32"/>
          <w:shd w:val="clear" w:fill="auto"/>
          <w:lang w:eastAsia="zh-CN"/>
        </w:rPr>
        <w:t>共</w:t>
      </w:r>
      <w:r>
        <w:rPr>
          <w:rFonts w:hint="eastAsia" w:ascii="仿宋_GB2312" w:hAnsi="仿宋_GB2312" w:eastAsia="仿宋_GB2312" w:cs="仿宋_GB2312"/>
          <w:i w:val="0"/>
          <w:iCs w:val="0"/>
          <w:caps w:val="0"/>
          <w:color w:val="auto"/>
          <w:spacing w:val="0"/>
          <w:sz w:val="32"/>
          <w:szCs w:val="32"/>
          <w:shd w:val="clear" w:fill="auto"/>
        </w:rPr>
        <w:t>接待法律咨询680余人次。严格落实“谁执法谁普法</w:t>
      </w:r>
      <w:r>
        <w:rPr>
          <w:rFonts w:hint="eastAsia" w:ascii="仿宋_GB2312" w:hAnsi="仿宋_GB2312" w:eastAsia="仿宋_GB2312" w:cs="仿宋_GB2312"/>
          <w:b w:val="0"/>
          <w:color w:val="auto"/>
          <w:kern w:val="2"/>
          <w:sz w:val="32"/>
          <w:szCs w:val="32"/>
          <w:lang w:val="en-US" w:eastAsia="zh-CN" w:bidi="ar-SA"/>
        </w:rPr>
        <w:t>、谁服务谁普法</w:t>
      </w:r>
      <w:r>
        <w:rPr>
          <w:rFonts w:hint="eastAsia" w:ascii="仿宋_GB2312" w:hAnsi="仿宋_GB2312" w:eastAsia="仿宋_GB2312" w:cs="仿宋_GB2312"/>
          <w:i w:val="0"/>
          <w:iCs w:val="0"/>
          <w:caps w:val="0"/>
          <w:color w:val="auto"/>
          <w:spacing w:val="0"/>
          <w:sz w:val="32"/>
          <w:szCs w:val="32"/>
          <w:shd w:val="clear" w:fill="auto"/>
        </w:rPr>
        <w:t>”责任制，构建“执法+司法+服务”三位一体普法体系，与区法院共建“普法驿站”，</w:t>
      </w:r>
      <w:r>
        <w:rPr>
          <w:rFonts w:hint="eastAsia" w:ascii="仿宋_GB2312" w:hAnsi="仿宋_GB2312" w:eastAsia="仿宋_GB2312" w:cs="仿宋_GB2312"/>
          <w:i w:val="0"/>
          <w:iCs w:val="0"/>
          <w:caps w:val="0"/>
          <w:color w:val="auto"/>
          <w:spacing w:val="0"/>
          <w:kern w:val="2"/>
          <w:sz w:val="32"/>
          <w:szCs w:val="32"/>
          <w:shd w:val="clear"/>
          <w:lang w:eastAsia="zh-CN"/>
        </w:rPr>
        <w:t>与</w:t>
      </w:r>
      <w:r>
        <w:rPr>
          <w:rFonts w:hint="eastAsia" w:ascii="仿宋_GB2312" w:hAnsi="仿宋_GB2312" w:eastAsia="仿宋_GB2312" w:cs="仿宋_GB2312"/>
          <w:b w:val="0"/>
          <w:color w:val="auto"/>
          <w:kern w:val="2"/>
          <w:sz w:val="32"/>
          <w:szCs w:val="32"/>
          <w:lang w:val="en-US" w:eastAsia="zh-CN" w:bidi="ar-SA"/>
        </w:rPr>
        <w:t>区司法局联合打造“银龄互助普法港湾”。全年，共</w:t>
      </w:r>
      <w:r>
        <w:rPr>
          <w:rFonts w:hint="eastAsia" w:ascii="仿宋_GB2312" w:hAnsi="仿宋_GB2312" w:eastAsia="仿宋_GB2312" w:cs="仿宋_GB2312"/>
          <w:i w:val="0"/>
          <w:iCs w:val="0"/>
          <w:caps w:val="0"/>
          <w:color w:val="auto"/>
          <w:spacing w:val="0"/>
          <w:sz w:val="32"/>
          <w:szCs w:val="32"/>
          <w:shd w:val="clear" w:fill="FFFFFF"/>
        </w:rPr>
        <w:t>开展专题普法活动40余场，发放宣传品万余份，辖区尊法学法守法用法氛围日益浓厚</w:t>
      </w:r>
      <w:r>
        <w:rPr>
          <w:rFonts w:hint="eastAsia" w:ascii="仿宋_GB2312" w:hAnsi="仿宋_GB2312" w:eastAsia="仿宋_GB2312" w:cs="仿宋_GB2312"/>
          <w:i w:val="0"/>
          <w:iCs w:val="0"/>
          <w:caps w:val="0"/>
          <w:color w:val="auto"/>
          <w:spacing w:val="0"/>
          <w:kern w:val="2"/>
          <w:sz w:val="32"/>
          <w:szCs w:val="32"/>
          <w:shd w:val="clear"/>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kern w:val="2"/>
          <w:sz w:val="32"/>
          <w:szCs w:val="32"/>
          <w:lang w:val="en-US" w:eastAsia="zh-CN" w:bidi="ar-SA"/>
        </w:rPr>
        <w:t>（七）自觉接受监督，</w:t>
      </w:r>
      <w:r>
        <w:rPr>
          <w:rStyle w:val="15"/>
          <w:rFonts w:hint="eastAsia" w:ascii="楷体_GB2312" w:hAnsi="楷体_GB2312" w:eastAsia="楷体_GB2312" w:cs="楷体_GB2312"/>
          <w:b/>
          <w:bCs/>
          <w:i w:val="0"/>
          <w:iCs w:val="0"/>
          <w:caps w:val="0"/>
          <w:color w:val="auto"/>
          <w:spacing w:val="0"/>
          <w:sz w:val="32"/>
          <w:szCs w:val="32"/>
          <w:shd w:val="clear" w:fill="FFFFFF"/>
        </w:rPr>
        <w:t>依法行政责任全面压实</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color w:val="auto"/>
          <w:sz w:val="32"/>
          <w:szCs w:val="32"/>
          <w:lang w:eastAsia="zh-CN"/>
        </w:rPr>
        <w:t>街道党政主要负责人切实履行行政机关负责人出庭应诉职责，</w:t>
      </w:r>
      <w:r>
        <w:rPr>
          <w:rFonts w:hint="eastAsia" w:ascii="仿宋_GB2312" w:hAnsi="仿宋_GB2312" w:eastAsia="仿宋_GB2312" w:cs="仿宋_GB2312"/>
          <w:b w:val="0"/>
          <w:color w:val="auto"/>
          <w:kern w:val="2"/>
          <w:sz w:val="32"/>
          <w:szCs w:val="32"/>
          <w:lang w:val="en-US" w:eastAsia="zh-CN" w:bidi="ar-SA"/>
        </w:rPr>
        <w:t>出庭应诉率达到100%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color w:val="auto"/>
          <w:kern w:val="2"/>
          <w:sz w:val="32"/>
          <w:szCs w:val="32"/>
          <w:lang w:val="en-US" w:eastAsia="zh-CN" w:bidi="ar-SA"/>
        </w:rPr>
        <w:t>建立行政复议、诉讼“案件受理-联合研判-精准应对-复盘总结”全流程工作机制，</w:t>
      </w:r>
      <w:r>
        <w:rPr>
          <w:rFonts w:hint="eastAsia" w:ascii="仿宋_GB2312" w:hAnsi="仿宋_GB2312" w:eastAsia="仿宋_GB2312" w:cs="仿宋_GB2312"/>
          <w:color w:val="auto"/>
          <w:sz w:val="32"/>
          <w:szCs w:val="32"/>
          <w:lang w:eastAsia="zh-CN"/>
        </w:rPr>
        <w:t>对全年</w:t>
      </w:r>
      <w:r>
        <w:rPr>
          <w:rFonts w:hint="eastAsia" w:ascii="仿宋_GB2312" w:hAnsi="仿宋_GB2312" w:eastAsia="仿宋_GB2312" w:cs="仿宋_GB2312"/>
          <w:b w:val="0"/>
          <w:color w:val="auto"/>
          <w:kern w:val="2"/>
          <w:sz w:val="32"/>
          <w:szCs w:val="32"/>
          <w:lang w:val="en-US" w:eastAsia="zh-CN" w:bidi="ar-SA"/>
        </w:rPr>
        <w:t>8件行政复议案件、4件行政诉讼案件</w:t>
      </w:r>
      <w:r>
        <w:rPr>
          <w:rFonts w:hint="eastAsia" w:ascii="仿宋_GB2312" w:hAnsi="仿宋_GB2312" w:eastAsia="仿宋_GB2312" w:cs="仿宋_GB2312"/>
          <w:i w:val="0"/>
          <w:iCs w:val="0"/>
          <w:caps w:val="0"/>
          <w:color w:val="auto"/>
          <w:spacing w:val="0"/>
          <w:sz w:val="32"/>
          <w:szCs w:val="32"/>
          <w:shd w:val="clear" w:fill="auto"/>
        </w:rPr>
        <w:t>进行规范处置与深度剖析，强化了干部依法行政的自觉性与能力，牢牢守住了法治底线</w:t>
      </w:r>
      <w:r>
        <w:rPr>
          <w:rFonts w:hint="eastAsia" w:ascii="仿宋_GB2312" w:hAnsi="仿宋_GB2312" w:eastAsia="仿宋_GB2312" w:cs="仿宋_GB2312"/>
          <w:b w:val="0"/>
          <w:color w:val="auto"/>
          <w:kern w:val="2"/>
          <w:sz w:val="32"/>
          <w:szCs w:val="32"/>
          <w:lang w:val="en-US" w:eastAsia="zh-CN" w:bidi="ar-SA"/>
        </w:rPr>
        <w:t>。</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kern w:val="2"/>
          <w:sz w:val="32"/>
          <w:szCs w:val="32"/>
          <w:lang w:val="en-US" w:eastAsia="zh-CN" w:bidi="ar-SA"/>
        </w:rPr>
        <w:t>推进法治政府建设存在的不足和原因</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在总结成绩的同时，我们也清醒地认识到，对标更高水平的法治政府建设要求，街道法治建设仍存在一些需要加强和改进的方面：</w:t>
      </w:r>
    </w:p>
    <w:p>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一是</w:t>
      </w:r>
      <w:r>
        <w:rPr>
          <w:rStyle w:val="15"/>
          <w:rFonts w:hint="eastAsia" w:ascii="楷体_GB2312" w:hAnsi="楷体_GB2312" w:eastAsia="楷体_GB2312" w:cs="楷体_GB2312"/>
          <w:b/>
          <w:bCs/>
          <w:i w:val="0"/>
          <w:iCs w:val="0"/>
          <w:caps w:val="0"/>
          <w:color w:val="auto"/>
          <w:spacing w:val="0"/>
          <w:sz w:val="32"/>
          <w:szCs w:val="32"/>
          <w:shd w:val="clear" w:fill="FFFFFF"/>
        </w:rPr>
        <w:t>法治专业能力与基层繁重任务之间的匹配度有待提升。</w:t>
      </w:r>
      <w:r>
        <w:rPr>
          <w:rFonts w:hint="eastAsia" w:ascii="仿宋_GB2312" w:hAnsi="仿宋_GB2312" w:eastAsia="仿宋_GB2312" w:cs="仿宋_GB2312"/>
          <w:i w:val="0"/>
          <w:iCs w:val="0"/>
          <w:caps w:val="0"/>
          <w:color w:val="auto"/>
          <w:spacing w:val="0"/>
          <w:sz w:val="32"/>
          <w:szCs w:val="32"/>
          <w:shd w:val="clear" w:fill="auto"/>
        </w:rPr>
        <w:t>基层工作面广、线长、点多，部分干部常陷于事务性工作，难以进行系统化、深层次的法治理论学习与研究，运用法治思维和方式破解复杂治理难题的专业储备与实践能力尚有不足。这主要源于基层人力与精力资源有限，常态化、精准化的法治培训与实战锻炼机制有待进一步深化。</w:t>
      </w:r>
    </w:p>
    <w:p>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i w:val="0"/>
          <w:iCs w:val="0"/>
          <w:caps w:val="0"/>
          <w:color w:val="auto"/>
          <w:spacing w:val="0"/>
          <w:sz w:val="32"/>
          <w:szCs w:val="32"/>
          <w:shd w:val="clear"/>
        </w:rPr>
      </w:pPr>
      <w:r>
        <w:rPr>
          <w:rFonts w:hint="eastAsia" w:ascii="楷体_GB2312" w:hAnsi="楷体_GB2312" w:eastAsia="楷体_GB2312" w:cs="楷体_GB2312"/>
          <w:b/>
          <w:bCs/>
          <w:color w:val="auto"/>
          <w:kern w:val="2"/>
          <w:sz w:val="32"/>
          <w:szCs w:val="32"/>
          <w:lang w:val="en-US" w:eastAsia="zh-CN" w:bidi="ar-SA"/>
        </w:rPr>
        <w:t>二是</w:t>
      </w:r>
      <w:r>
        <w:rPr>
          <w:rStyle w:val="15"/>
          <w:rFonts w:hint="eastAsia" w:ascii="楷体_GB2312" w:hAnsi="楷体_GB2312" w:eastAsia="楷体_GB2312" w:cs="楷体_GB2312"/>
          <w:b/>
          <w:bCs/>
          <w:i w:val="0"/>
          <w:iCs w:val="0"/>
          <w:caps w:val="0"/>
          <w:color w:val="auto"/>
          <w:spacing w:val="0"/>
          <w:sz w:val="32"/>
          <w:szCs w:val="32"/>
          <w:shd w:val="clear" w:fill="FFFFFF"/>
        </w:rPr>
        <w:t>普法宣传的精准化与吸引力有待增强。</w:t>
      </w:r>
      <w:r>
        <w:rPr>
          <w:rFonts w:hint="eastAsia" w:ascii="仿宋_GB2312" w:hAnsi="仿宋_GB2312" w:eastAsia="仿宋_GB2312" w:cs="仿宋_GB2312"/>
          <w:i w:val="0"/>
          <w:iCs w:val="0"/>
          <w:caps w:val="0"/>
          <w:color w:val="auto"/>
          <w:spacing w:val="0"/>
          <w:sz w:val="32"/>
          <w:szCs w:val="32"/>
          <w:shd w:val="clear" w:fill="auto"/>
        </w:rPr>
        <w:t>当前的普法活动在形式创新和分众施策上仍有空间，存在一定程度上“单向灌输多、双向互动少”的情况，针对不同群体（如青少年、企业、老年人）的个性化、趣味性普法产品供给不够丰富，影响了法治宣传的渗透力和实效性。这反映出我们在适应新媒体传播规律、整合社会资源进行创意普法方面还需加大探索力度。</w:t>
      </w:r>
    </w:p>
    <w:p>
      <w:pPr>
        <w:pStyle w:val="2"/>
        <w:ind w:firstLine="640"/>
        <w:rPr>
          <w:rFonts w:hint="eastAsia" w:cs="仿宋_GB2312"/>
          <w:color w:val="auto"/>
          <w:szCs w:val="32"/>
          <w:lang w:val="en-US" w:eastAsia="zh-CN"/>
        </w:rPr>
      </w:pPr>
      <w:r>
        <w:rPr>
          <w:rStyle w:val="14"/>
          <w:rFonts w:hint="eastAsia" w:ascii="楷体_GB2312" w:hAnsi="楷体_GB2312" w:eastAsia="楷体_GB2312" w:cs="楷体_GB2312"/>
          <w:b/>
          <w:bCs/>
          <w:i w:val="0"/>
          <w:iCs w:val="0"/>
          <w:caps w:val="0"/>
          <w:color w:val="auto"/>
          <w:spacing w:val="0"/>
          <w:sz w:val="32"/>
          <w:szCs w:val="32"/>
          <w:shd w:val="clear"/>
        </w:rPr>
        <w:t>三是法治成果向治理效能转化的精准性有待深化。</w:t>
      </w:r>
      <w:r>
        <w:rPr>
          <w:rFonts w:hint="eastAsia" w:ascii="仿宋_GB2312" w:hAnsi="仿宋_GB2312" w:eastAsia="仿宋_GB2312" w:cs="仿宋_GB2312"/>
          <w:i w:val="0"/>
          <w:iCs w:val="0"/>
          <w:caps w:val="0"/>
          <w:color w:val="auto"/>
          <w:spacing w:val="0"/>
          <w:sz w:val="32"/>
          <w:szCs w:val="32"/>
          <w:shd w:val="clear" w:fill="auto"/>
        </w:rPr>
        <w:t>将法治建设的一般性要求转化为解决辖区特定痛点、难点问题的具体方案，有时还不够精准、迅速。例如，在应对新兴业态管理、</w:t>
      </w:r>
      <w:r>
        <w:rPr>
          <w:rFonts w:hint="eastAsia" w:cs="仿宋_GB2312"/>
          <w:i w:val="0"/>
          <w:iCs w:val="0"/>
          <w:caps w:val="0"/>
          <w:color w:val="auto"/>
          <w:spacing w:val="0"/>
          <w:sz w:val="32"/>
          <w:szCs w:val="32"/>
          <w:shd w:val="clear"/>
          <w:lang w:eastAsia="zh-CN"/>
        </w:rPr>
        <w:t>“征拆腾”</w:t>
      </w:r>
      <w:r>
        <w:rPr>
          <w:rFonts w:hint="eastAsia" w:ascii="仿宋_GB2312" w:hAnsi="仿宋_GB2312" w:eastAsia="仿宋_GB2312" w:cs="仿宋_GB2312"/>
          <w:i w:val="0"/>
          <w:iCs w:val="0"/>
          <w:caps w:val="0"/>
          <w:color w:val="auto"/>
          <w:spacing w:val="0"/>
          <w:sz w:val="32"/>
          <w:szCs w:val="32"/>
          <w:shd w:val="clear" w:fill="auto"/>
        </w:rPr>
        <w:t>复杂历史遗留问题等方面，前瞻性的法律风险研判和制度供给能力需要进一步提升，以更好地实现“法治引领治理”。</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三、2025年度党政主要负责人履行推进法治建设第一责任人职责情况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一是</w:t>
      </w:r>
      <w:r>
        <w:rPr>
          <w:rStyle w:val="14"/>
          <w:rFonts w:hint="eastAsia" w:ascii="楷体_GB2312" w:hAnsi="楷体_GB2312" w:eastAsia="楷体_GB2312" w:cs="楷体_GB2312"/>
          <w:b/>
          <w:bCs/>
          <w:i w:val="0"/>
          <w:iCs w:val="0"/>
          <w:caps w:val="0"/>
          <w:color w:val="auto"/>
          <w:spacing w:val="0"/>
          <w:sz w:val="32"/>
          <w:szCs w:val="32"/>
          <w:shd w:val="clear"/>
        </w:rPr>
        <w:t>坚持高位统筹，系统谋划法治建设</w:t>
      </w:r>
      <w:r>
        <w:rPr>
          <w:rFonts w:hint="eastAsia" w:ascii="楷体_GB2312" w:hAnsi="楷体_GB2312" w:eastAsia="楷体_GB2312" w:cs="楷体_GB2312"/>
          <w:b/>
          <w:bCs/>
          <w:i w:val="0"/>
          <w:iCs w:val="0"/>
          <w:caps w:val="0"/>
          <w:color w:val="auto"/>
          <w:spacing w:val="0"/>
          <w:sz w:val="32"/>
          <w:szCs w:val="32"/>
          <w:shd w:val="clear"/>
          <w:lang w:eastAsia="zh-CN"/>
        </w:rPr>
        <w:t>工作</w:t>
      </w:r>
      <w:r>
        <w:rPr>
          <w:rStyle w:val="14"/>
          <w:rFonts w:hint="eastAsia" w:ascii="楷体_GB2312" w:hAnsi="楷体_GB2312" w:eastAsia="楷体_GB2312" w:cs="楷体_GB2312"/>
          <w:b/>
          <w:bCs/>
          <w:i w:val="0"/>
          <w:iCs w:val="0"/>
          <w:caps w:val="0"/>
          <w:color w:val="auto"/>
          <w:spacing w:val="0"/>
          <w:sz w:val="32"/>
          <w:szCs w:val="32"/>
          <w:shd w:val="clear"/>
        </w:rPr>
        <w:t>。</w:t>
      </w:r>
      <w:r>
        <w:rPr>
          <w:rStyle w:val="14"/>
          <w:rFonts w:hint="eastAsia" w:ascii="仿宋_GB2312" w:hAnsi="仿宋_GB2312" w:eastAsia="仿宋_GB2312" w:cs="仿宋_GB2312"/>
          <w:b w:val="0"/>
          <w:bCs w:val="0"/>
          <w:i w:val="0"/>
          <w:iCs w:val="0"/>
          <w:caps w:val="0"/>
          <w:color w:val="auto"/>
          <w:spacing w:val="0"/>
          <w:sz w:val="32"/>
          <w:szCs w:val="32"/>
          <w:shd w:val="clear"/>
          <w:lang w:eastAsia="zh-CN"/>
        </w:rPr>
        <w:t>街道党政</w:t>
      </w:r>
      <w:r>
        <w:rPr>
          <w:rFonts w:hint="eastAsia" w:ascii="仿宋_GB2312" w:hAnsi="仿宋_GB2312" w:eastAsia="仿宋_GB2312" w:cs="仿宋_GB2312"/>
          <w:i w:val="0"/>
          <w:iCs w:val="0"/>
          <w:caps w:val="0"/>
          <w:color w:val="auto"/>
          <w:spacing w:val="0"/>
          <w:sz w:val="32"/>
          <w:szCs w:val="32"/>
          <w:shd w:val="clear" w:fill="auto"/>
        </w:rPr>
        <w:t>主要负责人将法治建设摆在街道工作</w:t>
      </w:r>
      <w:r>
        <w:rPr>
          <w:rFonts w:hint="eastAsia" w:ascii="仿宋_GB2312" w:hAnsi="仿宋_GB2312" w:eastAsia="仿宋_GB2312" w:cs="仿宋_GB2312"/>
          <w:i w:val="0"/>
          <w:iCs w:val="0"/>
          <w:caps w:val="0"/>
          <w:color w:val="auto"/>
          <w:spacing w:val="0"/>
          <w:sz w:val="32"/>
          <w:szCs w:val="32"/>
          <w:shd w:val="clear" w:fill="auto"/>
          <w:lang w:eastAsia="zh-CN"/>
        </w:rPr>
        <w:t>核心</w:t>
      </w:r>
      <w:r>
        <w:rPr>
          <w:rFonts w:hint="eastAsia" w:ascii="仿宋_GB2312" w:hAnsi="仿宋_GB2312" w:eastAsia="仿宋_GB2312" w:cs="仿宋_GB2312"/>
          <w:i w:val="0"/>
          <w:iCs w:val="0"/>
          <w:caps w:val="0"/>
          <w:color w:val="auto"/>
          <w:spacing w:val="0"/>
          <w:sz w:val="32"/>
          <w:szCs w:val="32"/>
          <w:shd w:val="clear" w:fill="auto"/>
        </w:rPr>
        <w:t>位置，</w:t>
      </w:r>
      <w:r>
        <w:rPr>
          <w:rFonts w:hint="eastAsia" w:ascii="仿宋_GB2312" w:hAnsi="仿宋_GB2312" w:eastAsia="仿宋_GB2312" w:cs="仿宋_GB2312"/>
          <w:color w:val="auto"/>
          <w:kern w:val="2"/>
          <w:sz w:val="32"/>
          <w:szCs w:val="32"/>
          <w:lang w:eastAsia="zh-CN"/>
        </w:rPr>
        <w:t>带头履行法治建设领导责任，对依法行政领域的重要工作亲自谋划部署，对推进过程中的重大问题主动过问、深入研究，对关键环节亲自协调，对重点任务紧盯不放、亲自督办落实。</w:t>
      </w:r>
      <w:r>
        <w:rPr>
          <w:rFonts w:hint="eastAsia" w:ascii="仿宋_GB2312" w:hAnsi="仿宋_GB2312" w:eastAsia="仿宋_GB2312" w:cs="仿宋_GB2312"/>
          <w:i w:val="0"/>
          <w:iCs w:val="0"/>
          <w:caps w:val="0"/>
          <w:color w:val="auto"/>
          <w:spacing w:val="0"/>
          <w:sz w:val="32"/>
          <w:szCs w:val="32"/>
          <w:shd w:val="clear" w:fill="auto"/>
        </w:rPr>
        <w:t>牵头健全“一把手负总责、分层抓落实”的责任体系，将法治建设任务清单化、项目化，</w:t>
      </w:r>
      <w:r>
        <w:rPr>
          <w:rFonts w:hint="eastAsia" w:ascii="仿宋_GB2312" w:hAnsi="仿宋_GB2312" w:eastAsia="仿宋_GB2312" w:cs="仿宋_GB2312"/>
          <w:color w:val="auto"/>
          <w:kern w:val="2"/>
          <w:sz w:val="32"/>
          <w:szCs w:val="32"/>
          <w:lang w:eastAsia="zh-CN"/>
        </w:rPr>
        <w:t>确保责任层层压实、压力逐级传导，形成上下联动、左右协同的法治建设工作格局。</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Style w:val="15"/>
          <w:rFonts w:hint="eastAsia" w:ascii="楷体_GB2312" w:hAnsi="楷体_GB2312" w:eastAsia="楷体_GB2312" w:cs="楷体_GB2312"/>
          <w:b/>
          <w:bCs/>
          <w:i w:val="0"/>
          <w:iCs w:val="0"/>
          <w:caps w:val="0"/>
          <w:color w:val="auto"/>
          <w:spacing w:val="0"/>
          <w:sz w:val="32"/>
          <w:szCs w:val="32"/>
          <w:shd w:val="clear" w:fill="FFFFFF"/>
          <w:lang w:eastAsia="zh-CN"/>
        </w:rPr>
        <w:t>二是</w:t>
      </w:r>
      <w:r>
        <w:rPr>
          <w:rStyle w:val="15"/>
          <w:rFonts w:hint="eastAsia" w:ascii="楷体_GB2312" w:hAnsi="楷体_GB2312" w:eastAsia="楷体_GB2312" w:cs="楷体_GB2312"/>
          <w:b/>
          <w:bCs/>
          <w:i w:val="0"/>
          <w:iCs w:val="0"/>
          <w:caps w:val="0"/>
          <w:color w:val="auto"/>
          <w:spacing w:val="0"/>
          <w:sz w:val="32"/>
          <w:szCs w:val="32"/>
          <w:shd w:val="clear" w:fill="FFFFFF"/>
        </w:rPr>
        <w:t>强化示范引领，带头提升依法履职能力。</w:t>
      </w:r>
      <w:r>
        <w:rPr>
          <w:rFonts w:hint="eastAsia" w:ascii="仿宋_GB2312" w:hAnsi="仿宋_GB2312" w:eastAsia="仿宋_GB2312" w:cs="仿宋_GB2312"/>
          <w:i w:val="0"/>
          <w:iCs w:val="0"/>
          <w:caps w:val="0"/>
          <w:color w:val="auto"/>
          <w:spacing w:val="0"/>
          <w:sz w:val="32"/>
          <w:szCs w:val="32"/>
          <w:shd w:val="clear" w:fill="auto"/>
        </w:rPr>
        <w:t>带头深入学习习近平法治思想及重要法律法规，主持专题学法研析，带动领导班子及科级以上干部法治素养持续提升。严格执行重大行政决策法定程序，</w:t>
      </w:r>
      <w:r>
        <w:rPr>
          <w:rFonts w:hint="eastAsia" w:ascii="仿宋_GB2312" w:hAnsi="仿宋_GB2312" w:eastAsia="仿宋_GB2312" w:cs="仿宋_GB2312"/>
          <w:i w:val="0"/>
          <w:iCs w:val="0"/>
          <w:caps w:val="0"/>
          <w:color w:val="auto"/>
          <w:spacing w:val="0"/>
          <w:sz w:val="32"/>
          <w:szCs w:val="32"/>
          <w:shd w:val="clear" w:fill="auto"/>
          <w:lang w:eastAsia="zh-CN"/>
        </w:rPr>
        <w:t>强化合法</w:t>
      </w:r>
      <w:r>
        <w:rPr>
          <w:rFonts w:hint="eastAsia" w:ascii="仿宋_GB2312" w:hAnsi="仿宋_GB2312" w:eastAsia="仿宋_GB2312" w:cs="仿宋_GB2312"/>
          <w:i w:val="0"/>
          <w:iCs w:val="0"/>
          <w:caps w:val="0"/>
          <w:color w:val="auto"/>
          <w:spacing w:val="0"/>
          <w:sz w:val="32"/>
          <w:szCs w:val="32"/>
          <w:shd w:val="clear" w:fill="auto"/>
        </w:rPr>
        <w:t>合</w:t>
      </w:r>
      <w:r>
        <w:rPr>
          <w:rFonts w:hint="eastAsia" w:ascii="仿宋_GB2312" w:hAnsi="仿宋_GB2312" w:eastAsia="仿宋_GB2312" w:cs="仿宋_GB2312"/>
          <w:i w:val="0"/>
          <w:iCs w:val="0"/>
          <w:caps w:val="0"/>
          <w:color w:val="auto"/>
          <w:spacing w:val="0"/>
          <w:sz w:val="32"/>
          <w:szCs w:val="32"/>
          <w:shd w:val="clear" w:fill="auto"/>
          <w:lang w:eastAsia="zh-CN"/>
        </w:rPr>
        <w:t>规</w:t>
      </w:r>
      <w:r>
        <w:rPr>
          <w:rFonts w:hint="eastAsia" w:ascii="仿宋_GB2312" w:hAnsi="仿宋_GB2312" w:eastAsia="仿宋_GB2312" w:cs="仿宋_GB2312"/>
          <w:i w:val="0"/>
          <w:iCs w:val="0"/>
          <w:caps w:val="0"/>
          <w:color w:val="auto"/>
          <w:spacing w:val="0"/>
          <w:sz w:val="32"/>
          <w:szCs w:val="32"/>
          <w:shd w:val="clear" w:fill="auto"/>
        </w:rPr>
        <w:t>性审查，确保所有重大决策于法有据。紧盯行政执法关键环节，督促落实行政执法“三项制度”，推动街道执法规范化水平位居全区前列。</w:t>
      </w:r>
      <w:r>
        <w:rPr>
          <w:rFonts w:hint="eastAsia" w:ascii="仿宋_GB2312" w:hAnsi="仿宋_GB2312" w:eastAsia="仿宋_GB2312" w:cs="仿宋_GB2312"/>
          <w:i w:val="0"/>
          <w:iCs w:val="0"/>
          <w:caps w:val="0"/>
          <w:color w:val="auto"/>
          <w:spacing w:val="0"/>
          <w:sz w:val="32"/>
          <w:szCs w:val="32"/>
          <w:shd w:val="clear"/>
          <w:lang w:eastAsia="zh-CN"/>
        </w:rPr>
        <w:t>全年未发生</w:t>
      </w:r>
      <w:r>
        <w:rPr>
          <w:rFonts w:hint="eastAsia" w:ascii="仿宋_GB2312" w:hAnsi="仿宋_GB2312" w:eastAsia="仿宋_GB2312" w:cs="仿宋_GB2312"/>
          <w:b w:val="0"/>
          <w:color w:val="auto"/>
          <w:kern w:val="2"/>
          <w:sz w:val="32"/>
          <w:szCs w:val="32"/>
          <w:lang w:val="en-US" w:eastAsia="zh-CN" w:bidi="ar-SA"/>
        </w:rPr>
        <w:t>领导干部违规干预司法活动、插手具体案件处理事件。</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Style w:val="15"/>
          <w:rFonts w:hint="eastAsia" w:ascii="楷体_GB2312" w:hAnsi="楷体_GB2312" w:eastAsia="楷体_GB2312" w:cs="楷体_GB2312"/>
          <w:b/>
          <w:bCs/>
          <w:i w:val="0"/>
          <w:iCs w:val="0"/>
          <w:caps w:val="0"/>
          <w:color w:val="auto"/>
          <w:spacing w:val="0"/>
          <w:sz w:val="32"/>
          <w:szCs w:val="32"/>
          <w:shd w:val="clear" w:fill="FFFFFF"/>
        </w:rPr>
        <w:t>三是聚焦难点攻坚，推动治理效能法治化提升。</w:t>
      </w:r>
      <w:r>
        <w:rPr>
          <w:rStyle w:val="14"/>
          <w:rFonts w:hint="eastAsia" w:ascii="仿宋_GB2312" w:hAnsi="仿宋_GB2312" w:eastAsia="仿宋_GB2312" w:cs="仿宋_GB2312"/>
          <w:b w:val="0"/>
          <w:bCs w:val="0"/>
          <w:i w:val="0"/>
          <w:iCs w:val="0"/>
          <w:caps w:val="0"/>
          <w:color w:val="auto"/>
          <w:spacing w:val="0"/>
          <w:sz w:val="32"/>
          <w:szCs w:val="32"/>
          <w:shd w:val="clear"/>
          <w:lang w:eastAsia="zh-CN"/>
        </w:rPr>
        <w:t>创建</w:t>
      </w:r>
      <w:r>
        <w:rPr>
          <w:rFonts w:hint="eastAsia" w:ascii="仿宋_GB2312" w:hAnsi="仿宋_GB2312" w:eastAsia="仿宋_GB2312" w:cs="仿宋_GB2312"/>
          <w:color w:val="auto"/>
          <w:sz w:val="32"/>
          <w:szCs w:val="32"/>
          <w:lang w:val="en-US" w:eastAsia="zh-CN"/>
        </w:rPr>
        <w:t>“长辛先锋·善治和义”党建品牌，锚定综治中心平台建设核心，</w:t>
      </w:r>
      <w:r>
        <w:rPr>
          <w:rFonts w:hint="eastAsia" w:ascii="仿宋_GB2312" w:hAnsi="仿宋_GB2312" w:eastAsia="仿宋_GB2312" w:cs="仿宋_GB2312"/>
          <w:b w:val="0"/>
          <w:bCs w:val="0"/>
          <w:i w:val="0"/>
          <w:iCs w:val="0"/>
          <w:caps w:val="0"/>
          <w:color w:val="auto"/>
          <w:spacing w:val="0"/>
          <w:sz w:val="32"/>
          <w:szCs w:val="32"/>
          <w:shd w:val="clear"/>
          <w:lang w:eastAsia="zh-CN"/>
        </w:rPr>
        <w:t>牵头</w:t>
      </w:r>
      <w:r>
        <w:rPr>
          <w:rFonts w:hint="eastAsia" w:ascii="仿宋_GB2312" w:hAnsi="仿宋_GB2312" w:eastAsia="仿宋_GB2312" w:cs="仿宋_GB2312"/>
          <w:i w:val="0"/>
          <w:iCs w:val="0"/>
          <w:caps w:val="0"/>
          <w:color w:val="auto"/>
          <w:spacing w:val="0"/>
          <w:sz w:val="32"/>
          <w:szCs w:val="32"/>
          <w:shd w:val="clear" w:fill="auto"/>
        </w:rPr>
        <w:t>“治理+”基层法治模式创新</w:t>
      </w:r>
      <w:r>
        <w:rPr>
          <w:rFonts w:hint="eastAsia" w:ascii="仿宋_GB2312" w:hAnsi="仿宋_GB2312" w:eastAsia="仿宋_GB2312" w:cs="仿宋_GB2312"/>
          <w:i w:val="0"/>
          <w:iCs w:val="0"/>
          <w:caps w:val="0"/>
          <w:color w:val="auto"/>
          <w:spacing w:val="0"/>
          <w:sz w:val="32"/>
          <w:szCs w:val="32"/>
          <w:shd w:val="clear" w:fill="auto"/>
          <w:lang w:eastAsia="zh-CN"/>
        </w:rPr>
        <w:t>。带领构建组织架构，</w:t>
      </w:r>
      <w:r>
        <w:rPr>
          <w:rFonts w:hint="eastAsia" w:ascii="仿宋_GB2312" w:hAnsi="仿宋_GB2312" w:eastAsia="仿宋_GB2312" w:cs="仿宋_GB2312"/>
          <w:b w:val="0"/>
          <w:color w:val="auto"/>
          <w:kern w:val="2"/>
          <w:sz w:val="32"/>
          <w:szCs w:val="32"/>
          <w:lang w:val="en-US" w:eastAsia="zh-CN" w:bidi="ar-SA"/>
        </w:rPr>
        <w:t>实现整体联动、专群结合、高效运转的基层治理体系；</w:t>
      </w:r>
      <w:r>
        <w:rPr>
          <w:rFonts w:hint="eastAsia" w:ascii="仿宋_GB2312" w:hAnsi="仿宋_GB2312" w:eastAsia="仿宋_GB2312" w:cs="仿宋_GB2312"/>
          <w:i w:val="0"/>
          <w:iCs w:val="0"/>
          <w:caps w:val="0"/>
          <w:color w:val="auto"/>
          <w:spacing w:val="0"/>
          <w:sz w:val="32"/>
          <w:szCs w:val="32"/>
          <w:shd w:val="clear" w:fill="auto"/>
        </w:rPr>
        <w:t>统筹</w:t>
      </w:r>
      <w:r>
        <w:rPr>
          <w:rFonts w:hint="eastAsia" w:ascii="仿宋_GB2312" w:hAnsi="仿宋_GB2312" w:eastAsia="仿宋_GB2312" w:cs="仿宋_GB2312"/>
          <w:i w:val="0"/>
          <w:iCs w:val="0"/>
          <w:caps w:val="0"/>
          <w:color w:val="auto"/>
          <w:spacing w:val="0"/>
          <w:sz w:val="32"/>
          <w:szCs w:val="32"/>
          <w:shd w:val="clear" w:fill="auto"/>
          <w:lang w:eastAsia="zh-CN"/>
        </w:rPr>
        <w:t>协调</w:t>
      </w:r>
      <w:r>
        <w:rPr>
          <w:rFonts w:hint="eastAsia" w:ascii="仿宋_GB2312" w:hAnsi="仿宋_GB2312" w:eastAsia="仿宋_GB2312" w:cs="仿宋_GB2312"/>
          <w:i w:val="0"/>
          <w:iCs w:val="0"/>
          <w:caps w:val="0"/>
          <w:color w:val="auto"/>
          <w:spacing w:val="0"/>
          <w:sz w:val="32"/>
          <w:szCs w:val="32"/>
          <w:shd w:val="clear" w:fill="auto"/>
        </w:rPr>
        <w:t>政法力量</w:t>
      </w:r>
      <w:r>
        <w:rPr>
          <w:rFonts w:hint="eastAsia" w:ascii="仿宋_GB2312" w:hAnsi="仿宋_GB2312" w:eastAsia="仿宋_GB2312" w:cs="仿宋_GB2312"/>
          <w:i w:val="0"/>
          <w:iCs w:val="0"/>
          <w:caps w:val="0"/>
          <w:color w:val="auto"/>
          <w:spacing w:val="0"/>
          <w:sz w:val="32"/>
          <w:szCs w:val="32"/>
          <w:shd w:val="clear" w:fill="auto"/>
          <w:lang w:eastAsia="zh-CN"/>
        </w:rPr>
        <w:t>和专业力量</w:t>
      </w:r>
      <w:r>
        <w:rPr>
          <w:rFonts w:hint="eastAsia" w:ascii="仿宋_GB2312" w:hAnsi="仿宋_GB2312" w:eastAsia="仿宋_GB2312" w:cs="仿宋_GB2312"/>
          <w:i w:val="0"/>
          <w:iCs w:val="0"/>
          <w:caps w:val="0"/>
          <w:color w:val="auto"/>
          <w:spacing w:val="0"/>
          <w:sz w:val="32"/>
          <w:szCs w:val="32"/>
          <w:shd w:val="clear" w:fill="auto"/>
        </w:rPr>
        <w:t>下沉，为</w:t>
      </w:r>
      <w:r>
        <w:rPr>
          <w:rFonts w:hint="eastAsia" w:ascii="仿宋_GB2312" w:hAnsi="仿宋_GB2312" w:eastAsia="仿宋_GB2312" w:cs="仿宋_GB2312"/>
          <w:i w:val="0"/>
          <w:iCs w:val="0"/>
          <w:caps w:val="0"/>
          <w:color w:val="auto"/>
          <w:spacing w:val="0"/>
          <w:sz w:val="32"/>
          <w:szCs w:val="32"/>
          <w:shd w:val="clear" w:fill="auto"/>
          <w:lang w:eastAsia="zh-CN"/>
        </w:rPr>
        <w:t>街道法治建设</w:t>
      </w:r>
      <w:r>
        <w:rPr>
          <w:rFonts w:hint="eastAsia" w:ascii="仿宋_GB2312" w:hAnsi="仿宋_GB2312" w:eastAsia="仿宋_GB2312" w:cs="仿宋_GB2312"/>
          <w:i w:val="0"/>
          <w:iCs w:val="0"/>
          <w:caps w:val="0"/>
          <w:color w:val="auto"/>
          <w:spacing w:val="0"/>
          <w:sz w:val="32"/>
          <w:szCs w:val="32"/>
          <w:shd w:val="clear" w:fill="auto"/>
        </w:rPr>
        <w:t>提供坚强支撑</w:t>
      </w:r>
      <w:r>
        <w:rPr>
          <w:rFonts w:hint="eastAsia" w:ascii="仿宋_GB2312" w:hAnsi="仿宋_GB2312" w:eastAsia="仿宋_GB2312" w:cs="仿宋_GB2312"/>
          <w:i w:val="0"/>
          <w:iCs w:val="0"/>
          <w:caps w:val="0"/>
          <w:color w:val="auto"/>
          <w:spacing w:val="0"/>
          <w:sz w:val="32"/>
          <w:szCs w:val="32"/>
          <w:shd w:val="clear" w:fill="auto"/>
          <w:lang w:eastAsia="zh-CN"/>
        </w:rPr>
        <w:t>；</w:t>
      </w:r>
      <w:r>
        <w:rPr>
          <w:rFonts w:hint="eastAsia" w:ascii="仿宋_GB2312" w:hAnsi="仿宋_GB2312" w:eastAsia="仿宋_GB2312" w:cs="仿宋_GB2312"/>
          <w:i w:val="0"/>
          <w:iCs w:val="0"/>
          <w:caps w:val="0"/>
          <w:color w:val="auto"/>
          <w:spacing w:val="0"/>
          <w:sz w:val="32"/>
          <w:szCs w:val="32"/>
          <w:shd w:val="clear" w:fill="auto"/>
        </w:rPr>
        <w:t>关注“热线+网格”智能治理与“非现场检查”执法模式运行实效，推动科技赋能与依法行政深度融合。品牌实践结出丰硕成果，《创建“治理+”运行体系、全面赋能“法治和义”建设》</w:t>
      </w:r>
      <w:r>
        <w:rPr>
          <w:rFonts w:hint="eastAsia" w:ascii="仿宋_GB2312" w:hAnsi="仿宋_GB2312" w:eastAsia="仿宋_GB2312" w:cs="仿宋_GB2312"/>
          <w:i w:val="0"/>
          <w:iCs w:val="0"/>
          <w:caps w:val="0"/>
          <w:color w:val="auto"/>
          <w:spacing w:val="0"/>
          <w:sz w:val="32"/>
          <w:szCs w:val="32"/>
          <w:shd w:val="clear" w:fill="auto"/>
          <w:lang w:eastAsia="zh-CN"/>
        </w:rPr>
        <w:t>和</w:t>
      </w:r>
      <w:r>
        <w:rPr>
          <w:rFonts w:hint="eastAsia" w:ascii="仿宋_GB2312" w:hAnsi="仿宋_GB2312" w:eastAsia="仿宋_GB2312" w:cs="仿宋_GB2312"/>
          <w:i w:val="0"/>
          <w:iCs w:val="0"/>
          <w:caps w:val="0"/>
          <w:color w:val="auto"/>
          <w:spacing w:val="0"/>
          <w:sz w:val="32"/>
          <w:szCs w:val="32"/>
          <w:shd w:val="clear" w:fill="auto"/>
        </w:rPr>
        <w:t>《新时代“枫桥经验”在法治政府建设中的创新实践》等两篇</w:t>
      </w:r>
      <w:r>
        <w:rPr>
          <w:rFonts w:hint="eastAsia" w:ascii="仿宋_GB2312" w:hAnsi="仿宋_GB2312" w:eastAsia="仿宋_GB2312" w:cs="仿宋_GB2312"/>
          <w:i w:val="0"/>
          <w:iCs w:val="0"/>
          <w:caps w:val="0"/>
          <w:color w:val="auto"/>
          <w:spacing w:val="0"/>
          <w:sz w:val="32"/>
          <w:szCs w:val="32"/>
          <w:shd w:val="clear" w:fill="auto"/>
          <w:lang w:eastAsia="zh-CN"/>
        </w:rPr>
        <w:t>文章</w:t>
      </w:r>
      <w:r>
        <w:rPr>
          <w:rFonts w:hint="eastAsia" w:ascii="仿宋_GB2312" w:hAnsi="仿宋_GB2312" w:eastAsia="仿宋_GB2312" w:cs="仿宋_GB2312"/>
          <w:i w:val="0"/>
          <w:iCs w:val="0"/>
          <w:caps w:val="0"/>
          <w:color w:val="auto"/>
          <w:spacing w:val="0"/>
          <w:sz w:val="32"/>
          <w:szCs w:val="32"/>
          <w:shd w:val="clear" w:fill="auto"/>
        </w:rPr>
        <w:t>，连续两年获评丰台区法治政府建设十大典型案例，为街道法治政府建设筑牢坚实支撑，彰显党建引领基层善治的鲜明成效。</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四、2026年度推进法治政府建设的主要安排</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rPr>
      </w:pPr>
      <w:r>
        <w:rPr>
          <w:rStyle w:val="15"/>
          <w:rFonts w:hint="eastAsia" w:ascii="楷体_GB2312" w:hAnsi="楷体_GB2312" w:eastAsia="楷体_GB2312" w:cs="楷体_GB2312"/>
          <w:b/>
          <w:bCs/>
          <w:i w:val="0"/>
          <w:iCs w:val="0"/>
          <w:caps w:val="0"/>
          <w:color w:val="auto"/>
          <w:spacing w:val="0"/>
          <w:sz w:val="32"/>
          <w:szCs w:val="32"/>
          <w:shd w:val="clear" w:fill="FFFFFF"/>
          <w:lang w:eastAsia="zh-CN"/>
        </w:rPr>
        <w:t>一是</w:t>
      </w:r>
      <w:r>
        <w:rPr>
          <w:rStyle w:val="15"/>
          <w:rFonts w:hint="eastAsia" w:ascii="楷体_GB2312" w:hAnsi="楷体_GB2312" w:eastAsia="楷体_GB2312" w:cs="楷体_GB2312"/>
          <w:b/>
          <w:bCs/>
          <w:i w:val="0"/>
          <w:iCs w:val="0"/>
          <w:caps w:val="0"/>
          <w:color w:val="auto"/>
          <w:spacing w:val="0"/>
          <w:sz w:val="32"/>
          <w:szCs w:val="32"/>
          <w:shd w:val="clear" w:fill="FFFFFF"/>
        </w:rPr>
        <w:t>聚焦能力提升，锻造专业法治骨干队伍。</w:t>
      </w:r>
      <w:r>
        <w:rPr>
          <w:rFonts w:hint="eastAsia" w:ascii="仿宋_GB2312" w:hAnsi="仿宋_GB2312" w:eastAsia="仿宋_GB2312" w:cs="仿宋_GB2312"/>
          <w:i w:val="0"/>
          <w:iCs w:val="0"/>
          <w:caps w:val="0"/>
          <w:color w:val="auto"/>
          <w:spacing w:val="0"/>
          <w:sz w:val="32"/>
          <w:szCs w:val="32"/>
          <w:shd w:val="clear" w:fill="auto"/>
        </w:rPr>
        <w:t>实施“法治素养培优计划”，优化“法治业务大讲堂”与“案例研讨实战”双轨培训模式，增强培训的精准性与实效性。强化考核激励，将依法行政能力与工作实绩作为干部选拔任用、评优评先的核心依据，激发内生动力，着力培养一批善用法治思维解决实际问题的基层骨干。</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i w:val="0"/>
          <w:iCs w:val="0"/>
          <w:caps w:val="0"/>
          <w:color w:val="auto"/>
          <w:spacing w:val="0"/>
          <w:sz w:val="32"/>
          <w:szCs w:val="32"/>
          <w:shd w:val="clear" w:fill="auto"/>
        </w:rPr>
      </w:pPr>
      <w:r>
        <w:rPr>
          <w:rStyle w:val="15"/>
          <w:rFonts w:hint="eastAsia" w:ascii="楷体_GB2312" w:hAnsi="楷体_GB2312" w:eastAsia="楷体_GB2312" w:cs="楷体_GB2312"/>
          <w:b/>
          <w:bCs/>
          <w:i w:val="0"/>
          <w:iCs w:val="0"/>
          <w:caps w:val="0"/>
          <w:color w:val="auto"/>
          <w:spacing w:val="0"/>
          <w:sz w:val="32"/>
          <w:szCs w:val="32"/>
          <w:shd w:val="clear" w:fill="FFFFFF"/>
          <w:lang w:eastAsia="zh-CN"/>
        </w:rPr>
        <w:t>二是</w:t>
      </w:r>
      <w:r>
        <w:rPr>
          <w:rStyle w:val="15"/>
          <w:rFonts w:hint="eastAsia" w:ascii="楷体_GB2312" w:hAnsi="楷体_GB2312" w:eastAsia="楷体_GB2312" w:cs="楷体_GB2312"/>
          <w:b/>
          <w:bCs/>
          <w:i w:val="0"/>
          <w:iCs w:val="0"/>
          <w:caps w:val="0"/>
          <w:color w:val="auto"/>
          <w:spacing w:val="0"/>
          <w:sz w:val="32"/>
          <w:szCs w:val="32"/>
          <w:shd w:val="clear" w:fill="FFFFFF"/>
        </w:rPr>
        <w:t>聚焦精准供给，升级普法宣传效能体系。</w:t>
      </w:r>
      <w:r>
        <w:rPr>
          <w:rFonts w:hint="eastAsia" w:ascii="仿宋_GB2312" w:hAnsi="仿宋_GB2312" w:eastAsia="仿宋_GB2312" w:cs="仿宋_GB2312"/>
          <w:i w:val="0"/>
          <w:iCs w:val="0"/>
          <w:caps w:val="0"/>
          <w:color w:val="auto"/>
          <w:spacing w:val="0"/>
          <w:sz w:val="32"/>
          <w:szCs w:val="32"/>
          <w:shd w:val="clear" w:fill="auto"/>
        </w:rPr>
        <w:t>深化“订单式”普法机制，针对青少年、老年人、企业及社区等重点对象，定制差异化普法清单与产品。创新普法形式，融合情景模拟、线上互动等元素，打造一批具有和义特色的法治文化品牌活动，推动普法宣传从“广泛覆盖”向“精准滴灌”转变。</w:t>
      </w:r>
    </w:p>
    <w:p>
      <w:pPr>
        <w:numPr>
          <w:ilvl w:val="0"/>
          <w:numId w:val="0"/>
        </w:numPr>
        <w:wordWrap w:val="0"/>
        <w:snapToGrid w:val="0"/>
        <w:spacing w:line="560" w:lineRule="exact"/>
        <w:ind w:firstLine="643" w:firstLineChars="200"/>
        <w:rPr>
          <w:rFonts w:hint="eastAsia" w:ascii="仿宋_GB2312" w:hAnsi="仿宋_GB2312" w:eastAsia="仿宋_GB2312" w:cs="仿宋_GB2312"/>
          <w:color w:val="auto"/>
          <w:sz w:val="32"/>
          <w:szCs w:val="32"/>
        </w:rPr>
      </w:pPr>
      <w:r>
        <w:rPr>
          <w:rStyle w:val="15"/>
          <w:rFonts w:hint="eastAsia" w:ascii="楷体_GB2312" w:hAnsi="楷体_GB2312" w:eastAsia="楷体_GB2312" w:cs="楷体_GB2312"/>
          <w:b/>
          <w:bCs/>
          <w:i w:val="0"/>
          <w:iCs w:val="0"/>
          <w:caps w:val="0"/>
          <w:color w:val="auto"/>
          <w:spacing w:val="0"/>
          <w:sz w:val="32"/>
          <w:szCs w:val="32"/>
          <w:shd w:val="clear" w:fill="FFFFFF"/>
          <w:lang w:eastAsia="zh-CN"/>
        </w:rPr>
        <w:t>三是</w:t>
      </w:r>
      <w:r>
        <w:rPr>
          <w:rStyle w:val="15"/>
          <w:rFonts w:hint="eastAsia" w:ascii="楷体_GB2312" w:hAnsi="楷体_GB2312" w:eastAsia="楷体_GB2312" w:cs="楷体_GB2312"/>
          <w:b/>
          <w:bCs/>
          <w:i w:val="0"/>
          <w:iCs w:val="0"/>
          <w:caps w:val="0"/>
          <w:color w:val="auto"/>
          <w:spacing w:val="0"/>
          <w:sz w:val="32"/>
          <w:szCs w:val="32"/>
          <w:shd w:val="clear" w:fill="FFFFFF"/>
        </w:rPr>
        <w:t>聚焦长效常治，完善考核评估与协同机制。</w:t>
      </w:r>
      <w:r>
        <w:rPr>
          <w:rFonts w:hint="eastAsia" w:ascii="仿宋_GB2312" w:hAnsi="仿宋_GB2312" w:eastAsia="仿宋_GB2312" w:cs="仿宋_GB2312"/>
          <w:i w:val="0"/>
          <w:iCs w:val="0"/>
          <w:caps w:val="0"/>
          <w:color w:val="auto"/>
          <w:spacing w:val="0"/>
          <w:sz w:val="32"/>
          <w:szCs w:val="32"/>
          <w:shd w:val="clear" w:fill="FFFFFF"/>
        </w:rPr>
        <w:t>持续压紧压实法治建设第一责任人职责，优化完善可量化、可考核的法治建设指标评价体系。主动“走出去”与“引进来”，加强与上级部门及</w:t>
      </w:r>
      <w:r>
        <w:rPr>
          <w:rFonts w:hint="eastAsia" w:ascii="仿宋_GB2312" w:hAnsi="仿宋_GB2312" w:eastAsia="仿宋_GB2312" w:cs="仿宋_GB2312"/>
          <w:i w:val="0"/>
          <w:iCs w:val="0"/>
          <w:caps w:val="0"/>
          <w:color w:val="auto"/>
          <w:spacing w:val="0"/>
          <w:sz w:val="32"/>
          <w:szCs w:val="32"/>
          <w:shd w:val="clear" w:fill="FFFFFF"/>
          <w:lang w:eastAsia="zh-CN"/>
        </w:rPr>
        <w:t>兄弟街道</w:t>
      </w:r>
      <w:r>
        <w:rPr>
          <w:rFonts w:hint="eastAsia" w:ascii="仿宋_GB2312" w:hAnsi="仿宋_GB2312" w:eastAsia="仿宋_GB2312" w:cs="仿宋_GB2312"/>
          <w:i w:val="0"/>
          <w:iCs w:val="0"/>
          <w:caps w:val="0"/>
          <w:color w:val="auto"/>
          <w:spacing w:val="0"/>
          <w:sz w:val="32"/>
          <w:szCs w:val="32"/>
          <w:shd w:val="clear" w:fill="FFFFFF"/>
        </w:rPr>
        <w:t>的经验交流，借鉴融合创新做法。深化“治理+”模式内涵，推动法治建设与网格管理、智慧治理、民生服务等更深层次融合，将法治优势持续转化为治理效能，确保法治政府建设成果常态长效。</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五、其他需要报告的情况</w:t>
      </w:r>
    </w:p>
    <w:p>
      <w:pPr>
        <w:pStyle w:val="11"/>
        <w:keepNext w:val="0"/>
        <w:keepLines w:val="0"/>
        <w:widowControl/>
        <w:suppressLineNumbers w:val="0"/>
        <w:shd w:val="clear" w:fill="auto"/>
        <w:spacing w:before="0" w:beforeAutospacing="0" w:after="0" w:afterAutospacing="0" w:line="560" w:lineRule="exact"/>
        <w:ind w:left="0" w:right="0" w:firstLine="640" w:firstLineChars="200"/>
        <w:jc w:val="both"/>
        <w:rPr>
          <w:rFonts w:hint="eastAsia" w:ascii="仿宋_GB2312" w:hAnsi="仿宋_GB2312" w:eastAsia="仿宋_GB2312" w:cs="仿宋_GB2312"/>
          <w:i w:val="0"/>
          <w:iCs w:val="0"/>
          <w:caps w:val="0"/>
          <w:color w:val="auto"/>
          <w:spacing w:val="0"/>
          <w:kern w:val="2"/>
          <w:sz w:val="32"/>
          <w:szCs w:val="32"/>
        </w:rPr>
      </w:pPr>
      <w:r>
        <w:rPr>
          <w:rFonts w:hint="eastAsia" w:ascii="仿宋_GB2312" w:hAnsi="仿宋_GB2312" w:eastAsia="仿宋_GB2312" w:cs="仿宋_GB2312"/>
          <w:i w:val="0"/>
          <w:iCs w:val="0"/>
          <w:caps w:val="0"/>
          <w:color w:val="auto"/>
          <w:spacing w:val="0"/>
          <w:kern w:val="2"/>
          <w:sz w:val="32"/>
          <w:szCs w:val="32"/>
          <w:shd w:val="clear" w:fill="auto"/>
        </w:rPr>
        <w:t>针对2024年度法治政府建设工作中反映出的问题，街道已采取针对性措施进行整改，并取得阶段性成效：</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color w:val="auto"/>
          <w:kern w:val="2"/>
          <w:sz w:val="32"/>
          <w:szCs w:val="32"/>
          <w:lang w:val="en-US" w:eastAsia="zh-CN" w:bidi="ar-SA"/>
        </w:rPr>
      </w:pPr>
      <w:r>
        <w:rPr>
          <w:rStyle w:val="15"/>
          <w:rFonts w:hint="eastAsia" w:ascii="楷体_GB2312" w:hAnsi="楷体_GB2312" w:eastAsia="楷体_GB2312" w:cs="楷体_GB2312"/>
          <w:b/>
          <w:bCs/>
          <w:color w:val="auto"/>
          <w:sz w:val="32"/>
          <w:szCs w:val="32"/>
          <w:shd w:val="clear" w:fill="FFFFFF"/>
          <w:lang w:eastAsia="zh-CN"/>
        </w:rPr>
        <w:t>一是</w:t>
      </w:r>
      <w:r>
        <w:rPr>
          <w:rStyle w:val="15"/>
          <w:rFonts w:hint="eastAsia" w:ascii="楷体_GB2312" w:hAnsi="楷体_GB2312" w:eastAsia="楷体_GB2312" w:cs="楷体_GB2312"/>
          <w:b/>
          <w:bCs/>
          <w:i w:val="0"/>
          <w:iCs w:val="0"/>
          <w:caps w:val="0"/>
          <w:color w:val="auto"/>
          <w:spacing w:val="0"/>
          <w:sz w:val="32"/>
          <w:szCs w:val="32"/>
          <w:shd w:val="clear" w:fill="FFFFFF"/>
        </w:rPr>
        <w:t>深化普法责任制，推动普法与业务深度融合。</w:t>
      </w:r>
      <w:r>
        <w:rPr>
          <w:rFonts w:hint="eastAsia" w:ascii="仿宋_GB2312" w:hAnsi="仿宋_GB2312" w:eastAsia="仿宋_GB2312" w:cs="仿宋_GB2312"/>
          <w:i w:val="0"/>
          <w:iCs w:val="0"/>
          <w:caps w:val="0"/>
          <w:color w:val="auto"/>
          <w:spacing w:val="0"/>
          <w:sz w:val="32"/>
          <w:szCs w:val="32"/>
          <w:shd w:val="clear" w:fill="auto"/>
        </w:rPr>
        <w:t>以落实“谁执法谁普法”责任制为抓手，创新构建“执法+司法+服务”三位一体普法工作体系，推动各科室在履行执法、调解、服务等职能过程中同步开展释法说理。此举有效增强了各部门的普法主体责任意识，促进了法治宣传与日常工作的有机融合，辖区群众法治知晓率与满意度得到进一步提升。</w:t>
      </w:r>
    </w:p>
    <w:p>
      <w:pPr>
        <w:keepNext w:val="0"/>
        <w:keepLines w:val="0"/>
        <w:pageBreakBefore w:val="0"/>
        <w:widowControl w:val="0"/>
        <w:numPr>
          <w:ilvl w:val="-1"/>
          <w:numId w:val="0"/>
        </w:numPr>
        <w:kinsoku/>
        <w:wordWrap w:val="0"/>
        <w:overflowPunct/>
        <w:topLinePunct w:val="0"/>
        <w:autoSpaceDE/>
        <w:autoSpaceDN/>
        <w:bidi w:val="0"/>
        <w:adjustRightInd/>
        <w:snapToGrid w:val="0"/>
        <w:spacing w:line="560" w:lineRule="exact"/>
        <w:ind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r>
        <w:rPr>
          <w:rStyle w:val="15"/>
          <w:rFonts w:hint="eastAsia" w:ascii="楷体_GB2312" w:hAnsi="楷体_GB2312" w:eastAsia="楷体_GB2312" w:cs="楷体_GB2312"/>
          <w:b/>
          <w:bCs/>
          <w:color w:val="auto"/>
          <w:sz w:val="32"/>
          <w:szCs w:val="32"/>
          <w:shd w:val="clear" w:fill="FFFFFF"/>
          <w:lang w:eastAsia="zh-CN"/>
        </w:rPr>
        <w:t>二是</w:t>
      </w:r>
      <w:r>
        <w:rPr>
          <w:rStyle w:val="15"/>
          <w:rFonts w:hint="eastAsia" w:ascii="楷体_GB2312" w:hAnsi="楷体_GB2312" w:eastAsia="楷体_GB2312" w:cs="楷体_GB2312"/>
          <w:b/>
          <w:bCs/>
          <w:i w:val="0"/>
          <w:iCs w:val="0"/>
          <w:caps w:val="0"/>
          <w:color w:val="auto"/>
          <w:spacing w:val="0"/>
          <w:sz w:val="32"/>
          <w:szCs w:val="32"/>
          <w:shd w:val="clear" w:fill="FFFFFF"/>
        </w:rPr>
        <w:t>强化执法规范化，健全监督与能力提升机制。</w:t>
      </w:r>
      <w:r>
        <w:rPr>
          <w:rFonts w:hint="eastAsia" w:ascii="仿宋_GB2312" w:hAnsi="仿宋_GB2312" w:eastAsia="仿宋_GB2312" w:cs="仿宋_GB2312"/>
          <w:i w:val="0"/>
          <w:iCs w:val="0"/>
          <w:caps w:val="0"/>
          <w:color w:val="auto"/>
          <w:spacing w:val="0"/>
          <w:sz w:val="32"/>
          <w:szCs w:val="32"/>
          <w:shd w:val="clear" w:fill="auto"/>
        </w:rPr>
        <w:t>持续完善行政执法工作机制，聚焦执法人员能力建设，严格执行行政执法公示、全过程记录、重大执法决定法制审核“三项制度”。通过定期开展案卷评查、专项督查等方式强化内部监督，及时发现并纠正执法不规范问题，行政执法程序的规范性、透明度和公信力得到切实增强。</w:t>
      </w: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val="0"/>
          <w:bCs w:val="0"/>
          <w:color w:val="auto"/>
          <w:kern w:val="2"/>
          <w:sz w:val="32"/>
          <w:szCs w:val="32"/>
          <w:lang w:val="en-US" w:eastAsia="zh-CN" w:bidi="ar-SA"/>
        </w:rPr>
      </w:pPr>
    </w:p>
    <w:p>
      <w:pPr>
        <w:spacing w:line="560" w:lineRule="exact"/>
        <w:ind w:right="420" w:rightChars="200"/>
        <w:jc w:val="both"/>
        <w:rPr>
          <w:rFonts w:hint="eastAsia" w:ascii="仿宋_GB2312" w:hAnsi="仿宋_GB2312" w:eastAsia="仿宋_GB2312" w:cs="仿宋_GB2312"/>
          <w:b w:val="0"/>
          <w:color w:val="auto"/>
          <w:kern w:val="2"/>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val="0"/>
        <w:spacing w:line="560" w:lineRule="exact"/>
        <w:ind w:left="840" w:leftChars="400" w:right="840" w:rightChars="400"/>
        <w:jc w:val="right"/>
        <w:textAlignment w:val="auto"/>
        <w:rPr>
          <w:rFonts w:hint="eastAsia" w:ascii="仿宋_GB2312" w:hAnsi="仿宋_GB2312" w:eastAsia="仿宋_GB2312" w:cs="仿宋_GB2312"/>
          <w:b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lang w:val="en-US" w:eastAsia="zh-CN" w:bidi="ar-SA"/>
        </w:rPr>
        <w:t>北京市丰台区人民政府和义街道办事处</w:t>
      </w:r>
    </w:p>
    <w:p>
      <w:pPr>
        <w:numPr>
          <w:ilvl w:val="0"/>
          <w:numId w:val="0"/>
        </w:numPr>
        <w:wordWrap w:val="0"/>
        <w:snapToGrid w:val="0"/>
        <w:spacing w:line="560" w:lineRule="exact"/>
        <w:ind w:firstLine="3840" w:firstLineChars="1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color w:val="auto"/>
          <w:kern w:val="2"/>
          <w:sz w:val="32"/>
          <w:szCs w:val="32"/>
          <w:lang w:val="en-US" w:eastAsia="zh-CN" w:bidi="ar-SA"/>
        </w:rPr>
        <w:t>2026年1月22日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C280F"/>
    <w:rsid w:val="00C75852"/>
    <w:rsid w:val="01941722"/>
    <w:rsid w:val="031E2087"/>
    <w:rsid w:val="03BB5C30"/>
    <w:rsid w:val="03F700FE"/>
    <w:rsid w:val="0464205F"/>
    <w:rsid w:val="052C3508"/>
    <w:rsid w:val="05CC6BCA"/>
    <w:rsid w:val="06882424"/>
    <w:rsid w:val="083002FD"/>
    <w:rsid w:val="0A5E508E"/>
    <w:rsid w:val="0A9D1518"/>
    <w:rsid w:val="0BBC3306"/>
    <w:rsid w:val="0C2D3622"/>
    <w:rsid w:val="0DD04A36"/>
    <w:rsid w:val="0EC96117"/>
    <w:rsid w:val="0EFC12F2"/>
    <w:rsid w:val="0F022F45"/>
    <w:rsid w:val="0F10615C"/>
    <w:rsid w:val="0F8D2978"/>
    <w:rsid w:val="0F9E17AE"/>
    <w:rsid w:val="0FB02D4D"/>
    <w:rsid w:val="107A2416"/>
    <w:rsid w:val="10993885"/>
    <w:rsid w:val="13CB3A86"/>
    <w:rsid w:val="14545F69"/>
    <w:rsid w:val="16133C89"/>
    <w:rsid w:val="17532163"/>
    <w:rsid w:val="19D72D72"/>
    <w:rsid w:val="1BFE2447"/>
    <w:rsid w:val="1EE537BF"/>
    <w:rsid w:val="1F566F76"/>
    <w:rsid w:val="202D76F6"/>
    <w:rsid w:val="21CE3062"/>
    <w:rsid w:val="22EC7D10"/>
    <w:rsid w:val="258D2929"/>
    <w:rsid w:val="25AD0C5F"/>
    <w:rsid w:val="26035DEB"/>
    <w:rsid w:val="26EF6112"/>
    <w:rsid w:val="2A443FBA"/>
    <w:rsid w:val="2BA03472"/>
    <w:rsid w:val="2C1F4808"/>
    <w:rsid w:val="2DF16206"/>
    <w:rsid w:val="2E3D3BD6"/>
    <w:rsid w:val="30DE27BB"/>
    <w:rsid w:val="31BC0B24"/>
    <w:rsid w:val="33C259F7"/>
    <w:rsid w:val="34892549"/>
    <w:rsid w:val="36C17CA3"/>
    <w:rsid w:val="3A7A6319"/>
    <w:rsid w:val="3B385475"/>
    <w:rsid w:val="3BDE7333"/>
    <w:rsid w:val="3C9541F0"/>
    <w:rsid w:val="3CA54836"/>
    <w:rsid w:val="3D437442"/>
    <w:rsid w:val="3D8C49FE"/>
    <w:rsid w:val="3FB15404"/>
    <w:rsid w:val="40F3062A"/>
    <w:rsid w:val="430D4EC0"/>
    <w:rsid w:val="43827FF2"/>
    <w:rsid w:val="459A7D41"/>
    <w:rsid w:val="484C41D5"/>
    <w:rsid w:val="498F4DFA"/>
    <w:rsid w:val="4995754D"/>
    <w:rsid w:val="4A6A13C3"/>
    <w:rsid w:val="4AD359CF"/>
    <w:rsid w:val="4BAA2F64"/>
    <w:rsid w:val="4D2F3630"/>
    <w:rsid w:val="4E3150E2"/>
    <w:rsid w:val="517C3C40"/>
    <w:rsid w:val="526D6A4B"/>
    <w:rsid w:val="52CC1D29"/>
    <w:rsid w:val="5616253F"/>
    <w:rsid w:val="56BE5A60"/>
    <w:rsid w:val="57454D4A"/>
    <w:rsid w:val="5B0F6FF4"/>
    <w:rsid w:val="5BBB710D"/>
    <w:rsid w:val="5BCF552A"/>
    <w:rsid w:val="5D5B2436"/>
    <w:rsid w:val="5DB96BD3"/>
    <w:rsid w:val="5E03770C"/>
    <w:rsid w:val="5FB24F46"/>
    <w:rsid w:val="6072134A"/>
    <w:rsid w:val="60A006DA"/>
    <w:rsid w:val="60D55390"/>
    <w:rsid w:val="61B01959"/>
    <w:rsid w:val="62B32B7E"/>
    <w:rsid w:val="65891022"/>
    <w:rsid w:val="65911CB1"/>
    <w:rsid w:val="65C76908"/>
    <w:rsid w:val="67FB781F"/>
    <w:rsid w:val="6A4148B3"/>
    <w:rsid w:val="6A5F3588"/>
    <w:rsid w:val="6A973C6D"/>
    <w:rsid w:val="6B8E0982"/>
    <w:rsid w:val="6CAD6BDB"/>
    <w:rsid w:val="701857AE"/>
    <w:rsid w:val="713A694F"/>
    <w:rsid w:val="71F01739"/>
    <w:rsid w:val="72943709"/>
    <w:rsid w:val="74CF77B0"/>
    <w:rsid w:val="74F80974"/>
    <w:rsid w:val="75D86D43"/>
    <w:rsid w:val="773F135E"/>
    <w:rsid w:val="7856464D"/>
    <w:rsid w:val="78C25DA2"/>
    <w:rsid w:val="79B7342D"/>
    <w:rsid w:val="7BD858DD"/>
    <w:rsid w:val="7EA03CCE"/>
    <w:rsid w:val="7EC06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spacing w:line="560" w:lineRule="exact"/>
      <w:ind w:firstLine="880" w:firstLineChars="200"/>
    </w:pPr>
    <w:rPr>
      <w:rFonts w:ascii="仿宋_GB2312" w:hAnsi="仿宋_GB2312" w:eastAsia="仿宋_GB2312"/>
      <w:sz w:val="32"/>
    </w:rPr>
  </w:style>
  <w:style w:type="paragraph" w:styleId="6">
    <w:name w:val="Body Text Indent"/>
    <w:basedOn w:val="1"/>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9"/>
    <w:unhideWhenUsed/>
    <w:qFormat/>
    <w:uiPriority w:val="99"/>
    <w:pPr>
      <w:pBdr>
        <w:bottom w:val="single" w:color="auto" w:sz="6" w:space="1"/>
      </w:pBdr>
      <w:snapToGrid w:val="0"/>
      <w:jc w:val="center"/>
    </w:pPr>
    <w:rPr>
      <w:sz w:val="18"/>
      <w:szCs w:val="18"/>
    </w:rPr>
  </w:style>
  <w:style w:type="paragraph" w:styleId="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10">
    <w:name w:val="toc 2"/>
    <w:basedOn w:val="1"/>
    <w:next w:val="1"/>
    <w:qFormat/>
    <w:uiPriority w:val="0"/>
    <w:pPr>
      <w:spacing w:line="600" w:lineRule="exact"/>
      <w:ind w:right="-316" w:rightChars="-100" w:firstLine="790" w:firstLineChars="250"/>
    </w:pPr>
  </w:style>
  <w:style w:type="paragraph" w:styleId="11">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2">
    <w:name w:val="Body Text First Indent 2"/>
    <w:basedOn w:val="6"/>
    <w:qFormat/>
    <w:uiPriority w:val="0"/>
    <w:pPr>
      <w:suppressAutoHyphens w:val="0"/>
      <w:autoSpaceDN/>
      <w:spacing w:after="120" w:afterLines="0" w:line="240" w:lineRule="auto"/>
      <w:ind w:left="420" w:leftChars="200" w:firstLine="420" w:firstLineChars="200"/>
      <w:textAlignment w:val="auto"/>
    </w:pPr>
    <w:rPr>
      <w:kern w:val="2"/>
      <w:sz w:val="21"/>
      <w:szCs w:val="20"/>
    </w:rPr>
  </w:style>
  <w:style w:type="character" w:styleId="15">
    <w:name w:val="Strong"/>
    <w:basedOn w:val="14"/>
    <w:qFormat/>
    <w:uiPriority w:val="0"/>
    <w:rPr>
      <w:b/>
    </w:rPr>
  </w:style>
  <w:style w:type="paragraph" w:customStyle="1" w:styleId="16">
    <w:name w:val="普通(网站)1"/>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4398</Words>
  <Characters>4478</Characters>
  <Lines>0</Lines>
  <Paragraphs>0</Paragraphs>
  <TotalTime>9</TotalTime>
  <ScaleCrop>false</ScaleCrop>
  <LinksUpToDate>false</LinksUpToDate>
  <CharactersWithSpaces>4630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2026-01-07T05:52:00Z</dcterms:created>
  <dc:creator>Administrator</dc:creator>
  <cp:lastModifiedBy>Administrator</cp:lastModifiedBy>
  <cp:lastPrinted>2026-01-12T01:04:00Z</cp:lastPrinted>
  <dcterms:modified xsi:type="dcterms:W3CDTF">2026-02-03T03:06:36Z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KSOTemplateDocerSaveRecord">
    <vt:lpwstr>eyJoZGlkIjoiNWQ4NjMzMWY3MjgwN2NhZGYzNDZhMmM2NmFmODFmNTkiLCJ1c2VySWQiOiIxNzgwNjI0Njk2In0=</vt:lpwstr>
  </property>
  <property fmtid="{D5CDD505-2E9C-101B-9397-08002B2CF9AE}" pid="4" name="ICV">
    <vt:lpwstr>CE08C48630084916814814A8458E5B09</vt:lpwstr>
  </property>
</Properties>
</file>