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6345E">
      <w:pPr>
        <w:pStyle w:val="10"/>
        <w:widowControl/>
        <w:spacing w:beforeAutospacing="0" w:afterAutospacing="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六里桥街道办事处</w:t>
      </w:r>
    </w:p>
    <w:p w14:paraId="01929BA5">
      <w:pPr>
        <w:pStyle w:val="10"/>
        <w:widowControl/>
        <w:spacing w:beforeAutospacing="0" w:afterAutospacing="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年法治政府建设年度情况报告</w:t>
      </w:r>
    </w:p>
    <w:p w14:paraId="17DC2CD7">
      <w:pPr>
        <w:pStyle w:val="10"/>
        <w:widowControl/>
        <w:spacing w:beforeAutospacing="0" w:afterAutospacing="0" w:line="560" w:lineRule="exact"/>
        <w:ind w:firstLine="640" w:firstLineChars="200"/>
        <w:rPr>
          <w:rFonts w:ascii="仿宋_GB2312" w:hAnsi="仿宋_GB2312" w:eastAsia="仿宋_GB2312" w:cs="仿宋_GB2312"/>
          <w:sz w:val="32"/>
          <w:szCs w:val="32"/>
        </w:rPr>
      </w:pPr>
    </w:p>
    <w:p w14:paraId="650DF609">
      <w:pPr>
        <w:pStyle w:val="10"/>
        <w:widowControl/>
        <w:spacing w:beforeAutospacing="0" w:afterAutospacing="0"/>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202</w:t>
      </w:r>
      <w:r>
        <w:rPr>
          <w:rFonts w:hint="eastAsia" w:ascii="仿宋_GB2312" w:hAnsi="方正仿宋_GB2312" w:eastAsia="仿宋_GB2312" w:cs="方正仿宋_GB2312"/>
          <w:sz w:val="32"/>
          <w:szCs w:val="32"/>
          <w:lang w:val="en-US" w:eastAsia="zh-CN"/>
        </w:rPr>
        <w:t>5</w:t>
      </w:r>
      <w:r>
        <w:rPr>
          <w:rFonts w:hint="eastAsia" w:ascii="仿宋_GB2312" w:hAnsi="方正仿宋_GB2312" w:eastAsia="仿宋_GB2312" w:cs="方正仿宋_GB2312"/>
          <w:sz w:val="32"/>
          <w:szCs w:val="32"/>
        </w:rPr>
        <w:t>年，六里桥</w:t>
      </w:r>
      <w:r>
        <w:rPr>
          <w:rFonts w:hint="eastAsia" w:ascii="仿宋_GB2312" w:hAnsi="方正仿宋_GB2312" w:eastAsia="仿宋_GB2312" w:cs="方正仿宋_GB2312"/>
          <w:sz w:val="32"/>
          <w:szCs w:val="32"/>
          <w:shd w:val="clear" w:color="auto" w:fill="FFFFFF"/>
        </w:rPr>
        <w:t>街道在区委、区政府的领导下，坚持以习近平新时代中国特色社会主义思想为指导，深入贯彻习近平法治思想，全面贯彻落实党的二十届三中</w:t>
      </w:r>
      <w:r>
        <w:rPr>
          <w:rFonts w:hint="eastAsia" w:ascii="仿宋_GB2312" w:hAnsi="方正仿宋_GB2312" w:eastAsia="仿宋_GB2312" w:cs="方正仿宋_GB2312"/>
          <w:sz w:val="32"/>
          <w:szCs w:val="32"/>
          <w:shd w:val="clear" w:color="auto" w:fill="FFFFFF"/>
          <w:lang w:eastAsia="zh-CN"/>
        </w:rPr>
        <w:t>、四中</w:t>
      </w:r>
      <w:r>
        <w:rPr>
          <w:rFonts w:hint="eastAsia" w:ascii="仿宋_GB2312" w:hAnsi="方正仿宋_GB2312" w:eastAsia="仿宋_GB2312" w:cs="方正仿宋_GB2312"/>
          <w:sz w:val="32"/>
          <w:szCs w:val="32"/>
          <w:shd w:val="clear" w:color="auto" w:fill="FFFFFF"/>
        </w:rPr>
        <w:t>全会精神，持续</w:t>
      </w:r>
      <w:r>
        <w:rPr>
          <w:rFonts w:hint="eastAsia" w:ascii="仿宋_GB2312" w:hAnsi="宋体" w:eastAsia="仿宋_GB2312" w:cs="宋体"/>
          <w:sz w:val="32"/>
          <w:szCs w:val="32"/>
          <w:shd w:val="clear" w:color="auto" w:fill="FFFFFF"/>
        </w:rPr>
        <w:t>推进</w:t>
      </w:r>
      <w:r>
        <w:rPr>
          <w:rFonts w:hint="eastAsia" w:ascii="仿宋_GB2312" w:hAnsi="方正仿宋_GB2312" w:eastAsia="仿宋_GB2312" w:cs="方正仿宋_GB2312"/>
          <w:sz w:val="32"/>
          <w:szCs w:val="32"/>
          <w:shd w:val="clear" w:color="auto" w:fill="FFFFFF"/>
        </w:rPr>
        <w:t>法治政府建设，着力提升依法行政水平。</w:t>
      </w:r>
      <w:r>
        <w:rPr>
          <w:rFonts w:hint="eastAsia" w:ascii="仿宋_GB2312" w:hAnsi="方正仿宋_GB2312" w:eastAsia="仿宋_GB2312" w:cs="方正仿宋_GB2312"/>
          <w:sz w:val="32"/>
          <w:szCs w:val="32"/>
        </w:rPr>
        <w:t>现将工作情况报告如下：</w:t>
      </w:r>
    </w:p>
    <w:p w14:paraId="54BD6FC2">
      <w:pPr>
        <w:pStyle w:val="10"/>
        <w:widowControl/>
        <w:spacing w:beforeAutospacing="0" w:afterAutospacing="0"/>
        <w:ind w:firstLine="640" w:firstLineChars="200"/>
        <w:jc w:val="both"/>
        <w:rPr>
          <w:rFonts w:hint="eastAsia" w:ascii="黑体" w:hAnsi="黑体" w:eastAsia="黑体" w:cs="仿宋_GB2312"/>
          <w:bCs/>
          <w:kern w:val="2"/>
          <w:sz w:val="32"/>
          <w:szCs w:val="32"/>
        </w:rPr>
      </w:pPr>
      <w:r>
        <w:rPr>
          <w:rFonts w:hint="eastAsia" w:ascii="黑体" w:hAnsi="黑体" w:eastAsia="黑体" w:cs="仿宋_GB2312"/>
          <w:bCs/>
          <w:kern w:val="2"/>
          <w:sz w:val="32"/>
          <w:szCs w:val="32"/>
        </w:rPr>
        <w:t>一、202</w:t>
      </w:r>
      <w:r>
        <w:rPr>
          <w:rFonts w:hint="eastAsia" w:ascii="黑体" w:hAnsi="黑体" w:eastAsia="黑体" w:cs="仿宋_GB2312"/>
          <w:bCs/>
          <w:kern w:val="2"/>
          <w:sz w:val="32"/>
          <w:szCs w:val="32"/>
          <w:lang w:val="en-US" w:eastAsia="zh-CN"/>
        </w:rPr>
        <w:t>5</w:t>
      </w:r>
      <w:r>
        <w:rPr>
          <w:rFonts w:hint="eastAsia" w:ascii="黑体" w:hAnsi="黑体" w:eastAsia="黑体" w:cs="仿宋_GB2312"/>
          <w:bCs/>
          <w:kern w:val="2"/>
          <w:sz w:val="32"/>
          <w:szCs w:val="32"/>
        </w:rPr>
        <w:t>年法治政府建设主要举措和成效</w:t>
      </w:r>
    </w:p>
    <w:p w14:paraId="2BCB1443">
      <w:pPr>
        <w:pStyle w:val="10"/>
        <w:widowControl/>
        <w:spacing w:beforeAutospacing="0" w:afterAutospacing="0"/>
        <w:ind w:firstLine="643" w:firstLineChars="200"/>
        <w:jc w:val="both"/>
        <w:rPr>
          <w:rFonts w:hint="eastAsia" w:ascii="楷体_GB2312" w:hAnsi="仿宋_GB2312" w:eastAsia="楷体_GB2312" w:cs="仿宋_GB2312"/>
          <w:sz w:val="32"/>
          <w:szCs w:val="32"/>
          <w:lang w:val="en-US" w:eastAsia="zh-CN"/>
        </w:rPr>
      </w:pPr>
      <w:r>
        <w:rPr>
          <w:rFonts w:hint="eastAsia" w:ascii="楷体_GB2312" w:hAnsi="仿宋_GB2312" w:eastAsia="楷体_GB2312" w:cs="仿宋_GB2312"/>
          <w:b/>
          <w:bCs/>
          <w:sz w:val="32"/>
          <w:szCs w:val="32"/>
        </w:rPr>
        <w:t>（一）</w:t>
      </w:r>
      <w:r>
        <w:rPr>
          <w:rFonts w:hint="eastAsia" w:ascii="楷体_GB2312" w:hAnsi="仿宋_GB2312" w:eastAsia="楷体_GB2312" w:cs="仿宋_GB2312"/>
          <w:b/>
          <w:bCs/>
          <w:sz w:val="32"/>
          <w:szCs w:val="32"/>
          <w:lang w:eastAsia="zh-CN"/>
        </w:rPr>
        <w:t>深入</w:t>
      </w:r>
      <w:r>
        <w:rPr>
          <w:rFonts w:hint="eastAsia" w:ascii="楷体_GB2312" w:hAnsi="仿宋_GB2312" w:eastAsia="楷体_GB2312" w:cs="仿宋_GB2312"/>
          <w:b/>
          <w:bCs/>
          <w:sz w:val="32"/>
          <w:szCs w:val="32"/>
        </w:rPr>
        <w:t>贯彻中央八项规定精神学习教育和习近平法治思想</w:t>
      </w:r>
      <w:r>
        <w:rPr>
          <w:rFonts w:hint="eastAsia" w:ascii="楷体_GB2312" w:hAnsi="仿宋_GB2312" w:eastAsia="楷体_GB2312" w:cs="仿宋_GB2312"/>
          <w:b/>
          <w:bCs/>
          <w:sz w:val="32"/>
          <w:szCs w:val="32"/>
          <w:lang w:eastAsia="zh-CN"/>
        </w:rPr>
        <w:t>。</w:t>
      </w:r>
    </w:p>
    <w:p w14:paraId="1D9BAD78">
      <w:pPr>
        <w:ind w:firstLine="640" w:firstLineChars="200"/>
        <w:rPr>
          <w:rFonts w:hint="eastAsia" w:ascii="仿宋_GB2312" w:hAnsi="仿宋_GB2312" w:eastAsia="仿宋_GB2312" w:cs="仿宋_GB2312"/>
          <w:sz w:val="32"/>
          <w:szCs w:val="32"/>
        </w:rPr>
      </w:pPr>
      <w:r>
        <w:rPr>
          <w:rFonts w:hint="eastAsia" w:ascii="仿宋_GB2312" w:hAnsi="方正仿宋_GB2312" w:eastAsia="仿宋_GB2312" w:cs="方正仿宋_GB2312"/>
          <w:sz w:val="32"/>
          <w:szCs w:val="32"/>
          <w:shd w:val="clear" w:color="auto" w:fill="FFFFFF"/>
        </w:rPr>
        <w:t>紧扣学习教育核心目标，制定《深入贯彻中央八项规定精神学习教育重点工作安排》。处级领导班子率先垂范，发挥“头雁”引领作用，牵头组织集中学习研讨12次、讲授党课8场，14条查摆问题全部纳入整治台账，形成具体成效42项；35岁以下年轻干部践行“雏雁”使命担当，逐人撰写党性分析报告，查摆自身问题98条、梳理岗位风险点72条，切实将作风建设成果转化为履职实效。</w:t>
      </w:r>
      <w:r>
        <w:rPr>
          <w:rFonts w:hint="eastAsia" w:ascii="仿宋_GB2312" w:hAnsi="仿宋_GB2312" w:eastAsia="仿宋_GB2312" w:cs="仿宋_GB2312"/>
          <w:sz w:val="32"/>
          <w:szCs w:val="32"/>
        </w:rPr>
        <w:t>制订本街道法治政府建设年度工作要点，积极通过党支部学习日、党员活动日、党风廉政建设活动、组织生活会等党组织活动，深入开展学习习近平关于全面依法治国的重要论述，宪法、民法典、党章党规学习等活动，举办法治专题讲座进行法律、法规、政策学习培训。针对依法行政实践中薄弱环节和问题短板，坚持以习近平法治思想为指导，研究提出有价值、可操作的政策措施。坚持抓住领导干部这个“关键少数”,把法治素养和依法履职情况纳入考核评价领导干部的重要内容，相关考核结果作为对领导干部综合考核评价的重要参考。坚持用法治给行政权力定规矩、划界限，规范行政决策程序，优化法治化营商环境。</w:t>
      </w:r>
    </w:p>
    <w:p w14:paraId="480EE9B6">
      <w:pPr>
        <w:pStyle w:val="10"/>
        <w:widowControl/>
        <w:spacing w:beforeAutospacing="0" w:afterAutospacing="0"/>
        <w:ind w:firstLine="643" w:firstLineChars="200"/>
        <w:jc w:val="both"/>
        <w:rPr>
          <w:rFonts w:hint="eastAsia" w:ascii="楷体_GB2312" w:hAnsi="仿宋_GB2312" w:eastAsia="楷体_GB2312" w:cs="仿宋_GB2312"/>
          <w:b/>
          <w:bCs/>
          <w:sz w:val="32"/>
          <w:szCs w:val="32"/>
          <w:lang w:eastAsia="zh-CN"/>
        </w:rPr>
      </w:pPr>
      <w:r>
        <w:rPr>
          <w:rFonts w:hint="eastAsia" w:ascii="楷体_GB2312" w:hAnsi="仿宋_GB2312" w:eastAsia="楷体_GB2312" w:cs="仿宋_GB2312"/>
          <w:b/>
          <w:bCs/>
          <w:sz w:val="32"/>
          <w:szCs w:val="32"/>
        </w:rPr>
        <w:t>（二）持续推进法治政府建设</w:t>
      </w:r>
      <w:r>
        <w:rPr>
          <w:rFonts w:hint="eastAsia" w:ascii="楷体_GB2312" w:hAnsi="仿宋_GB2312" w:eastAsia="楷体_GB2312" w:cs="仿宋_GB2312"/>
          <w:b/>
          <w:bCs/>
          <w:sz w:val="32"/>
          <w:szCs w:val="32"/>
          <w:lang w:eastAsia="zh-CN"/>
        </w:rPr>
        <w:t>。</w:t>
      </w:r>
    </w:p>
    <w:p w14:paraId="7D088842">
      <w:pPr>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坚持普法强基</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kern w:val="0"/>
          <w:sz w:val="32"/>
          <w:szCs w:val="32"/>
        </w:rPr>
        <w:t>围绕“八五”普法工作要求，街道积极组织辖区社区（村）群众、企事业单位、楼宇党建组织，采取多种形式开展民法典、国家安全观、消防安全等方面的普法宣传活动。</w:t>
      </w:r>
      <w:r>
        <w:rPr>
          <w:rFonts w:hint="eastAsia" w:ascii="仿宋_GB2312" w:hAnsi="仿宋_GB2312" w:eastAsia="仿宋_GB2312" w:cs="仿宋_GB2312"/>
          <w:sz w:val="32"/>
          <w:szCs w:val="32"/>
          <w:lang w:val="en-US" w:eastAsia="zh-CN"/>
        </w:rPr>
        <w:t>联合京铁家园社区与北京市高级人民法院共建基层普法阵地</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kern w:val="0"/>
          <w:sz w:val="32"/>
          <w:szCs w:val="32"/>
        </w:rPr>
        <w:t>今年5月是第</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个“民法典宣传月”，六里桥街道各办公室、社区（村）深入推进民法典学习宣传活动，努力营造辖区良好的法治氛围。</w:t>
      </w:r>
      <w:r>
        <w:rPr>
          <w:rFonts w:hint="eastAsia" w:ascii="仿宋_GB2312" w:hAnsi="仿宋_GB2312" w:eastAsia="仿宋_GB2312" w:cs="仿宋_GB2312"/>
          <w:spacing w:val="12"/>
          <w:sz w:val="32"/>
          <w:szCs w:val="32"/>
          <w:lang w:val="en-US" w:eastAsia="zh-CN"/>
        </w:rPr>
        <w:t>联合西局玉园社区在西局玉璞园开展集中普法宣传活动，共发放《中华人民共和国民法典》《信访工作条例》、电信反诈、国家安全教育法治宣传材料300余份、法治宣传品100余件。</w:t>
      </w:r>
    </w:p>
    <w:p w14:paraId="6F0140D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b/>
          <w:bCs/>
          <w:sz w:val="32"/>
          <w:szCs w:val="32"/>
        </w:rPr>
        <w:t>优化法治化营商环境。</w:t>
      </w:r>
      <w:r>
        <w:rPr>
          <w:rFonts w:hint="eastAsia" w:ascii="仿宋_GB2312" w:hAnsi="仿宋_GB2312" w:eastAsia="仿宋_GB2312" w:cs="仿宋_GB2312"/>
          <w:b w:val="0"/>
          <w:bCs w:val="0"/>
          <w:sz w:val="32"/>
          <w:szCs w:val="32"/>
          <w:lang w:eastAsia="zh-CN"/>
        </w:rPr>
        <w:t>建成商务楼宇法治阵地。</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阵地</w:t>
      </w:r>
      <w:r>
        <w:rPr>
          <w:rFonts w:hint="eastAsia" w:ascii="仿宋_GB2312" w:hAnsi="仿宋_GB2312" w:eastAsia="仿宋_GB2312" w:cs="仿宋_GB2312"/>
          <w:sz w:val="32"/>
          <w:szCs w:val="32"/>
        </w:rPr>
        <w:t>内系统集成“法律图书角”、“法律咨询区”、“法治培训区”和“调解联络点”四大功能。企业员工在阅览学习时发现的问题，可以立即转入咨询环节；咨询中发现的普遍性痛点，迅速成为下一期法治培训的主题；而咨询和培训中甄别出的矛盾纠纷，则被优先引导至旁边的调解联络点进行就地、快速调解，实现了“阅览-咨询-培训-调解”的闭环处理，提升了服务效率。</w:t>
      </w:r>
      <w:r>
        <w:rPr>
          <w:rFonts w:hint="eastAsia" w:ascii="仿宋_GB2312" w:hAnsi="仿宋_GB2312" w:eastAsia="仿宋_GB2312" w:cs="仿宋_GB2312"/>
          <w:color w:val="000000"/>
          <w:kern w:val="0"/>
          <w:sz w:val="32"/>
          <w:szCs w:val="32"/>
          <w:lang w:val="en-US" w:eastAsia="zh-CN" w:bidi="ar-SA"/>
        </w:rPr>
        <w:t>商务楼宇法治阵地的成立，弥补了楼宇为企业提供法律服务的弱项，引导楼宇企业合法、有序经营。同时，法治阵地也是基层街道党组织与政府职能部门发挥合力，引导非公经济组织党建长足发展的有益尝试，进一步增强了辖区构建和谐营商环境工作的软实力。</w:t>
      </w:r>
    </w:p>
    <w:p w14:paraId="3147769D">
      <w:pPr>
        <w:pStyle w:val="10"/>
        <w:widowControl/>
        <w:spacing w:beforeAutospacing="0" w:afterAutospacing="0"/>
        <w:ind w:firstLine="643" w:firstLineChars="20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深化信访法治建设。</w:t>
      </w:r>
      <w:r>
        <w:rPr>
          <w:rFonts w:hint="eastAsia" w:ascii="仿宋_GB2312" w:hAnsi="仿宋_GB2312" w:eastAsia="仿宋_GB2312" w:cs="仿宋_GB2312"/>
          <w:b w:val="0"/>
          <w:bCs w:val="0"/>
          <w:sz w:val="32"/>
          <w:szCs w:val="32"/>
        </w:rPr>
        <w:t>深化“枫桥经验”实践，拓宽信访渠道，截至10月底领导干部接访下访22件次、98人次，开展18次矛盾排查、12场协调会，高效处理289件次信访事项，实现受理、办结率双100%。以《信访工作条例》宣传月为抓手，增强群众依法信访意识。围绕“八五”普法要求，开展150余场普法宣传、40余场公共法律维权活动，组织9名“乡村法律明白人”及3名“农村学法示范户”参与大讲堂，提供“AI普法茶亭”和“丰台普法×法行宝”线上人工智能法律咨询产品，为“法律明白人”开展工作提供支持，推动法治信访建设走深走实。</w:t>
      </w:r>
    </w:p>
    <w:p w14:paraId="57AB9D14">
      <w:pPr>
        <w:pStyle w:val="10"/>
        <w:widowControl/>
        <w:spacing w:beforeAutospacing="0" w:afterAutospacing="0"/>
        <w:ind w:firstLine="643" w:firstLineChars="200"/>
        <w:jc w:val="both"/>
        <w:rPr>
          <w:rFonts w:hint="eastAsia" w:ascii="楷体_GB2312" w:hAnsi="仿宋_GB2312" w:eastAsia="楷体_GB2312" w:cs="仿宋_GB2312"/>
          <w:b/>
          <w:bCs/>
          <w:sz w:val="32"/>
          <w:szCs w:val="32"/>
          <w:lang w:eastAsia="zh-CN"/>
        </w:rPr>
      </w:pPr>
      <w:r>
        <w:rPr>
          <w:rFonts w:hint="eastAsia" w:ascii="楷体_GB2312" w:hAnsi="仿宋_GB2312" w:eastAsia="楷体_GB2312" w:cs="仿宋_GB2312"/>
          <w:b/>
          <w:bCs/>
          <w:sz w:val="32"/>
          <w:szCs w:val="32"/>
        </w:rPr>
        <w:t>（三）加快提升科学民主和依法决策水平</w:t>
      </w:r>
      <w:r>
        <w:rPr>
          <w:rFonts w:hint="eastAsia" w:ascii="楷体_GB2312" w:hAnsi="仿宋_GB2312" w:eastAsia="楷体_GB2312" w:cs="仿宋_GB2312"/>
          <w:b/>
          <w:bCs/>
          <w:sz w:val="32"/>
          <w:szCs w:val="32"/>
          <w:lang w:eastAsia="zh-CN"/>
        </w:rPr>
        <w:t>。</w:t>
      </w:r>
    </w:p>
    <w:p w14:paraId="1FFB0EF6">
      <w:pPr>
        <w:pStyle w:val="10"/>
        <w:widowControl/>
        <w:spacing w:beforeAutospacing="0" w:afterAutospacing="0"/>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落实重大行政决策程序。</w:t>
      </w:r>
      <w:r>
        <w:rPr>
          <w:rFonts w:hint="eastAsia" w:ascii="仿宋_GB2312" w:hAnsi="仿宋_GB2312" w:eastAsia="仿宋_GB2312" w:cs="仿宋_GB2312"/>
          <w:sz w:val="32"/>
          <w:szCs w:val="32"/>
        </w:rPr>
        <w:t xml:space="preserve">严格落实《重大行政决策程序暂行条例》，健全完善规范性文件合法性审核机制，加强工作统筹指导，推行风险管理制度，加大规范性文件备案监督力度。切实发挥法律顾问在重大决策、规范性文件合法合规性审查等工作中重要作用。 </w:t>
      </w:r>
    </w:p>
    <w:p w14:paraId="7AA29AF3">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kern w:val="0"/>
          <w:sz w:val="32"/>
          <w:szCs w:val="32"/>
        </w:rPr>
        <w:t>严格规范性文件合法性审核和备案。</w:t>
      </w:r>
      <w:r>
        <w:rPr>
          <w:rFonts w:hint="eastAsia" w:ascii="仿宋_GB2312" w:hAnsi="仿宋_GB2312" w:eastAsia="仿宋_GB2312" w:cs="仿宋_GB2312"/>
          <w:kern w:val="0"/>
          <w:sz w:val="32"/>
          <w:szCs w:val="32"/>
        </w:rPr>
        <w:t>切实履行本地区本部门行政规范性文件合法性审核工作第一责任人工作，定期清理规范性文件并及时报备，对本单位的行政规范性文件实行动态化、精细化管理。聘请专业律师就行政执法日常涉法文件进行合法性审核，做好事前监督，严防出现“越权文件”“违法文件”；邀请律师参与典型性行政执法案件讨论，就行政执法风险防控做出预判，做好过程监督；行政诉讼、行政复议案件中，执法队指派专人与代理律师建立“一对一”联系，做好事后监督工作。今年街道作为被告的行政诉讼案件</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件，行政复议案件</w:t>
      </w: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rPr>
        <w:t>件，按时提交答复、答辩、证据材料，并聘请法律顾问积极参与应诉。截至目前，共收到检察建议书</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份，针对检察建议，细化落实举措，取得积极成效。</w:t>
      </w:r>
    </w:p>
    <w:p w14:paraId="3FE50744">
      <w:pPr>
        <w:pStyle w:val="10"/>
        <w:widowControl/>
        <w:spacing w:beforeAutospacing="0" w:afterAutospacing="0"/>
        <w:ind w:firstLine="643" w:firstLineChars="200"/>
        <w:jc w:val="both"/>
        <w:rPr>
          <w:rFonts w:hint="eastAsia" w:ascii="楷体_GB2312" w:hAnsi="仿宋_GB2312" w:eastAsia="楷体_GB2312" w:cs="仿宋_GB2312"/>
          <w:b/>
          <w:bCs/>
          <w:sz w:val="32"/>
          <w:szCs w:val="32"/>
          <w:lang w:eastAsia="zh-CN"/>
        </w:rPr>
      </w:pPr>
      <w:r>
        <w:rPr>
          <w:rFonts w:hint="eastAsia" w:ascii="楷体_GB2312" w:hAnsi="仿宋_GB2312" w:eastAsia="楷体_GB2312" w:cs="仿宋_GB2312"/>
          <w:b/>
          <w:bCs/>
          <w:sz w:val="32"/>
          <w:szCs w:val="32"/>
        </w:rPr>
        <w:t>（四）持续推进行政执法规范和效能</w:t>
      </w:r>
      <w:r>
        <w:rPr>
          <w:rFonts w:hint="eastAsia" w:ascii="楷体_GB2312" w:hAnsi="仿宋_GB2312" w:eastAsia="楷体_GB2312" w:cs="仿宋_GB2312"/>
          <w:b/>
          <w:bCs/>
          <w:sz w:val="32"/>
          <w:szCs w:val="32"/>
          <w:lang w:eastAsia="zh-CN"/>
        </w:rPr>
        <w:t>。</w:t>
      </w:r>
    </w:p>
    <w:p w14:paraId="6100C76C">
      <w:pPr>
        <w:ind w:firstLine="643" w:firstLineChars="200"/>
        <w:rPr>
          <w:rFonts w:hint="eastAsia" w:ascii="仿宋_GB2312" w:hAnsi="仿宋" w:eastAsia="仿宋_GB2312"/>
          <w:sz w:val="32"/>
          <w:szCs w:val="32"/>
        </w:rPr>
      </w:pPr>
      <w:r>
        <w:rPr>
          <w:rFonts w:hint="eastAsia" w:ascii="仿宋_GB2312" w:hAnsi="仿宋" w:eastAsia="仿宋_GB2312"/>
          <w:b/>
          <w:bCs/>
          <w:sz w:val="32"/>
          <w:szCs w:val="32"/>
        </w:rPr>
        <w:t>1</w:t>
      </w:r>
      <w:r>
        <w:rPr>
          <w:rFonts w:hint="eastAsia" w:ascii="仿宋_GB2312" w:hAnsi="仿宋" w:eastAsia="仿宋_GB2312"/>
          <w:b/>
          <w:bCs/>
          <w:sz w:val="32"/>
          <w:szCs w:val="32"/>
          <w:lang w:eastAsia="zh-CN"/>
        </w:rPr>
        <w:t>、</w:t>
      </w:r>
      <w:r>
        <w:rPr>
          <w:rFonts w:hint="eastAsia" w:ascii="仿宋_GB2312" w:hAnsi="仿宋" w:eastAsia="仿宋_GB2312"/>
          <w:b/>
          <w:bCs/>
          <w:sz w:val="32"/>
          <w:szCs w:val="32"/>
        </w:rPr>
        <w:t>深化城市治理攻坚。</w:t>
      </w:r>
      <w:r>
        <w:rPr>
          <w:rFonts w:hint="eastAsia" w:ascii="仿宋_GB2312" w:hAnsi="仿宋" w:eastAsia="仿宋_GB2312"/>
          <w:b w:val="0"/>
          <w:bCs w:val="0"/>
          <w:sz w:val="32"/>
          <w:szCs w:val="32"/>
        </w:rPr>
        <w:t>开展“疏解整治促提升”专项行动，严查占道经营、“开墙打洞”等违规行为，累计规范店外经营、乱堆物料等扰乱公共秩序问题300余起，取缔无照经营200余起。攻坚“揭网见绿”专项工作，10034平方米上账地块已全部销账，通过网格化精细化管理持续提升绿地养护水平。围绕年度17.25万平方米拆违目标全力攻坚，截至10月底已销账82567平方米，销账率达47.9%。聚焦地下空间、群租房治理重点，排查整治群租房45处，疏解人口60余人，推动城市环境管理向精细化、规范化迈进。</w:t>
      </w:r>
    </w:p>
    <w:p w14:paraId="7A7A67E3">
      <w:pPr>
        <w:overflowPunct w:val="0"/>
        <w:topLinePunct/>
        <w:ind w:firstLine="643" w:firstLineChars="200"/>
        <w:rPr>
          <w:rStyle w:val="13"/>
          <w:rFonts w:hint="eastAsia" w:ascii="仿宋_GB2312" w:hAnsi="仿宋_GB2312" w:eastAsia="仿宋_GB2312" w:cs="仿宋_GB2312"/>
          <w:b w:val="0"/>
          <w:sz w:val="32"/>
          <w:szCs w:val="32"/>
          <w:shd w:val="clear" w:color="auto" w:fill="FFFFFF"/>
        </w:rPr>
      </w:pPr>
      <w:r>
        <w:rPr>
          <w:rFonts w:hint="eastAsia" w:ascii="仿宋_GB2312" w:hAnsi="仿宋" w:eastAsia="仿宋_GB2312"/>
          <w:b/>
          <w:bCs/>
          <w:sz w:val="32"/>
          <w:szCs w:val="32"/>
        </w:rPr>
        <w:t>2</w:t>
      </w:r>
      <w:r>
        <w:rPr>
          <w:rFonts w:hint="eastAsia" w:ascii="仿宋_GB2312" w:hAnsi="仿宋" w:eastAsia="仿宋_GB2312"/>
          <w:b/>
          <w:bCs/>
          <w:sz w:val="32"/>
          <w:szCs w:val="32"/>
          <w:lang w:eastAsia="zh-CN"/>
        </w:rPr>
        <w:t>、</w:t>
      </w:r>
      <w:r>
        <w:rPr>
          <w:rFonts w:hint="eastAsia" w:ascii="仿宋_GB2312" w:hAnsi="仿宋_GB2312" w:eastAsia="仿宋_GB2312" w:cs="仿宋_GB2312"/>
          <w:b/>
          <w:bCs w:val="0"/>
          <w:kern w:val="0"/>
          <w:sz w:val="32"/>
          <w:szCs w:val="32"/>
          <w:shd w:val="clear" w:color="auto" w:fill="auto"/>
          <w:lang w:val="en-US" w:eastAsia="zh-CN" w:bidi="ar-SA"/>
        </w:rPr>
        <w:t>厚植生态环境底色。</w:t>
      </w:r>
      <w:r>
        <w:rPr>
          <w:rFonts w:hint="eastAsia" w:ascii="仿宋_GB2312" w:hAnsi="仿宋_GB2312" w:eastAsia="仿宋_GB2312" w:cs="仿宋_GB2312"/>
          <w:b w:val="0"/>
          <w:bCs/>
          <w:kern w:val="0"/>
          <w:sz w:val="32"/>
          <w:szCs w:val="32"/>
          <w:shd w:val="clear" w:color="auto" w:fill="auto"/>
          <w:lang w:val="en-US" w:eastAsia="zh-CN" w:bidi="ar-SA"/>
        </w:rPr>
        <w:t>系统推进生态环境改善提升，PM2.5 浓度位列全区第6位、TSP 浓度居全区第4位，完成10块小微裸地苫盖，销账率达100%。严格落实“河长制”工作要求，全年两级河长累计巡河704人次，巡护里程达2228公里。组织春季大扫除等专项环境整治行动8次，发动街巷长、网格员、志愿者及居民群众1900余人次，清除小广告600余张、堆物堆料200余处。将垃圾分类作为基层治理重要抓手，制定《六里桥街道2025年生活垃圾分类考核及激励办法实施方案》。积极参与“丰彩城市艺术季”活动，美化西三环辅路等主要道路40余个箱体、莲花池西里6号院等3处墙体，加强郊野公园日常管护，辖区生态环境持续向好。</w:t>
      </w:r>
    </w:p>
    <w:p w14:paraId="5C4E7300">
      <w:pPr>
        <w:ind w:firstLine="643"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深化安全排查整治。</w:t>
      </w:r>
      <w:r>
        <w:rPr>
          <w:rFonts w:hint="eastAsia" w:ascii="仿宋_GB2312" w:hAnsi="仿宋_GB2312" w:eastAsia="仿宋_GB2312" w:cs="仿宋_GB2312"/>
          <w:b w:val="0"/>
          <w:bCs w:val="0"/>
          <w:sz w:val="32"/>
          <w:szCs w:val="32"/>
        </w:rPr>
        <w:t>严格压实安全生产责任制，辖区火情同比下降38.46%。全面推进“企安安”专项工作，完成1988家企业部门检查，整改安全隐患11892项，实现检查全覆盖。针对施工、危化品等重点领域，开展523家次检查复查。对78个小区、19栋自建房开展三轮专项大扫除，清走4.3吨楼道杂物。为60岁以上失能失智人员配发244套消防四件套。完成268个电动车车棚防火分隔改造，投入10万元在金一平房区2处大车棚加装智慧消防系统，电动车棚24小时安全检测、实时报警，确保辖区安全形势持续向好。</w:t>
      </w:r>
    </w:p>
    <w:p w14:paraId="2FCFAB94">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rPr>
        <w:t>贯彻落实行政执法三项制度。</w:t>
      </w:r>
      <w:r>
        <w:rPr>
          <w:rFonts w:hint="eastAsia" w:ascii="仿宋_GB2312" w:hAnsi="仿宋_GB2312" w:eastAsia="仿宋_GB2312" w:cs="仿宋_GB2312"/>
          <w:kern w:val="0"/>
          <w:sz w:val="32"/>
          <w:szCs w:val="32"/>
        </w:rPr>
        <w:t>组织学习、贯彻落实北京市人民政府办公厅关于印发《北京市行政执法公示办法》《北京市行政执法全过程记录办法》《北京市重大行政执法决定法制审核办法》的通知（京政办发[2021]17号）等相关文件,着力推进行政执法透明、规范、合法、公正。街道执法人员全部持证执法，出具相应的执法文书，告知行政相对人执法事由、执法依据等依法应当告知的事项；通过行政执法公示等相关平台，将执法信息按照国家和本市的有关规定公开。</w:t>
      </w:r>
    </w:p>
    <w:p w14:paraId="0095059A">
      <w:pPr>
        <w:pStyle w:val="10"/>
        <w:widowControl/>
        <w:spacing w:beforeAutospacing="0" w:afterAutospacing="0"/>
        <w:ind w:firstLine="643" w:firstLineChars="200"/>
        <w:jc w:val="both"/>
        <w:rPr>
          <w:rFonts w:hint="eastAsia" w:ascii="楷体_GB2312" w:hAnsi="仿宋_GB2312" w:eastAsia="楷体_GB2312" w:cs="仿宋_GB2312"/>
          <w:b/>
          <w:bCs/>
          <w:sz w:val="32"/>
          <w:szCs w:val="32"/>
          <w:lang w:eastAsia="zh-CN"/>
        </w:rPr>
      </w:pPr>
      <w:r>
        <w:rPr>
          <w:rFonts w:hint="eastAsia" w:ascii="楷体_GB2312" w:hAnsi="仿宋_GB2312" w:eastAsia="楷体_GB2312" w:cs="仿宋_GB2312"/>
          <w:b/>
          <w:bCs/>
          <w:sz w:val="32"/>
          <w:szCs w:val="32"/>
        </w:rPr>
        <w:t>（五）健全矛盾纠纷行政预防化解体系</w:t>
      </w:r>
      <w:r>
        <w:rPr>
          <w:rFonts w:hint="eastAsia" w:ascii="楷体_GB2312" w:hAnsi="仿宋_GB2312" w:eastAsia="楷体_GB2312" w:cs="仿宋_GB2312"/>
          <w:b/>
          <w:bCs/>
          <w:sz w:val="32"/>
          <w:szCs w:val="32"/>
          <w:lang w:eastAsia="zh-CN"/>
        </w:rPr>
        <w:t>。</w:t>
      </w:r>
    </w:p>
    <w:p w14:paraId="158C581A">
      <w:pPr>
        <w:pStyle w:val="10"/>
        <w:widowControl/>
        <w:spacing w:beforeAutospacing="0" w:afterAutospacing="0"/>
        <w:ind w:firstLine="643"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1</w:t>
      </w:r>
      <w:r>
        <w:rPr>
          <w:rFonts w:hint="eastAsia" w:ascii="仿宋_GB2312" w:hAnsi="仿宋_GB2312" w:eastAsia="仿宋_GB2312" w:cs="仿宋_GB2312"/>
          <w:b/>
          <w:bCs/>
          <w:kern w:val="2"/>
          <w:sz w:val="32"/>
          <w:szCs w:val="32"/>
          <w:lang w:eastAsia="zh-CN"/>
        </w:rPr>
        <w:t>、</w:t>
      </w:r>
      <w:r>
        <w:rPr>
          <w:rFonts w:hint="eastAsia" w:ascii="仿宋_GB2312" w:hAnsi="仿宋_GB2312" w:eastAsia="仿宋_GB2312" w:cs="仿宋_GB2312"/>
          <w:b/>
          <w:bCs/>
          <w:kern w:val="2"/>
          <w:sz w:val="32"/>
          <w:szCs w:val="32"/>
        </w:rPr>
        <w:t>发挥人民调解职能作用。</w:t>
      </w:r>
      <w:r>
        <w:rPr>
          <w:rFonts w:hint="eastAsia" w:ascii="仿宋_GB2312" w:hAnsi="仿宋_GB2312" w:eastAsia="仿宋_GB2312" w:cs="仿宋_GB2312"/>
          <w:kern w:val="2"/>
          <w:sz w:val="32"/>
          <w:szCs w:val="32"/>
        </w:rPr>
        <w:t>以“保障农民工合法权益公共法律服务专项维权”，“维护残疾人合法权益公共法律服务专项维权”，“进一步推进基层坚持和发展新时代“枫桥经验”，筑牢人民调解‘第一道防线’，做好人民调解矛盾纠纷排查化解工作”等活动为契机，着力提升人民调解工作质效。</w:t>
      </w:r>
    </w:p>
    <w:p w14:paraId="2095B422">
      <w:pPr>
        <w:pStyle w:val="10"/>
        <w:widowControl/>
        <w:spacing w:beforeAutospacing="0" w:afterAutospacing="0"/>
        <w:ind w:firstLine="643"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b/>
          <w:bCs/>
          <w:kern w:val="2"/>
          <w:sz w:val="32"/>
          <w:szCs w:val="32"/>
        </w:rPr>
        <w:t>2</w:t>
      </w:r>
      <w:r>
        <w:rPr>
          <w:rFonts w:hint="eastAsia" w:ascii="仿宋_GB2312" w:hAnsi="仿宋_GB2312" w:eastAsia="仿宋_GB2312" w:cs="仿宋_GB2312"/>
          <w:b/>
          <w:bCs/>
          <w:kern w:val="2"/>
          <w:sz w:val="32"/>
          <w:szCs w:val="32"/>
          <w:lang w:eastAsia="zh-CN"/>
        </w:rPr>
        <w:t>、</w:t>
      </w:r>
      <w:r>
        <w:rPr>
          <w:rFonts w:hint="eastAsia" w:ascii="仿宋_GB2312" w:hAnsi="仿宋_GB2312" w:eastAsia="仿宋_GB2312" w:cs="仿宋_GB2312"/>
          <w:b/>
          <w:bCs/>
          <w:kern w:val="2"/>
          <w:sz w:val="32"/>
          <w:szCs w:val="32"/>
        </w:rPr>
        <w:t>加强矛盾纠纷排查化解。</w:t>
      </w:r>
      <w:r>
        <w:rPr>
          <w:rFonts w:hint="eastAsia" w:ascii="仿宋_GB2312" w:hAnsi="仿宋_GB2312" w:eastAsia="仿宋_GB2312" w:cs="仿宋_GB2312"/>
          <w:kern w:val="2"/>
          <w:sz w:val="32"/>
          <w:szCs w:val="32"/>
        </w:rPr>
        <w:t>在重大节假日，重大活动期间，聚焦重点地区、重点人群和矛盾纠纷集中领域，特别是涉婚姻家庭、邻里、房屋、宅基地、医患等常见纠纷，坚持抓早抓小、应调尽调、法理情相结合等方式方法，依法及时就地予以化解，切实把风险隐患解决在基层，化解在萌芽状态。今年以来共开展矛盾纠纷排查</w:t>
      </w:r>
      <w:r>
        <w:rPr>
          <w:rFonts w:hint="eastAsia" w:ascii="仿宋_GB2312" w:hAnsi="仿宋_GB2312" w:eastAsia="仿宋_GB2312" w:cs="仿宋_GB2312"/>
          <w:kern w:val="2"/>
          <w:sz w:val="32"/>
          <w:szCs w:val="32"/>
          <w:lang w:val="en-US" w:eastAsia="zh-CN"/>
        </w:rPr>
        <w:t>485</w:t>
      </w:r>
      <w:r>
        <w:rPr>
          <w:rFonts w:hint="eastAsia" w:ascii="仿宋_GB2312" w:hAnsi="仿宋_GB2312" w:eastAsia="仿宋_GB2312" w:cs="仿宋_GB2312"/>
          <w:kern w:val="2"/>
          <w:sz w:val="32"/>
          <w:szCs w:val="32"/>
        </w:rPr>
        <w:t>次，及时发现、预防，取得了矛盾纠纷及时化解不激化、高效化解不反复、就地化解不上行的成效。</w:t>
      </w:r>
    </w:p>
    <w:p w14:paraId="6C2FBF05">
      <w:pPr>
        <w:pStyle w:val="10"/>
        <w:widowControl/>
        <w:spacing w:beforeAutospacing="0" w:afterAutospacing="0"/>
        <w:ind w:firstLine="643" w:firstLineChars="200"/>
        <w:jc w:val="both"/>
        <w:rPr>
          <w:rFonts w:hint="eastAsia" w:ascii="仿宋_GB2312" w:hAnsi="仿宋_GB2312" w:eastAsia="仿宋_GB2312" w:cs="仿宋_GB2312"/>
          <w:kern w:val="2"/>
          <w:sz w:val="32"/>
          <w:szCs w:val="32"/>
        </w:rPr>
      </w:pPr>
      <w:r>
        <w:rPr>
          <w:rFonts w:ascii="仿宋_GB2312" w:hAnsi="仿宋_GB2312" w:eastAsia="仿宋_GB2312" w:cs="仿宋_GB2312"/>
          <w:b/>
          <w:bCs/>
          <w:kern w:val="2"/>
          <w:sz w:val="32"/>
          <w:szCs w:val="32"/>
        </w:rPr>
        <w:t>3</w:t>
      </w:r>
      <w:r>
        <w:rPr>
          <w:rFonts w:hint="eastAsia" w:ascii="仿宋_GB2312" w:hAnsi="仿宋_GB2312" w:eastAsia="仿宋_GB2312" w:cs="仿宋_GB2312"/>
          <w:b/>
          <w:bCs/>
          <w:kern w:val="2"/>
          <w:sz w:val="32"/>
          <w:szCs w:val="32"/>
          <w:lang w:eastAsia="zh-CN"/>
        </w:rPr>
        <w:t>、</w:t>
      </w:r>
      <w:r>
        <w:rPr>
          <w:rFonts w:hint="eastAsia" w:ascii="仿宋_GB2312" w:hAnsi="仿宋_GB2312" w:eastAsia="仿宋_GB2312" w:cs="仿宋_GB2312"/>
          <w:b/>
          <w:bCs/>
          <w:kern w:val="2"/>
          <w:sz w:val="32"/>
          <w:szCs w:val="32"/>
        </w:rPr>
        <w:t>积极积极推进“法治副村长”行动。</w:t>
      </w:r>
      <w:r>
        <w:rPr>
          <w:rFonts w:hint="eastAsia" w:ascii="仿宋_GB2312" w:hAnsi="仿宋_GB2312" w:eastAsia="仿宋_GB2312" w:cs="仿宋_GB2312"/>
          <w:b w:val="0"/>
          <w:bCs w:val="0"/>
          <w:kern w:val="2"/>
          <w:sz w:val="32"/>
          <w:szCs w:val="32"/>
        </w:rPr>
        <w:t>辖区各村积极组织“法治副村长”参与矛盾纠纷排查化解，面对婚姻、家庭、邻里等突出矛盾纠纷案件，秉持着“群众利益无小事”的原则，倾听群众声音，了解群众所需，梳理形成问题清单、需求清单，针对清单提供高效便捷的法治服务，现场能解决的问题及时解决，解决不了的协调街道司法所协同进行处理。切实把群众反映的“问题清单”变成“法治副村长”的“责任清单”。通过“零距离”交谈、讲理说法、以案释法等方式，有效化解矛盾问题，促进乡村和谐。截至目前，各村联合“法治副村长”开展矛盾纠纷排查10余次。</w:t>
      </w:r>
    </w:p>
    <w:p w14:paraId="444E9BA8">
      <w:pPr>
        <w:pStyle w:val="10"/>
        <w:widowControl/>
        <w:spacing w:beforeAutospacing="0" w:afterAutospacing="0"/>
        <w:ind w:firstLine="640" w:firstLineChars="200"/>
        <w:jc w:val="both"/>
        <w:rPr>
          <w:rFonts w:hint="eastAsia" w:ascii="黑体" w:hAnsi="黑体" w:eastAsia="黑体" w:cs="仿宋_GB2312"/>
          <w:bCs/>
          <w:kern w:val="2"/>
          <w:sz w:val="32"/>
          <w:szCs w:val="32"/>
        </w:rPr>
      </w:pPr>
      <w:r>
        <w:rPr>
          <w:rFonts w:hint="eastAsia" w:ascii="黑体" w:hAnsi="黑体" w:eastAsia="黑体" w:cs="仿宋_GB2312"/>
          <w:bCs/>
          <w:kern w:val="2"/>
          <w:sz w:val="32"/>
          <w:szCs w:val="32"/>
        </w:rPr>
        <w:t>二、202</w:t>
      </w:r>
      <w:r>
        <w:rPr>
          <w:rFonts w:hint="eastAsia" w:ascii="黑体" w:hAnsi="黑体" w:eastAsia="黑体" w:cs="仿宋_GB2312"/>
          <w:bCs/>
          <w:kern w:val="2"/>
          <w:sz w:val="32"/>
          <w:szCs w:val="32"/>
          <w:lang w:val="en-US" w:eastAsia="zh-CN"/>
        </w:rPr>
        <w:t>5</w:t>
      </w:r>
      <w:r>
        <w:rPr>
          <w:rFonts w:hint="eastAsia" w:ascii="黑体" w:hAnsi="黑体" w:eastAsia="黑体" w:cs="仿宋_GB2312"/>
          <w:bCs/>
          <w:kern w:val="2"/>
          <w:sz w:val="32"/>
          <w:szCs w:val="32"/>
        </w:rPr>
        <w:t>年法治政府建设存在的问题与不足</w:t>
      </w:r>
    </w:p>
    <w:p w14:paraId="657C932B">
      <w:pPr>
        <w:pStyle w:val="10"/>
        <w:widowControl/>
        <w:spacing w:beforeAutospacing="0" w:afterAutospacing="0"/>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法治思想学习不够深入。</w:t>
      </w:r>
      <w:r>
        <w:rPr>
          <w:rFonts w:hint="eastAsia" w:ascii="仿宋_GB2312" w:hAnsi="仿宋_GB2312" w:eastAsia="仿宋_GB2312" w:cs="仿宋_GB2312"/>
          <w:sz w:val="32"/>
          <w:szCs w:val="32"/>
        </w:rPr>
        <w:t>对习近平法治思想的学习多以集中宣讲为主，缺乏专题研讨、案例剖析等深度学习形式，干部对核心要义、实践要求的理解不够透彻，难以将法治思想与基层治理实际深度融合。</w:t>
      </w:r>
    </w:p>
    <w:p w14:paraId="4847405D">
      <w:pPr>
        <w:pStyle w:val="10"/>
        <w:widowControl/>
        <w:spacing w:beforeAutospacing="0" w:afterAutospacing="0"/>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法治宣传教育的针对性和实效性有待增强。</w:t>
      </w:r>
      <w:r>
        <w:rPr>
          <w:rFonts w:hint="eastAsia" w:ascii="仿宋_GB2312" w:hAnsi="仿宋_GB2312" w:eastAsia="仿宋_GB2312" w:cs="仿宋_GB2312"/>
          <w:sz w:val="32"/>
          <w:szCs w:val="32"/>
        </w:rPr>
        <w:t>法治宣传教育的内容还不够丰富多样，与群众的实际需求结合不够紧密。</w:t>
      </w:r>
    </w:p>
    <w:p w14:paraId="32A385BE">
      <w:pPr>
        <w:pStyle w:val="10"/>
        <w:widowControl/>
        <w:spacing w:beforeAutospacing="0" w:afterAutospacing="0"/>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法律顾问作用还需进一步增强。</w:t>
      </w:r>
      <w:r>
        <w:rPr>
          <w:rFonts w:hint="eastAsia" w:ascii="仿宋_GB2312" w:hAnsi="仿宋_GB2312" w:eastAsia="仿宋_GB2312" w:cs="仿宋_GB2312"/>
          <w:sz w:val="32"/>
          <w:szCs w:val="32"/>
        </w:rPr>
        <w:t>法律顾问工作的广度和深度有待拓宽，在运用法律顾问解决群众问题方面作用还不够明显。</w:t>
      </w:r>
    </w:p>
    <w:p w14:paraId="2BF37FE9">
      <w:pPr>
        <w:pStyle w:val="10"/>
        <w:widowControl/>
        <w:spacing w:beforeAutospacing="0" w:afterAutospacing="0"/>
        <w:ind w:firstLine="640" w:firstLineChars="200"/>
        <w:jc w:val="both"/>
        <w:rPr>
          <w:rFonts w:ascii="仿宋_GB2312" w:hAnsi="仿宋_GB2312" w:eastAsia="仿宋_GB2312" w:cs="仿宋_GB2312"/>
          <w:sz w:val="32"/>
          <w:szCs w:val="32"/>
        </w:rPr>
      </w:pPr>
      <w:r>
        <w:rPr>
          <w:rFonts w:hint="eastAsia" w:ascii="黑体" w:hAnsi="黑体" w:eastAsia="黑体" w:cs="仿宋_GB2312"/>
          <w:bCs/>
          <w:kern w:val="2"/>
          <w:sz w:val="32"/>
          <w:szCs w:val="32"/>
          <w:lang w:eastAsia="zh-CN"/>
        </w:rPr>
        <w:t>三</w:t>
      </w:r>
      <w:r>
        <w:rPr>
          <w:rFonts w:hint="eastAsia" w:ascii="黑体" w:hAnsi="黑体" w:eastAsia="黑体" w:cs="仿宋_GB2312"/>
          <w:bCs/>
          <w:kern w:val="2"/>
          <w:sz w:val="32"/>
          <w:szCs w:val="32"/>
        </w:rPr>
        <w:t>、</w:t>
      </w:r>
      <w:r>
        <w:rPr>
          <w:rFonts w:hint="eastAsia" w:ascii="黑体" w:hAnsi="黑体" w:eastAsia="黑体" w:cs="黑体"/>
          <w:bCs/>
          <w:kern w:val="2"/>
          <w:sz w:val="32"/>
          <w:szCs w:val="32"/>
        </w:rPr>
        <w:t>202</w:t>
      </w:r>
      <w:r>
        <w:rPr>
          <w:rFonts w:hint="eastAsia" w:ascii="黑体" w:hAnsi="黑体" w:eastAsia="黑体" w:cs="黑体"/>
          <w:bCs/>
          <w:kern w:val="2"/>
          <w:sz w:val="32"/>
          <w:szCs w:val="32"/>
          <w:lang w:val="en-US" w:eastAsia="zh-CN"/>
        </w:rPr>
        <w:t>6</w:t>
      </w:r>
      <w:r>
        <w:rPr>
          <w:rFonts w:hint="eastAsia" w:ascii="黑体" w:hAnsi="黑体" w:eastAsia="黑体" w:cs="黑体"/>
          <w:bCs/>
          <w:kern w:val="2"/>
          <w:sz w:val="32"/>
          <w:szCs w:val="32"/>
        </w:rPr>
        <w:t>年推进法治政府建设工作安排</w:t>
      </w:r>
    </w:p>
    <w:p w14:paraId="31145E89">
      <w:pPr>
        <w:pStyle w:val="6"/>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年，六里桥街道将坚持以习近平新时代中国特色社会主义思想为指导，全面贯彻党的二十大和二十届三中</w:t>
      </w:r>
      <w:r>
        <w:rPr>
          <w:rFonts w:hint="eastAsia" w:ascii="仿宋_GB2312" w:hAnsi="仿宋_GB2312" w:eastAsia="仿宋_GB2312" w:cs="仿宋_GB2312"/>
          <w:kern w:val="0"/>
          <w:sz w:val="32"/>
          <w:szCs w:val="32"/>
          <w:lang w:eastAsia="zh-CN"/>
        </w:rPr>
        <w:t>、四中</w:t>
      </w:r>
      <w:r>
        <w:rPr>
          <w:rFonts w:hint="eastAsia" w:ascii="仿宋_GB2312" w:hAnsi="仿宋_GB2312" w:eastAsia="仿宋_GB2312" w:cs="仿宋_GB2312"/>
          <w:kern w:val="0"/>
          <w:sz w:val="32"/>
          <w:szCs w:val="32"/>
        </w:rPr>
        <w:t>全会精神，紧扣深入学习宣传贯彻习近平法治思想主题，按照依法治区工作要求，深入开展法治宣传教育，扎实推进基层民主法治建设，进一步提升辖区群众法治意识，提高全社会法治化管理水平，营造平安稳定的良好法治环境。</w:t>
      </w:r>
    </w:p>
    <w:p w14:paraId="794681A2">
      <w:pPr>
        <w:pStyle w:val="6"/>
        <w:ind w:firstLine="643" w:firstLineChars="200"/>
        <w:rPr>
          <w:rFonts w:hint="eastAsia" w:ascii="仿宋_GB2312" w:hAnsi="仿宋_GB2312" w:eastAsia="仿宋_GB2312" w:cs="仿宋_GB2312"/>
          <w:kern w:val="0"/>
          <w:sz w:val="32"/>
          <w:szCs w:val="32"/>
        </w:rPr>
      </w:pPr>
      <w:r>
        <w:rPr>
          <w:rFonts w:hint="eastAsia" w:ascii="楷体_GB2312" w:hAnsi="仿宋_GB2312" w:eastAsia="楷体_GB2312" w:cs="仿宋_GB2312"/>
          <w:b/>
          <w:bCs/>
          <w:kern w:val="0"/>
          <w:sz w:val="32"/>
          <w:szCs w:val="32"/>
        </w:rPr>
        <w:t>1、加强干部学法用法。</w:t>
      </w:r>
      <w:r>
        <w:rPr>
          <w:rFonts w:hint="eastAsia" w:ascii="仿宋_GB2312" w:hAnsi="仿宋_GB2312" w:eastAsia="仿宋_GB2312" w:cs="仿宋_GB2312"/>
          <w:kern w:val="0"/>
          <w:sz w:val="32"/>
          <w:szCs w:val="32"/>
        </w:rPr>
        <w:t>继续将法治学习纳入街道</w:t>
      </w:r>
      <w:r>
        <w:rPr>
          <w:rFonts w:hint="eastAsia" w:ascii="仿宋_GB2312" w:hAnsi="仿宋_GB2312" w:eastAsia="仿宋_GB2312" w:cs="仿宋_GB2312"/>
          <w:kern w:val="0"/>
          <w:sz w:val="32"/>
          <w:szCs w:val="32"/>
          <w:lang w:eastAsia="zh-CN"/>
        </w:rPr>
        <w:t>理论</w:t>
      </w:r>
      <w:r>
        <w:rPr>
          <w:rFonts w:hint="eastAsia" w:ascii="仿宋_GB2312" w:hAnsi="仿宋_GB2312" w:eastAsia="仿宋_GB2312" w:cs="仿宋_GB2312"/>
          <w:kern w:val="0"/>
          <w:sz w:val="32"/>
          <w:szCs w:val="32"/>
        </w:rPr>
        <w:t>中心组学习内容，通过理论中心组学习、机关干部法治培训等方式，加强权威读本的学习宣传工作,推动街道领导干部带头学习，模范践行，深化理论联系实际，加快提升领导干部的依法行政能力。</w:t>
      </w:r>
    </w:p>
    <w:p w14:paraId="3F031AD2">
      <w:pPr>
        <w:tabs>
          <w:tab w:val="left" w:pos="440"/>
        </w:tabs>
        <w:ind w:firstLine="643"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2、强化法治宣传教育。</w:t>
      </w:r>
      <w:r>
        <w:rPr>
          <w:rFonts w:hint="eastAsia" w:ascii="仿宋_GB2312" w:hAnsi="仿宋_GB2312" w:eastAsia="仿宋_GB2312" w:cs="仿宋_GB2312"/>
          <w:kern w:val="0"/>
          <w:sz w:val="32"/>
          <w:szCs w:val="32"/>
          <w:lang w:val="en-US" w:eastAsia="zh-CN" w:bidi="ar-SA"/>
        </w:rPr>
        <w:t>创新法治宣传教育形式，结合街道实际和群众需求，开展形式多样、丰富多彩的法治宣传教育活动，提高法治宣传教育的吸引力和感染力。</w:t>
      </w:r>
    </w:p>
    <w:p w14:paraId="1FBC0E08">
      <w:pPr>
        <w:tabs>
          <w:tab w:val="left" w:pos="440"/>
        </w:tabs>
        <w:ind w:firstLine="643"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3、充分发挥法律顾问作用。</w:t>
      </w:r>
      <w:r>
        <w:rPr>
          <w:rFonts w:hint="eastAsia" w:ascii="仿宋_GB2312" w:hAnsi="仿宋_GB2312" w:eastAsia="仿宋_GB2312" w:cs="仿宋_GB2312"/>
          <w:kern w:val="0"/>
          <w:sz w:val="32"/>
          <w:szCs w:val="32"/>
          <w:lang w:val="en-US" w:eastAsia="zh-CN" w:bidi="ar-SA"/>
        </w:rPr>
        <w:t>做精做实“一社区一法律顾问”工作，推动社区法律顾问在法律咨询、普法宣传、参与调解等工作中积极发挥作用。常态化组织法律顾问开展普法宣传，参与矛盾纠纷排查调处、信访案件化解，有效促进矛盾纠纷化解及社会和谐稳定。</w:t>
      </w:r>
    </w:p>
    <w:p w14:paraId="684DCDF5">
      <w:pPr>
        <w:tabs>
          <w:tab w:val="left" w:pos="440"/>
        </w:tabs>
        <w:ind w:firstLine="643" w:firstLineChars="200"/>
        <w:rPr>
          <w:rFonts w:hint="eastAsia" w:ascii="仿宋_GB2312" w:hAnsi="微软雅黑" w:eastAsia="仿宋_GB2312"/>
          <w:sz w:val="32"/>
          <w:szCs w:val="32"/>
        </w:rPr>
      </w:pPr>
      <w:r>
        <w:rPr>
          <w:rFonts w:hint="eastAsia" w:ascii="楷体_GB2312" w:hAnsi="仿宋_GB2312" w:eastAsia="楷体_GB2312" w:cs="仿宋_GB2312"/>
          <w:b/>
          <w:bCs/>
          <w:kern w:val="0"/>
          <w:sz w:val="32"/>
          <w:szCs w:val="32"/>
          <w:lang w:val="en-US" w:eastAsia="zh-CN"/>
        </w:rPr>
        <w:t>4、</w:t>
      </w:r>
      <w:r>
        <w:rPr>
          <w:rFonts w:hint="eastAsia" w:ascii="楷体_GB2312" w:hAnsi="仿宋_GB2312" w:eastAsia="楷体_GB2312" w:cs="仿宋_GB2312"/>
          <w:b/>
          <w:bCs/>
          <w:kern w:val="0"/>
          <w:sz w:val="32"/>
          <w:szCs w:val="32"/>
        </w:rPr>
        <w:t>构建法治</w:t>
      </w:r>
      <w:r>
        <w:rPr>
          <w:rFonts w:hint="eastAsia" w:ascii="楷体_GB2312" w:hAnsi="仿宋_GB2312" w:eastAsia="楷体_GB2312" w:cs="仿宋_GB2312"/>
          <w:b/>
          <w:bCs/>
          <w:kern w:val="0"/>
          <w:sz w:val="32"/>
          <w:szCs w:val="32"/>
          <w:lang w:eastAsia="zh-CN"/>
        </w:rPr>
        <w:t>化</w:t>
      </w:r>
      <w:r>
        <w:rPr>
          <w:rFonts w:hint="eastAsia" w:ascii="楷体_GB2312" w:hAnsi="仿宋_GB2312" w:eastAsia="楷体_GB2312" w:cs="仿宋_GB2312"/>
          <w:b/>
          <w:bCs/>
          <w:kern w:val="0"/>
          <w:sz w:val="32"/>
          <w:szCs w:val="32"/>
        </w:rPr>
        <w:t>营商环境。</w:t>
      </w:r>
      <w:r>
        <w:rPr>
          <w:rFonts w:hint="eastAsia" w:ascii="仿宋_GB2312" w:hAnsi="仿宋_GB2312" w:eastAsia="仿宋_GB2312" w:cs="仿宋_GB2312"/>
          <w:bCs/>
          <w:kern w:val="0"/>
          <w:sz w:val="32"/>
          <w:szCs w:val="32"/>
        </w:rPr>
        <w:t>提高</w:t>
      </w:r>
      <w:r>
        <w:rPr>
          <w:rFonts w:hint="eastAsia" w:ascii="仿宋_GB2312" w:hAnsi="微软雅黑" w:eastAsia="仿宋_GB2312"/>
          <w:sz w:val="32"/>
          <w:szCs w:val="32"/>
        </w:rPr>
        <w:t>政务服务标准化、规范化、便利化，推进政府机构、职能、权限、程序、责任法定化。广泛开展优化营商环境的政策与法规宣传，全面落实行政执法“三项制度”，加大对经营主体合法权益保护，鼓励当事人主动纠正违法失信行为、消除不良影响、重塑良好信用，切实用法治促进形成诚实守信的社会风尚。</w:t>
      </w:r>
    </w:p>
    <w:p w14:paraId="4AA867B1">
      <w:pPr>
        <w:ind w:firstLine="643" w:firstLineChars="200"/>
        <w:rPr>
          <w:rFonts w:ascii="仿宋_GB2312" w:hAnsi="仿宋_GB2312" w:eastAsia="仿宋_GB2312" w:cs="仿宋_GB2312"/>
          <w:sz w:val="32"/>
          <w:szCs w:val="32"/>
        </w:rPr>
      </w:pPr>
      <w:r>
        <w:rPr>
          <w:rFonts w:hint="eastAsia" w:ascii="楷体_GB2312" w:hAnsi="仿宋_GB2312" w:eastAsia="楷体_GB2312" w:cs="仿宋_GB2312"/>
          <w:b/>
          <w:bCs/>
          <w:kern w:val="0"/>
          <w:sz w:val="32"/>
          <w:szCs w:val="32"/>
          <w:lang w:val="en-US" w:eastAsia="zh-CN"/>
        </w:rPr>
        <w:t>5</w:t>
      </w:r>
      <w:r>
        <w:rPr>
          <w:rFonts w:hint="eastAsia" w:ascii="楷体_GB2312" w:hAnsi="仿宋_GB2312" w:eastAsia="楷体_GB2312" w:cs="仿宋_GB2312"/>
          <w:b/>
          <w:bCs/>
          <w:kern w:val="0"/>
          <w:sz w:val="32"/>
          <w:szCs w:val="32"/>
        </w:rPr>
        <w:t>、立足群众诉求，依法开展基层社会治理。</w:t>
      </w:r>
      <w:r>
        <w:rPr>
          <w:rFonts w:hint="eastAsia" w:ascii="仿宋_GB2312" w:hAnsi="仿宋_GB2312" w:eastAsia="仿宋_GB2312" w:cs="仿宋_GB2312"/>
          <w:sz w:val="32"/>
          <w:szCs w:val="32"/>
        </w:rPr>
        <w:t>践行以人民为中心的发展思想，拓宽收集诉求渠道，主动倾听群众心声，依法做好接诉即办各项工作，努力解决群众急事、要事、难事，奋力答好辖区高质量发展答卷。</w:t>
      </w:r>
    </w:p>
    <w:p w14:paraId="67DF3176">
      <w:pPr>
        <w:pStyle w:val="10"/>
        <w:widowControl/>
        <w:spacing w:beforeAutospacing="0" w:afterAutospacing="0"/>
        <w:ind w:firstLine="640" w:firstLineChars="200"/>
        <w:jc w:val="both"/>
        <w:rPr>
          <w:rFonts w:hint="eastAsia" w:ascii="黑体" w:hAnsi="黑体" w:eastAsia="黑体" w:cs="黑体"/>
          <w:bCs/>
          <w:kern w:val="2"/>
          <w:sz w:val="32"/>
          <w:szCs w:val="32"/>
        </w:rPr>
      </w:pPr>
      <w:r>
        <w:rPr>
          <w:rFonts w:hint="eastAsia" w:ascii="黑体" w:hAnsi="黑体" w:eastAsia="黑体" w:cs="黑体"/>
          <w:bCs/>
          <w:kern w:val="2"/>
          <w:sz w:val="32"/>
          <w:szCs w:val="32"/>
          <w:lang w:eastAsia="zh-CN"/>
        </w:rPr>
        <w:t>四</w:t>
      </w:r>
      <w:r>
        <w:rPr>
          <w:rFonts w:hint="eastAsia" w:ascii="黑体" w:hAnsi="黑体" w:eastAsia="黑体" w:cs="黑体"/>
          <w:bCs/>
          <w:kern w:val="2"/>
          <w:sz w:val="32"/>
          <w:szCs w:val="32"/>
        </w:rPr>
        <w:t>、2024年度报告中所列问题与不足的整改情况</w:t>
      </w:r>
    </w:p>
    <w:p w14:paraId="37FF9E14">
      <w:pPr>
        <w:pStyle w:val="10"/>
        <w:widowControl/>
        <w:spacing w:beforeAutospacing="0" w:afterAutospacing="0" w:line="560" w:lineRule="exact"/>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针对2024年报告</w:t>
      </w:r>
      <w:bookmarkStart w:id="0" w:name="_GoBack"/>
      <w:bookmarkEnd w:id="0"/>
      <w:r>
        <w:rPr>
          <w:rFonts w:hint="eastAsia" w:ascii="仿宋_GB2312" w:hAnsi="仿宋_GB2312" w:eastAsia="仿宋_GB2312" w:cs="仿宋_GB2312"/>
          <w:sz w:val="32"/>
          <w:szCs w:val="32"/>
        </w:rPr>
        <w:t>指出的问题，</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街道在2025年采取了以下整改措施并取得</w:t>
      </w:r>
      <w:r>
        <w:rPr>
          <w:rFonts w:hint="eastAsia" w:ascii="仿宋_GB2312" w:hAnsi="仿宋_GB2312" w:eastAsia="仿宋_GB2312" w:cs="仿宋_GB2312"/>
          <w:sz w:val="32"/>
          <w:szCs w:val="32"/>
          <w:lang w:eastAsia="zh-CN"/>
        </w:rPr>
        <w:t>一定</w:t>
      </w:r>
      <w:r>
        <w:rPr>
          <w:rFonts w:hint="eastAsia" w:ascii="仿宋_GB2312" w:hAnsi="仿宋_GB2312" w:eastAsia="仿宋_GB2312" w:cs="仿宋_GB2312"/>
          <w:sz w:val="32"/>
          <w:szCs w:val="32"/>
        </w:rPr>
        <w:t>实效</w:t>
      </w:r>
      <w:r>
        <w:rPr>
          <w:rFonts w:hint="eastAsia" w:ascii="仿宋_GB2312" w:hAnsi="仿宋_GB2312" w:eastAsia="仿宋_GB2312" w:cs="仿宋_GB2312"/>
          <w:sz w:val="32"/>
          <w:szCs w:val="32"/>
          <w:lang w:eastAsia="zh-CN"/>
        </w:rPr>
        <w:t>。</w:t>
      </w:r>
    </w:p>
    <w:p w14:paraId="52DF6EF6">
      <w:pPr>
        <w:pStyle w:val="10"/>
        <w:widowControl/>
        <w:spacing w:beforeAutospacing="0" w:afterAutospacing="0" w:line="5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针对“普法形式单一”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rPr>
        <w:t>创新宣传模式。</w:t>
      </w:r>
      <w:r>
        <w:rPr>
          <w:rFonts w:hint="eastAsia" w:ascii="仿宋_GB2312" w:hAnsi="仿宋_GB2312" w:eastAsia="仿宋_GB2312" w:cs="仿宋_GB2312"/>
          <w:sz w:val="32"/>
          <w:szCs w:val="32"/>
        </w:rPr>
        <w:t xml:space="preserve"> 打造线上线下融合的普法</w:t>
      </w:r>
      <w:r>
        <w:rPr>
          <w:rFonts w:hint="eastAsia" w:ascii="仿宋_GB2312" w:hAnsi="仿宋_GB2312" w:eastAsia="仿宋_GB2312" w:cs="仿宋_GB2312"/>
          <w:sz w:val="32"/>
          <w:szCs w:val="32"/>
          <w:lang w:eastAsia="zh-CN"/>
        </w:rPr>
        <w:t>模式</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eastAsia="zh-CN"/>
        </w:rPr>
        <w:t>公众号</w:t>
      </w:r>
      <w:r>
        <w:rPr>
          <w:rFonts w:hint="eastAsia" w:ascii="仿宋_GB2312" w:hAnsi="仿宋_GB2312" w:eastAsia="仿宋_GB2312" w:cs="仿宋_GB2312"/>
          <w:sz w:val="32"/>
          <w:szCs w:val="32"/>
        </w:rPr>
        <w:t>、短视频</w:t>
      </w:r>
      <w:r>
        <w:rPr>
          <w:rFonts w:hint="eastAsia" w:ascii="仿宋_GB2312" w:hAnsi="仿宋_GB2312" w:eastAsia="仿宋_GB2312" w:cs="仿宋_GB2312"/>
          <w:sz w:val="32"/>
          <w:szCs w:val="32"/>
          <w:lang w:eastAsia="zh-CN"/>
        </w:rPr>
        <w:t>、剪纸、书法</w:t>
      </w:r>
      <w:r>
        <w:rPr>
          <w:rFonts w:hint="eastAsia" w:ascii="仿宋_GB2312" w:hAnsi="仿宋_GB2312" w:eastAsia="仿宋_GB2312" w:cs="仿宋_GB2312"/>
          <w:sz w:val="32"/>
          <w:szCs w:val="32"/>
        </w:rPr>
        <w:t>等方式开展</w:t>
      </w:r>
      <w:r>
        <w:rPr>
          <w:rFonts w:hint="eastAsia" w:ascii="仿宋_GB2312" w:hAnsi="仿宋_GB2312" w:eastAsia="仿宋_GB2312" w:cs="仿宋_GB2312"/>
          <w:sz w:val="32"/>
          <w:szCs w:val="32"/>
          <w:lang w:eastAsia="zh-CN"/>
        </w:rPr>
        <w:t>普法宣传。依托社区、村已有的宣传、活动阵地，因地制宜设置法治宣传栏，完善万丰公园青少年法治基地，</w:t>
      </w:r>
      <w:r>
        <w:rPr>
          <w:rFonts w:hint="eastAsia" w:ascii="仿宋_GB2312" w:hAnsi="仿宋_GB2312" w:eastAsia="仿宋_GB2312" w:cs="仿宋_GB2312"/>
          <w:sz w:val="32"/>
          <w:szCs w:val="32"/>
        </w:rPr>
        <w:t>建设</w:t>
      </w:r>
      <w:r>
        <w:rPr>
          <w:rFonts w:hint="eastAsia" w:ascii="仿宋_GB2312" w:hAnsi="仿宋_GB2312" w:eastAsia="仿宋_GB2312" w:cs="仿宋_GB2312"/>
          <w:sz w:val="32"/>
          <w:szCs w:val="32"/>
          <w:lang w:eastAsia="zh-CN"/>
        </w:rPr>
        <w:t>商务楼宇</w:t>
      </w:r>
      <w:r>
        <w:rPr>
          <w:rFonts w:hint="eastAsia" w:ascii="仿宋_GB2312" w:hAnsi="仿宋_GB2312" w:eastAsia="仿宋_GB2312" w:cs="仿宋_GB2312"/>
          <w:sz w:val="32"/>
          <w:szCs w:val="32"/>
        </w:rPr>
        <w:t>法治阵地，普法覆盖面与吸引力显著增强。</w:t>
      </w:r>
    </w:p>
    <w:p w14:paraId="5FDA0B6B">
      <w:pPr>
        <w:pStyle w:val="10"/>
        <w:widowControl/>
        <w:spacing w:beforeAutospacing="0" w:afterAutospacing="0" w:line="560" w:lineRule="exact"/>
        <w:ind w:firstLine="5120" w:firstLineChars="1600"/>
        <w:jc w:val="both"/>
        <w:rPr>
          <w:rFonts w:hint="eastAsia" w:ascii="仿宋_GB2312" w:hAnsi="仿宋_GB2312" w:eastAsia="仿宋_GB2312" w:cs="仿宋_GB2312"/>
          <w:sz w:val="32"/>
          <w:szCs w:val="32"/>
        </w:rPr>
      </w:pPr>
    </w:p>
    <w:p w14:paraId="4F3CD6FC">
      <w:pPr>
        <w:pStyle w:val="10"/>
        <w:widowControl/>
        <w:spacing w:beforeAutospacing="0" w:afterAutospacing="0" w:line="560" w:lineRule="exact"/>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针对“人员素质待提高”</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实施精准培训。 通过“</w:t>
      </w:r>
      <w:r>
        <w:rPr>
          <w:rFonts w:hint="eastAsia" w:ascii="仿宋_GB2312" w:hAnsi="仿宋_GB2312" w:eastAsia="仿宋_GB2312" w:cs="仿宋_GB2312"/>
          <w:sz w:val="32"/>
          <w:szCs w:val="32"/>
          <w:lang w:eastAsia="zh-CN"/>
        </w:rPr>
        <w:t>讲座</w:t>
      </w:r>
      <w:r>
        <w:rPr>
          <w:rFonts w:hint="eastAsia" w:ascii="仿宋_GB2312" w:hAnsi="仿宋_GB2312" w:eastAsia="仿宋_GB2312" w:cs="仿宋_GB2312"/>
          <w:sz w:val="32"/>
          <w:szCs w:val="32"/>
        </w:rPr>
        <w:t>及线上学习，对执法人员开展全覆盖</w:t>
      </w:r>
      <w:r>
        <w:rPr>
          <w:rFonts w:hint="eastAsia" w:ascii="仿宋_GB2312" w:hAnsi="仿宋_GB2312" w:eastAsia="仿宋_GB2312" w:cs="仿宋_GB2312"/>
          <w:sz w:val="32"/>
          <w:szCs w:val="32"/>
          <w:lang w:eastAsia="zh-CN"/>
        </w:rPr>
        <w:t>培训</w:t>
      </w:r>
      <w:r>
        <w:rPr>
          <w:rFonts w:hint="eastAsia" w:ascii="仿宋_GB2312" w:hAnsi="仿宋_GB2312" w:eastAsia="仿宋_GB2312" w:cs="仿宋_GB2312"/>
          <w:sz w:val="32"/>
          <w:szCs w:val="32"/>
        </w:rPr>
        <w:t>。提升了执法规范化水平，全年参训近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人次，执法质量明显进步。</w:t>
      </w:r>
    </w:p>
    <w:p w14:paraId="2F3F3EC9">
      <w:pPr>
        <w:pStyle w:val="10"/>
        <w:widowControl/>
        <w:spacing w:beforeAutospacing="0" w:afterAutospacing="0" w:line="560" w:lineRule="exact"/>
        <w:ind w:firstLine="643" w:firstLineChars="200"/>
        <w:jc w:val="both"/>
        <w:rPr>
          <w:rFonts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针对“司法所力量不足”</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强化队伍建设与审核机制。 优化人员配置，严格执行司法所长列席街道会议、法律顾问审核等制度，全年审核合同</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rPr>
        <w:t>余份。深化</w:t>
      </w:r>
      <w:r>
        <w:rPr>
          <w:rFonts w:hint="eastAsia" w:ascii="仿宋_GB2312" w:hAnsi="仿宋_GB2312" w:eastAsia="仿宋_GB2312" w:cs="仿宋_GB2312"/>
          <w:sz w:val="32"/>
          <w:szCs w:val="32"/>
          <w:lang w:eastAsia="zh-CN"/>
        </w:rPr>
        <w:t>与派出所联动</w:t>
      </w:r>
      <w:r>
        <w:rPr>
          <w:rFonts w:hint="eastAsia" w:ascii="仿宋_GB2312" w:hAnsi="仿宋_GB2312" w:eastAsia="仿宋_GB2312" w:cs="仿宋_GB2312"/>
          <w:sz w:val="32"/>
          <w:szCs w:val="32"/>
        </w:rPr>
        <w:t>机制，矛盾纠纷调解成功率达</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%，法制审核与执法监督效能切实增强。</w:t>
      </w:r>
    </w:p>
    <w:p w14:paraId="6E361B0C">
      <w:pPr>
        <w:pStyle w:val="10"/>
        <w:widowControl/>
        <w:spacing w:beforeAutospacing="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通过2025年的努力，我街道在法治宣传创新、专业人员素质提升和司法所建设方面取得了显著成效。但法治政府建设是一项长期任务，下一步，我街道将继续深入贯彻落实习近平法治思想，持续深化整改措施，不断完善法治政府建设，推动街道法治政府建设再上新台阶。</w:t>
      </w:r>
    </w:p>
    <w:p w14:paraId="51ADDBE5">
      <w:pPr>
        <w:pStyle w:val="10"/>
        <w:widowControl/>
        <w:spacing w:beforeAutospacing="0" w:afterAutospacing="0" w:line="560" w:lineRule="exact"/>
        <w:ind w:firstLine="5120" w:firstLineChars="1600"/>
        <w:jc w:val="both"/>
        <w:rPr>
          <w:rFonts w:ascii="仿宋_GB2312" w:hAnsi="仿宋_GB2312" w:eastAsia="仿宋_GB2312" w:cs="仿宋_GB2312"/>
          <w:sz w:val="32"/>
          <w:szCs w:val="32"/>
        </w:rPr>
      </w:pPr>
    </w:p>
    <w:p w14:paraId="26D9E7BF">
      <w:pPr>
        <w:pStyle w:val="10"/>
        <w:widowControl/>
        <w:spacing w:beforeAutospacing="0" w:afterAutospacing="0" w:line="560" w:lineRule="exact"/>
        <w:ind w:firstLine="5120" w:firstLineChars="16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六里桥街道办事处</w:t>
      </w:r>
    </w:p>
    <w:p w14:paraId="04EB0008">
      <w:pPr>
        <w:pStyle w:val="10"/>
        <w:widowControl/>
        <w:spacing w:beforeAutospacing="0" w:afterAutospacing="0"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二〇二</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年十二月二十</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黑体"/>
    <w:panose1 w:val="02010609060101010101"/>
    <w:charset w:val="86"/>
    <w:family w:val="auto"/>
    <w:pitch w:val="default"/>
    <w:sig w:usb0="800002BF" w:usb1="38CF7CFA" w:usb2="00000016" w:usb3="00000000" w:csb0="00040001" w:csb1="00000000"/>
    <w:embedRegular r:id="rId1" w:fontKey="{2E99CBD4-A427-43E8-ADA5-3EC096FDD4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BD7219A-5D6C-4D97-9077-63D5CE9D3F86}"/>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embedRegular r:id="rId3" w:fontKey="{07EE027F-EA0C-4CD6-864A-CDD76AA083C3}"/>
  </w:font>
  <w:font w:name="方正仿宋_GB2312">
    <w:altName w:val="仿宋"/>
    <w:panose1 w:val="00000000000000000000"/>
    <w:charset w:val="86"/>
    <w:family w:val="auto"/>
    <w:pitch w:val="default"/>
    <w:sig w:usb0="00000000" w:usb1="00000000" w:usb2="00000012" w:usb3="00000000" w:csb0="00040001" w:csb1="00000000"/>
    <w:embedRegular r:id="rId4" w:fontKey="{536A59F8-85DD-412B-8779-D8B9402BBC47}"/>
  </w:font>
  <w:font w:name="仿宋">
    <w:panose1 w:val="02010609060101010101"/>
    <w:charset w:val="86"/>
    <w:family w:val="modern"/>
    <w:pitch w:val="default"/>
    <w:sig w:usb0="800002BF" w:usb1="38CF7CFA" w:usb2="00000016" w:usb3="00000000" w:csb0="00040001" w:csb1="00000000"/>
    <w:embedRegular r:id="rId5" w:fontKey="{282E36DB-E209-400B-8ACE-5405174C47B0}"/>
  </w:font>
  <w:font w:name="楷体_GB2312">
    <w:altName w:val="微软雅黑"/>
    <w:panose1 w:val="02010609030101010101"/>
    <w:charset w:val="86"/>
    <w:family w:val="modern"/>
    <w:pitch w:val="default"/>
    <w:sig w:usb0="00000001" w:usb1="080E0000" w:usb2="00000000" w:usb3="00000000" w:csb0="00040000" w:csb1="00000000"/>
    <w:embedRegular r:id="rId6" w:fontKey="{1B58DA91-372C-4316-A776-EDC0F8613D48}"/>
  </w:font>
  <w:font w:name="微软雅黑">
    <w:panose1 w:val="020B0503020204020204"/>
    <w:charset w:val="86"/>
    <w:family w:val="swiss"/>
    <w:pitch w:val="default"/>
    <w:sig w:usb0="80000287" w:usb1="280F3C52" w:usb2="00000016" w:usb3="00000000" w:csb0="0004001F" w:csb1="00000000"/>
    <w:embedRegular r:id="rId7" w:fontKey="{3711D5FE-C1FD-444A-ADE5-0F353DC29993}"/>
  </w:font>
  <w:font w:name="WPSEMBED3">
    <w:panose1 w:val="02010609060101010101"/>
    <w:charset w:val="86"/>
    <w:family w:val="auto"/>
    <w:pitch w:val="default"/>
    <w:sig w:usb0="800002BF" w:usb1="38CF7CFA" w:usb2="00000016" w:usb3="00000000" w:csb0="00040001" w:csb1="00000000"/>
  </w:font>
  <w:font w:name="WPSEMBED4">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embedRegular r:id="rId8" w:fontKey="{D61B1DA1-AA9A-4457-BB49-9EE334FB2F6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29002562"/>
      <w:docPartObj>
        <w:docPartGallery w:val="autotext"/>
      </w:docPartObj>
    </w:sdtPr>
    <w:sdtContent>
      <w:p w14:paraId="1D2E7BC7">
        <w:pPr>
          <w:pStyle w:val="7"/>
          <w:jc w:val="center"/>
        </w:pPr>
        <w:r>
          <w:fldChar w:fldCharType="begin"/>
        </w:r>
        <w:r>
          <w:instrText xml:space="preserve">PAGE   \* MERGEFORMAT</w:instrText>
        </w:r>
        <w:r>
          <w:fldChar w:fldCharType="separate"/>
        </w:r>
        <w:r>
          <w:rPr>
            <w:lang w:val="zh-CN"/>
          </w:rPr>
          <w:t>2</w:t>
        </w:r>
        <w:r>
          <w:fldChar w:fldCharType="end"/>
        </w:r>
      </w:p>
    </w:sdtContent>
  </w:sdt>
  <w:p w14:paraId="5343C8FD">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0ZjRkY2U0MTc0ZTQ5YjI2ZWYyODgzYTIxMTE2MjMifQ=="/>
  </w:docVars>
  <w:rsids>
    <w:rsidRoot w:val="23C4666F"/>
    <w:rsid w:val="00025AB4"/>
    <w:rsid w:val="00076E52"/>
    <w:rsid w:val="0008585E"/>
    <w:rsid w:val="00095336"/>
    <w:rsid w:val="000D63B2"/>
    <w:rsid w:val="00101FC7"/>
    <w:rsid w:val="00145B4E"/>
    <w:rsid w:val="001B10AA"/>
    <w:rsid w:val="002046C1"/>
    <w:rsid w:val="00211805"/>
    <w:rsid w:val="002970F0"/>
    <w:rsid w:val="002E01C1"/>
    <w:rsid w:val="00307E06"/>
    <w:rsid w:val="00380C07"/>
    <w:rsid w:val="003F1817"/>
    <w:rsid w:val="0047442B"/>
    <w:rsid w:val="004865A6"/>
    <w:rsid w:val="00487B6A"/>
    <w:rsid w:val="0053302F"/>
    <w:rsid w:val="00570302"/>
    <w:rsid w:val="00606E74"/>
    <w:rsid w:val="006333C7"/>
    <w:rsid w:val="00636B8B"/>
    <w:rsid w:val="00660AAB"/>
    <w:rsid w:val="006776E6"/>
    <w:rsid w:val="006B79AE"/>
    <w:rsid w:val="006C0320"/>
    <w:rsid w:val="00704BE1"/>
    <w:rsid w:val="00740E22"/>
    <w:rsid w:val="00773C1C"/>
    <w:rsid w:val="00782E1D"/>
    <w:rsid w:val="007C39BF"/>
    <w:rsid w:val="007C7045"/>
    <w:rsid w:val="007E5B51"/>
    <w:rsid w:val="007F12FD"/>
    <w:rsid w:val="00877ED9"/>
    <w:rsid w:val="00943209"/>
    <w:rsid w:val="009C51BA"/>
    <w:rsid w:val="009E2DB0"/>
    <w:rsid w:val="00A1096B"/>
    <w:rsid w:val="00A141C3"/>
    <w:rsid w:val="00AD7570"/>
    <w:rsid w:val="00B21AFB"/>
    <w:rsid w:val="00BD7F37"/>
    <w:rsid w:val="00C05DB8"/>
    <w:rsid w:val="00C117EA"/>
    <w:rsid w:val="00C23F0A"/>
    <w:rsid w:val="00C34572"/>
    <w:rsid w:val="00C75318"/>
    <w:rsid w:val="00CF0FB3"/>
    <w:rsid w:val="00DC3216"/>
    <w:rsid w:val="00DD36A3"/>
    <w:rsid w:val="00DE4209"/>
    <w:rsid w:val="00DF526B"/>
    <w:rsid w:val="00EA314C"/>
    <w:rsid w:val="00EA627B"/>
    <w:rsid w:val="00EC0BB2"/>
    <w:rsid w:val="00F35C36"/>
    <w:rsid w:val="00F854A6"/>
    <w:rsid w:val="00FE7931"/>
    <w:rsid w:val="02105DD0"/>
    <w:rsid w:val="02714395"/>
    <w:rsid w:val="02750329"/>
    <w:rsid w:val="02BE0D65"/>
    <w:rsid w:val="03086AA8"/>
    <w:rsid w:val="0332621A"/>
    <w:rsid w:val="03BB6210"/>
    <w:rsid w:val="04A3117E"/>
    <w:rsid w:val="04A56E5D"/>
    <w:rsid w:val="04F85928"/>
    <w:rsid w:val="05002B6F"/>
    <w:rsid w:val="05412745"/>
    <w:rsid w:val="05EA4235"/>
    <w:rsid w:val="060078E9"/>
    <w:rsid w:val="06717C65"/>
    <w:rsid w:val="06B34F7C"/>
    <w:rsid w:val="076D3C67"/>
    <w:rsid w:val="07B216D8"/>
    <w:rsid w:val="07C27951"/>
    <w:rsid w:val="07CF62EF"/>
    <w:rsid w:val="07FE2B6F"/>
    <w:rsid w:val="08294536"/>
    <w:rsid w:val="086A3D60"/>
    <w:rsid w:val="08FE41F4"/>
    <w:rsid w:val="094C5B8E"/>
    <w:rsid w:val="097326CC"/>
    <w:rsid w:val="097C663E"/>
    <w:rsid w:val="09B5725D"/>
    <w:rsid w:val="0A64315D"/>
    <w:rsid w:val="0AA03A6A"/>
    <w:rsid w:val="0AD6392F"/>
    <w:rsid w:val="0B815649"/>
    <w:rsid w:val="0B9837F8"/>
    <w:rsid w:val="0CF06F2A"/>
    <w:rsid w:val="0D1F511A"/>
    <w:rsid w:val="0D4679F1"/>
    <w:rsid w:val="0E7E366C"/>
    <w:rsid w:val="10FE7D21"/>
    <w:rsid w:val="12FE7EC7"/>
    <w:rsid w:val="130B7EEE"/>
    <w:rsid w:val="14A5684C"/>
    <w:rsid w:val="14B5332E"/>
    <w:rsid w:val="15783F61"/>
    <w:rsid w:val="15842905"/>
    <w:rsid w:val="15EF58A5"/>
    <w:rsid w:val="1688488C"/>
    <w:rsid w:val="17B15508"/>
    <w:rsid w:val="17D631C0"/>
    <w:rsid w:val="17F63063"/>
    <w:rsid w:val="1841525A"/>
    <w:rsid w:val="189A1485"/>
    <w:rsid w:val="18A84B5D"/>
    <w:rsid w:val="18B21538"/>
    <w:rsid w:val="18CD6371"/>
    <w:rsid w:val="19166D99"/>
    <w:rsid w:val="199624B8"/>
    <w:rsid w:val="19E95742"/>
    <w:rsid w:val="1A3D12D5"/>
    <w:rsid w:val="1A903AFB"/>
    <w:rsid w:val="1AA2382E"/>
    <w:rsid w:val="1AC4394F"/>
    <w:rsid w:val="1AF000F5"/>
    <w:rsid w:val="1B703027"/>
    <w:rsid w:val="1B8F739D"/>
    <w:rsid w:val="1BF65BDF"/>
    <w:rsid w:val="1D9E2F6D"/>
    <w:rsid w:val="1DEF6D8A"/>
    <w:rsid w:val="1E524ABE"/>
    <w:rsid w:val="1EBB7078"/>
    <w:rsid w:val="1F1C595D"/>
    <w:rsid w:val="1F406AD1"/>
    <w:rsid w:val="1F4E188E"/>
    <w:rsid w:val="20CA2518"/>
    <w:rsid w:val="216435EB"/>
    <w:rsid w:val="228D26CE"/>
    <w:rsid w:val="23C4666F"/>
    <w:rsid w:val="242A28CA"/>
    <w:rsid w:val="246F29D3"/>
    <w:rsid w:val="248F6BD1"/>
    <w:rsid w:val="24E80F1F"/>
    <w:rsid w:val="24EE7D9B"/>
    <w:rsid w:val="24FB7DC2"/>
    <w:rsid w:val="250B2AF0"/>
    <w:rsid w:val="254774AC"/>
    <w:rsid w:val="25565C47"/>
    <w:rsid w:val="271C2272"/>
    <w:rsid w:val="27343A60"/>
    <w:rsid w:val="27FB47B4"/>
    <w:rsid w:val="28772FD2"/>
    <w:rsid w:val="28FC354A"/>
    <w:rsid w:val="29223568"/>
    <w:rsid w:val="296323DA"/>
    <w:rsid w:val="296F5223"/>
    <w:rsid w:val="2972384F"/>
    <w:rsid w:val="2A73381A"/>
    <w:rsid w:val="2A932366"/>
    <w:rsid w:val="2B146082"/>
    <w:rsid w:val="2B726905"/>
    <w:rsid w:val="2C962C9B"/>
    <w:rsid w:val="2C972AC7"/>
    <w:rsid w:val="2D59777F"/>
    <w:rsid w:val="2D671AAB"/>
    <w:rsid w:val="2EC41B6D"/>
    <w:rsid w:val="2EED69CE"/>
    <w:rsid w:val="2F43032D"/>
    <w:rsid w:val="2F5729E1"/>
    <w:rsid w:val="2F6A001E"/>
    <w:rsid w:val="2FE14059"/>
    <w:rsid w:val="30E81B43"/>
    <w:rsid w:val="31C64CB7"/>
    <w:rsid w:val="321317DD"/>
    <w:rsid w:val="329C3440"/>
    <w:rsid w:val="32BF3AE8"/>
    <w:rsid w:val="32DD4FAB"/>
    <w:rsid w:val="32E74D46"/>
    <w:rsid w:val="33727DEA"/>
    <w:rsid w:val="33C341A1"/>
    <w:rsid w:val="33F26834"/>
    <w:rsid w:val="34747D14"/>
    <w:rsid w:val="34781430"/>
    <w:rsid w:val="34D56612"/>
    <w:rsid w:val="35586B6B"/>
    <w:rsid w:val="359C114E"/>
    <w:rsid w:val="35F920FC"/>
    <w:rsid w:val="36426FC2"/>
    <w:rsid w:val="36E3011C"/>
    <w:rsid w:val="37C54278"/>
    <w:rsid w:val="384D4981"/>
    <w:rsid w:val="388E7BD9"/>
    <w:rsid w:val="38E075A3"/>
    <w:rsid w:val="38F8669B"/>
    <w:rsid w:val="3A5B15D7"/>
    <w:rsid w:val="3A6374E1"/>
    <w:rsid w:val="3B5F50F7"/>
    <w:rsid w:val="3BA70186"/>
    <w:rsid w:val="3C667DC0"/>
    <w:rsid w:val="3C7E335B"/>
    <w:rsid w:val="3C7F0E81"/>
    <w:rsid w:val="3CB11983"/>
    <w:rsid w:val="3CC71547"/>
    <w:rsid w:val="3D2D6B2F"/>
    <w:rsid w:val="3DE14071"/>
    <w:rsid w:val="3ED97245"/>
    <w:rsid w:val="3EF7492C"/>
    <w:rsid w:val="3FD96707"/>
    <w:rsid w:val="3FDA11F0"/>
    <w:rsid w:val="400E2984"/>
    <w:rsid w:val="40575BCB"/>
    <w:rsid w:val="409970B9"/>
    <w:rsid w:val="446E63AB"/>
    <w:rsid w:val="44A45929"/>
    <w:rsid w:val="44BE5DD5"/>
    <w:rsid w:val="44ED6924"/>
    <w:rsid w:val="44F87A23"/>
    <w:rsid w:val="45322F35"/>
    <w:rsid w:val="45763769"/>
    <w:rsid w:val="461A0599"/>
    <w:rsid w:val="469344A1"/>
    <w:rsid w:val="46B300A5"/>
    <w:rsid w:val="46D87B0C"/>
    <w:rsid w:val="46E24C8C"/>
    <w:rsid w:val="481908AA"/>
    <w:rsid w:val="486712E8"/>
    <w:rsid w:val="49865F45"/>
    <w:rsid w:val="49AD702E"/>
    <w:rsid w:val="4A1D0657"/>
    <w:rsid w:val="4A802994"/>
    <w:rsid w:val="4AA2290B"/>
    <w:rsid w:val="4AEB61C1"/>
    <w:rsid w:val="4B472048"/>
    <w:rsid w:val="4B6978CC"/>
    <w:rsid w:val="4B7778F3"/>
    <w:rsid w:val="4B7E045A"/>
    <w:rsid w:val="4CE27936"/>
    <w:rsid w:val="4CFB1DE6"/>
    <w:rsid w:val="4D106251"/>
    <w:rsid w:val="4E2D2E33"/>
    <w:rsid w:val="4E4372D5"/>
    <w:rsid w:val="4E742810"/>
    <w:rsid w:val="4EDE2193"/>
    <w:rsid w:val="4EE51018"/>
    <w:rsid w:val="4F656FD4"/>
    <w:rsid w:val="4F81568C"/>
    <w:rsid w:val="50714FD3"/>
    <w:rsid w:val="5095081C"/>
    <w:rsid w:val="50AA076B"/>
    <w:rsid w:val="51505A58"/>
    <w:rsid w:val="51954A02"/>
    <w:rsid w:val="52097713"/>
    <w:rsid w:val="52360AEF"/>
    <w:rsid w:val="52770B21"/>
    <w:rsid w:val="528F5286"/>
    <w:rsid w:val="5294763D"/>
    <w:rsid w:val="52BD2F9B"/>
    <w:rsid w:val="536C1D08"/>
    <w:rsid w:val="539A4AC7"/>
    <w:rsid w:val="541A1191"/>
    <w:rsid w:val="55436A98"/>
    <w:rsid w:val="56927CD7"/>
    <w:rsid w:val="56DA7D27"/>
    <w:rsid w:val="57B10631"/>
    <w:rsid w:val="57E427B4"/>
    <w:rsid w:val="587873A1"/>
    <w:rsid w:val="58C6010C"/>
    <w:rsid w:val="5943175D"/>
    <w:rsid w:val="5A821E11"/>
    <w:rsid w:val="5ADA7E9F"/>
    <w:rsid w:val="5C3B2BBF"/>
    <w:rsid w:val="5D0C19F1"/>
    <w:rsid w:val="5D3C6BEF"/>
    <w:rsid w:val="5D8A2CFB"/>
    <w:rsid w:val="5DA84550"/>
    <w:rsid w:val="5E850121"/>
    <w:rsid w:val="5EE4753E"/>
    <w:rsid w:val="5EF04BE3"/>
    <w:rsid w:val="5EF05EE3"/>
    <w:rsid w:val="5FBC7C8B"/>
    <w:rsid w:val="5FE315A4"/>
    <w:rsid w:val="5FEA0B84"/>
    <w:rsid w:val="5FEB66AA"/>
    <w:rsid w:val="605F28A6"/>
    <w:rsid w:val="607B7A2E"/>
    <w:rsid w:val="60DB671F"/>
    <w:rsid w:val="614C732A"/>
    <w:rsid w:val="61BA07B9"/>
    <w:rsid w:val="62D00E29"/>
    <w:rsid w:val="6305399C"/>
    <w:rsid w:val="63F65B2F"/>
    <w:rsid w:val="64030466"/>
    <w:rsid w:val="64134E27"/>
    <w:rsid w:val="641F4B74"/>
    <w:rsid w:val="66171FA7"/>
    <w:rsid w:val="66A55198"/>
    <w:rsid w:val="66EC3434"/>
    <w:rsid w:val="66FB5425"/>
    <w:rsid w:val="67544B35"/>
    <w:rsid w:val="67955879"/>
    <w:rsid w:val="67DF6AF4"/>
    <w:rsid w:val="686B482C"/>
    <w:rsid w:val="68BE2BAE"/>
    <w:rsid w:val="68C006D4"/>
    <w:rsid w:val="69756720"/>
    <w:rsid w:val="69790883"/>
    <w:rsid w:val="69821E2D"/>
    <w:rsid w:val="6A587C04"/>
    <w:rsid w:val="6A7F636D"/>
    <w:rsid w:val="6B39476E"/>
    <w:rsid w:val="6B3B04E6"/>
    <w:rsid w:val="6D564FAA"/>
    <w:rsid w:val="6D611D5A"/>
    <w:rsid w:val="6D836174"/>
    <w:rsid w:val="6DBD1FDD"/>
    <w:rsid w:val="6DFA4688"/>
    <w:rsid w:val="6E0024B1"/>
    <w:rsid w:val="6E041063"/>
    <w:rsid w:val="6E224699"/>
    <w:rsid w:val="6E5450E9"/>
    <w:rsid w:val="6E565636"/>
    <w:rsid w:val="6E9973E0"/>
    <w:rsid w:val="6FAA79E8"/>
    <w:rsid w:val="6FB30672"/>
    <w:rsid w:val="6FDE58E3"/>
    <w:rsid w:val="6FF670D1"/>
    <w:rsid w:val="70F52EE5"/>
    <w:rsid w:val="711041C2"/>
    <w:rsid w:val="712F63C0"/>
    <w:rsid w:val="715A543E"/>
    <w:rsid w:val="718F158B"/>
    <w:rsid w:val="71D21648"/>
    <w:rsid w:val="71EF7BAE"/>
    <w:rsid w:val="731F1EA5"/>
    <w:rsid w:val="73FC458A"/>
    <w:rsid w:val="74F2076F"/>
    <w:rsid w:val="750A2CD7"/>
    <w:rsid w:val="750B717B"/>
    <w:rsid w:val="75E63744"/>
    <w:rsid w:val="760D6F22"/>
    <w:rsid w:val="7634617E"/>
    <w:rsid w:val="76424E1E"/>
    <w:rsid w:val="765661D4"/>
    <w:rsid w:val="77794709"/>
    <w:rsid w:val="77CE038C"/>
    <w:rsid w:val="78250553"/>
    <w:rsid w:val="783A4ECE"/>
    <w:rsid w:val="78F16688"/>
    <w:rsid w:val="790C34C1"/>
    <w:rsid w:val="798D4602"/>
    <w:rsid w:val="79F503F9"/>
    <w:rsid w:val="7A080CC1"/>
    <w:rsid w:val="7A6C06BC"/>
    <w:rsid w:val="7BC77B74"/>
    <w:rsid w:val="7BD44F95"/>
    <w:rsid w:val="7BDE7397"/>
    <w:rsid w:val="7BFE17E7"/>
    <w:rsid w:val="7C206CF3"/>
    <w:rsid w:val="7CA83501"/>
    <w:rsid w:val="7CFD1A9F"/>
    <w:rsid w:val="7D24527D"/>
    <w:rsid w:val="7D7A1B55"/>
    <w:rsid w:val="7E10685A"/>
    <w:rsid w:val="7E6B47E6"/>
    <w:rsid w:val="7EDC1B88"/>
    <w:rsid w:val="7FE44850"/>
    <w:rsid w:val="DD7F8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iPriority="99" w:semiHidden="0" w:name="index 9"/>
    <w:lsdException w:uiPriority="0" w:name="toc 1"/>
    <w:lsdException w:uiPriority="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ind w:left="114"/>
    </w:pPr>
    <w:rPr>
      <w:rFonts w:hint="eastAsia" w:eastAsia="宋体"/>
      <w:sz w:val="30"/>
    </w:rPr>
  </w:style>
  <w:style w:type="paragraph" w:styleId="5">
    <w:name w:val="toc 3"/>
    <w:basedOn w:val="1"/>
    <w:next w:val="1"/>
    <w:qFormat/>
    <w:uiPriority w:val="0"/>
    <w:pPr>
      <w:ind w:left="840" w:leftChars="400"/>
    </w:pPr>
  </w:style>
  <w:style w:type="paragraph" w:styleId="6">
    <w:name w:val="Plain Text"/>
    <w:basedOn w:val="1"/>
    <w:qFormat/>
    <w:uiPriority w:val="0"/>
    <w:rPr>
      <w:rFonts w:ascii="宋体" w:hAnsi="Courier New"/>
    </w:rPr>
  </w:style>
  <w:style w:type="paragraph" w:styleId="7">
    <w:name w:val="footer"/>
    <w:basedOn w:val="1"/>
    <w:link w:val="18"/>
    <w:unhideWhenUsed/>
    <w:qFormat/>
    <w:uiPriority w:val="99"/>
    <w:pPr>
      <w:tabs>
        <w:tab w:val="center" w:pos="4153"/>
        <w:tab w:val="right" w:pos="8306"/>
      </w:tabs>
      <w:snapToGrid w:val="0"/>
      <w:jc w:val="left"/>
    </w:pPr>
    <w:rPr>
      <w:sz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index 9"/>
    <w:basedOn w:val="1"/>
    <w:next w:val="1"/>
    <w:unhideWhenUsed/>
    <w:qFormat/>
    <w:uiPriority w:val="99"/>
    <w:pPr>
      <w:ind w:left="1600" w:leftChars="1600"/>
    </w:pPr>
    <w:rPr>
      <w:rFonts w:ascii="Calibri" w:hAnsi="Calibri" w:eastAsia="仿宋_GB2312" w:cs="Times New Roman"/>
      <w:sz w:val="32"/>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Emphasis"/>
    <w:basedOn w:val="12"/>
    <w:qFormat/>
    <w:uiPriority w:val="0"/>
    <w:rPr>
      <w:i/>
    </w:rPr>
  </w:style>
  <w:style w:type="paragraph" w:customStyle="1" w:styleId="1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6">
    <w:name w:val="List Paragraph"/>
    <w:basedOn w:val="1"/>
    <w:qFormat/>
    <w:uiPriority w:val="34"/>
    <w:pPr>
      <w:ind w:firstLine="420" w:firstLineChars="200"/>
    </w:pPr>
  </w:style>
  <w:style w:type="character" w:customStyle="1" w:styleId="17">
    <w:name w:val="页眉 字符"/>
    <w:basedOn w:val="12"/>
    <w:link w:val="8"/>
    <w:qFormat/>
    <w:uiPriority w:val="0"/>
    <w:rPr>
      <w:rFonts w:asciiTheme="minorHAnsi" w:hAnsiTheme="minorHAnsi" w:eastAsiaTheme="minorEastAsia" w:cstheme="minorBidi"/>
      <w:kern w:val="2"/>
      <w:sz w:val="18"/>
      <w:szCs w:val="18"/>
    </w:rPr>
  </w:style>
  <w:style w:type="character" w:customStyle="1" w:styleId="18">
    <w:name w:val="页脚 字符"/>
    <w:basedOn w:val="12"/>
    <w:link w:val="7"/>
    <w:qFormat/>
    <w:uiPriority w:val="99"/>
    <w:rPr>
      <w:rFonts w:asciiTheme="minorHAnsi" w:hAnsiTheme="minorHAnsi" w:eastAsiaTheme="minorEastAsia" w:cstheme="minorBidi"/>
      <w:kern w:val="2"/>
      <w:sz w:val="18"/>
      <w:szCs w:val="24"/>
    </w:rPr>
  </w:style>
  <w:style w:type="paragraph" w:customStyle="1" w:styleId="19">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4243</Words>
  <Characters>4377</Characters>
  <Lines>44</Lines>
  <Paragraphs>12</Paragraphs>
  <TotalTime>19</TotalTime>
  <ScaleCrop>false</ScaleCrop>
  <LinksUpToDate>false</LinksUpToDate>
  <CharactersWithSpaces>4380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2024-12-12T08:12:00Z</dcterms:created>
  <dc:creator>王辉</dc:creator>
  <cp:lastModifiedBy>WPS_1758071359</cp:lastModifiedBy>
  <dcterms:modified xsi:type="dcterms:W3CDTF">2026-01-06T06:21:55Z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255A603E88754AF19BE7280533C0F457_13</vt:lpwstr>
  </property>
  <property fmtid="{D5CDD505-2E9C-101B-9397-08002B2CF9AE}" pid="4" name="KSOTemplateDocerSaveRecord">
    <vt:lpwstr>eyJoZGlkIjoiZGY0ZjRkY2U0MTc0ZTQ5YjI2ZWYyODgzYTIxMTE2MjMiLCJ1c2VySWQiOiIxNzQ0NjY1NTE1In0=</vt:lpwstr>
  </property>
</Properties>
</file>