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bidi="ar-SA"/>
        </w:rPr>
        <w:t>202</w:t>
      </w:r>
      <w:r>
        <w:rPr>
          <w:rFonts w:hint="eastAsia" w:ascii="方正小标宋简体" w:hAnsi="方正小标宋简体" w:eastAsia="方正小标宋简体" w:cs="方正小标宋简体"/>
          <w:sz w:val="44"/>
          <w:szCs w:val="44"/>
          <w:lang w:val="en-US" w:eastAsia="zh-CN" w:bidi="ar-SA"/>
        </w:rPr>
        <w:t>5</w:t>
      </w:r>
      <w:r>
        <w:rPr>
          <w:rFonts w:hint="eastAsia" w:ascii="方正小标宋简体" w:hAnsi="方正小标宋简体" w:eastAsia="方正小标宋简体" w:cs="方正小标宋简体"/>
          <w:sz w:val="44"/>
          <w:szCs w:val="44"/>
          <w:lang w:bidi="ar-SA"/>
        </w:rPr>
        <w:t>年度履行推进法治建设</w:t>
      </w:r>
    </w:p>
    <w:p>
      <w:pPr>
        <w:pStyle w:val="9"/>
        <w:widowControl/>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bidi="ar-SA"/>
        </w:rPr>
        <w:t>第一责任人职责情况报告</w:t>
      </w:r>
    </w:p>
    <w:p>
      <w:pPr>
        <w:spacing w:line="560" w:lineRule="exact"/>
        <w:jc w:val="center"/>
        <w:rPr>
          <w:rFonts w:hint="eastAsia" w:ascii="宋体" w:hAnsi="宋体" w:eastAsia="宋体" w:cs="宋体"/>
          <w:i w:val="0"/>
          <w:iCs w:val="0"/>
          <w:caps w:val="0"/>
          <w:color w:val="000000"/>
          <w:spacing w:val="0"/>
          <w:sz w:val="44"/>
          <w:szCs w:val="44"/>
        </w:rPr>
      </w:pPr>
      <w:r>
        <w:rPr>
          <w:rFonts w:hint="eastAsia" w:ascii="楷体_GB2312" w:hAnsi="仿宋_GB2312" w:eastAsia="楷体_GB2312" w:cs="仿宋_GB2312"/>
          <w:sz w:val="32"/>
          <w:szCs w:val="32"/>
        </w:rPr>
        <w:t>（六里桥街道</w:t>
      </w:r>
      <w:r>
        <w:rPr>
          <w:rFonts w:hint="eastAsia" w:ascii="楷体_GB2312" w:hAnsi="仿宋_GB2312" w:eastAsia="楷体_GB2312" w:cs="仿宋_GB2312"/>
          <w:sz w:val="32"/>
          <w:szCs w:val="32"/>
          <w:lang w:eastAsia="zh-CN"/>
        </w:rPr>
        <w:t>办事处</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主任</w:t>
      </w:r>
      <w:r>
        <w:rPr>
          <w:rFonts w:hint="eastAsia" w:ascii="楷体_GB2312" w:hAnsi="仿宋_GB2312" w:eastAsia="楷体_GB2312" w:cs="仿宋_GB2312"/>
          <w:sz w:val="32"/>
          <w:szCs w:val="32"/>
        </w:rPr>
        <w:t xml:space="preserve"> </w:t>
      </w:r>
      <w:r>
        <w:rPr>
          <w:rFonts w:hint="eastAsia" w:ascii="楷体_GB2312" w:hAnsi="仿宋_GB2312" w:eastAsia="楷体_GB2312" w:cs="仿宋_GB2312"/>
          <w:sz w:val="32"/>
          <w:szCs w:val="32"/>
          <w:lang w:eastAsia="zh-CN"/>
        </w:rPr>
        <w:t>王润泽</w:t>
      </w:r>
      <w:r>
        <w:rPr>
          <w:rFonts w:hint="eastAsia" w:ascii="楷体_GB2312" w:hAnsi="仿宋_GB2312" w:eastAsia="楷体_GB2312" w:cs="仿宋_GB2312"/>
          <w:sz w:val="32"/>
          <w:szCs w:val="32"/>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2025年，在区委、区政府的领导下，我坚持以习近平新时代中国特色社会主义思想为指导，深入贯彻习近平法治思想，全面贯彻落实党的二十届三中、四中全会精神，严格履行推进法治建设第一责任人职责，</w:t>
      </w:r>
      <w:r>
        <w:rPr>
          <w:rFonts w:hint="eastAsia" w:ascii="仿宋_GB2312" w:hAnsi="仿宋_GB2312" w:eastAsia="仿宋_GB2312" w:cs="仿宋_GB2312"/>
          <w:sz w:val="32"/>
          <w:szCs w:val="32"/>
        </w:rPr>
        <w:t>扎实推进法治建设各项工作，坚持把制度建设贯穿始终，确保街道坚定不移推进法治政府持续稳步发展。</w:t>
      </w:r>
      <w:r>
        <w:rPr>
          <w:rFonts w:hint="eastAsia" w:ascii="仿宋_GB2312" w:hAnsi="仿宋_GB2312" w:eastAsia="仿宋_GB2312" w:cs="仿宋_GB2312"/>
          <w:sz w:val="32"/>
          <w:szCs w:val="32"/>
          <w:lang w:val="en-US" w:eastAsia="zh-CN"/>
        </w:rPr>
        <w:t xml:space="preserve">现将履职情况报告如下： </w:t>
      </w:r>
    </w:p>
    <w:p>
      <w:pPr>
        <w:pStyle w:val="9"/>
        <w:widowControl/>
        <w:spacing w:before="0" w:beforeAutospacing="0" w:after="0" w:afterAutospacing="0"/>
        <w:ind w:left="0" w:right="0" w:firstLine="640" w:firstLineChars="200"/>
        <w:jc w:val="both"/>
        <w:rPr>
          <w:rFonts w:hint="eastAsia" w:ascii="黑体" w:hAnsi="黑体" w:eastAsia="黑体" w:cs="仿宋_GB2312"/>
          <w:bCs/>
          <w:kern w:val="2"/>
          <w:sz w:val="32"/>
          <w:szCs w:val="32"/>
          <w:lang w:val="en-US" w:eastAsia="zh-CN" w:bidi="ar-SA"/>
        </w:rPr>
      </w:pPr>
      <w:r>
        <w:rPr>
          <w:rFonts w:hint="eastAsia" w:ascii="黑体" w:hAnsi="黑体" w:eastAsia="黑体" w:cs="仿宋_GB2312"/>
          <w:bCs/>
          <w:kern w:val="2"/>
          <w:sz w:val="32"/>
          <w:szCs w:val="32"/>
          <w:lang w:val="en-US" w:eastAsia="zh-CN" w:bidi="ar-SA"/>
        </w:rPr>
        <w:t>一、2025年履行职责情况</w:t>
      </w:r>
    </w:p>
    <w:p>
      <w:pPr>
        <w:pStyle w:val="9"/>
        <w:widowControl/>
        <w:spacing w:before="0" w:beforeAutospacing="0" w:after="0" w:afterAutospacing="0"/>
        <w:ind w:left="0" w:right="0" w:firstLine="643" w:firstLineChars="200"/>
        <w:jc w:val="both"/>
        <w:rPr>
          <w:rFonts w:hint="eastAsia" w:ascii="楷体_GB2312" w:hAnsi="仿宋_GB2312" w:eastAsia="楷体_GB2312" w:cs="仿宋_GB2312"/>
          <w:b/>
          <w:bCs/>
          <w:sz w:val="32"/>
          <w:szCs w:val="32"/>
          <w:lang w:val="en-US" w:eastAsia="zh-CN" w:bidi="ar-SA"/>
        </w:rPr>
      </w:pPr>
      <w:r>
        <w:rPr>
          <w:rFonts w:hint="eastAsia" w:ascii="楷体_GB2312" w:hAnsi="仿宋_GB2312" w:eastAsia="楷体_GB2312" w:cs="仿宋_GB2312"/>
          <w:b/>
          <w:bCs/>
          <w:sz w:val="32"/>
          <w:szCs w:val="32"/>
          <w:lang w:val="en-US" w:eastAsia="zh-CN" w:bidi="ar-SA"/>
        </w:rPr>
        <w:t>（一）强化法治引领，筑牢思想根基。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lang w:eastAsia="zh-CN"/>
        </w:rPr>
        <w:t>一是深入贯彻中央八项规定精神学习教育和习近平法治思想。</w:t>
      </w:r>
      <w:r>
        <w:rPr>
          <w:rFonts w:hint="eastAsia" w:ascii="仿宋_GB2312" w:hAnsi="仿宋_GB2312" w:eastAsia="仿宋_GB2312" w:cs="仿宋_GB2312"/>
          <w:b w:val="0"/>
          <w:bCs w:val="0"/>
          <w:i w:val="0"/>
          <w:iCs w:val="0"/>
          <w:caps w:val="0"/>
          <w:color w:val="000000"/>
          <w:spacing w:val="0"/>
          <w:sz w:val="32"/>
          <w:szCs w:val="32"/>
          <w:lang w:eastAsia="zh-CN"/>
        </w:rPr>
        <w:t>紧扣学习教育核心目标，率先垂范，带头讲党课。组织处级领导班子集中学习研讨12次、讲授党课8场，14条查摆问题全部纳入整治台账，形成具体成效42项；要求35岁以下年轻干部践行“雏雁”使命担当，逐人撰写党性分析报告，查摆自身问题98条、梳理岗位风险点72条，切实将作风建设成果转化为履职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lang w:eastAsia="zh-CN"/>
        </w:rPr>
        <w:t>二是带头深化理论武装。</w:t>
      </w:r>
      <w:r>
        <w:rPr>
          <w:rFonts w:hint="eastAsia" w:ascii="仿宋_GB2312" w:hAnsi="仿宋_GB2312" w:eastAsia="仿宋_GB2312" w:cs="仿宋_GB2312"/>
          <w:b w:val="0"/>
          <w:bCs w:val="0"/>
          <w:i w:val="0"/>
          <w:iCs w:val="0"/>
          <w:caps w:val="0"/>
          <w:color w:val="000000"/>
          <w:spacing w:val="0"/>
          <w:sz w:val="32"/>
          <w:szCs w:val="32"/>
          <w:lang w:eastAsia="zh-CN"/>
        </w:rPr>
        <w:t>组织街道领导班子学习《中华人民共和国宪法》、《中华人民共和国民法典》及与街道中心工作密切相关的法律法规、政策文件。严格落实会前学法制度，在工委会、主任办公会等会议前组织学法，不断提升班子成员运用法治思维谋划工作、处理问题的能力。</w:t>
      </w:r>
      <w:r>
        <w:rPr>
          <w:rFonts w:hint="eastAsia" w:ascii="仿宋_GB2312" w:hAnsi="仿宋_GB2312" w:eastAsia="仿宋_GB2312" w:cs="仿宋_GB2312"/>
          <w:b w:val="0"/>
          <w:bCs w:val="0"/>
          <w:i w:val="0"/>
          <w:iCs w:val="0"/>
          <w:caps w:val="0"/>
          <w:color w:val="000000"/>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000000"/>
          <w:spacing w:val="0"/>
          <w:sz w:val="32"/>
          <w:szCs w:val="32"/>
          <w:lang w:eastAsia="zh-CN"/>
        </w:rPr>
        <w:t>三是系统谋划法治建设。</w:t>
      </w:r>
      <w:r>
        <w:rPr>
          <w:rFonts w:hint="eastAsia" w:ascii="仿宋_GB2312" w:hAnsi="仿宋_GB2312" w:eastAsia="仿宋_GB2312" w:cs="仿宋_GB2312"/>
          <w:b w:val="0"/>
          <w:bCs w:val="0"/>
          <w:i w:val="0"/>
          <w:iCs w:val="0"/>
          <w:caps w:val="0"/>
          <w:color w:val="000000"/>
          <w:spacing w:val="0"/>
          <w:sz w:val="32"/>
          <w:szCs w:val="32"/>
          <w:lang w:eastAsia="zh-CN"/>
        </w:rPr>
        <w:t>将法治建设纳入街道年度工作要点，与经济社会发展、城市精细化管理、民生服务保障等重点工作同部署、同推进、同考核。制订本街道法治政府建设年度工作要点，举办法治专题讲座进行法律、法规、政策学习培训。针对依法行政实践中薄弱环节和问题短板，坚持以习近平法治思想为指导，研究提出有价值、可操作的政策措施。坚持抓住领导干部这个“关键少数”,把法治素养和依法履职情况纳入考核评价领导干部的重要内容，相关考核结果作为对领导干部综合考核评价的重要参考。坚持用法治给行政权力定规矩、划界限，规范行政决策程序，优化法治化营商环境。</w:t>
      </w:r>
    </w:p>
    <w:p>
      <w:pPr>
        <w:pStyle w:val="9"/>
        <w:widowControl/>
        <w:spacing w:beforeAutospacing="0" w:afterAutospacing="0"/>
        <w:ind w:firstLine="643" w:firstLineChars="200"/>
        <w:jc w:val="both"/>
        <w:rPr>
          <w:rFonts w:hint="eastAsia" w:ascii="楷体_GB2312" w:hAnsi="仿宋_GB2312" w:eastAsia="楷体_GB2312" w:cs="仿宋_GB2312"/>
          <w:b/>
          <w:bCs/>
          <w:sz w:val="32"/>
          <w:szCs w:val="32"/>
          <w:lang w:eastAsia="zh-CN" w:bidi="ar-SA"/>
        </w:rPr>
      </w:pPr>
      <w:r>
        <w:rPr>
          <w:rFonts w:hint="eastAsia" w:ascii="楷体_GB2312" w:hAnsi="仿宋_GB2312" w:eastAsia="楷体_GB2312" w:cs="仿宋_GB2312"/>
          <w:b/>
          <w:bCs/>
          <w:sz w:val="32"/>
          <w:szCs w:val="32"/>
          <w:lang w:bidi="ar-SA"/>
        </w:rPr>
        <w:t>（二）健全决策机制，提升治理效能</w:t>
      </w:r>
      <w:r>
        <w:rPr>
          <w:rFonts w:hint="eastAsia" w:ascii="楷体_GB2312" w:hAnsi="仿宋_GB2312" w:eastAsia="楷体_GB2312" w:cs="仿宋_GB2312"/>
          <w:b/>
          <w:bCs/>
          <w:sz w:val="32"/>
          <w:szCs w:val="32"/>
          <w:lang w:eastAsia="zh-CN" w:bidi="ar-SA"/>
        </w:rPr>
        <w:t>。</w:t>
      </w:r>
    </w:p>
    <w:p>
      <w:pPr>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一是严格规范决策程序。</w:t>
      </w:r>
      <w:r>
        <w:rPr>
          <w:rFonts w:hint="eastAsia" w:ascii="仿宋_GB2312" w:hAnsi="仿宋_GB2312" w:eastAsia="仿宋_GB2312" w:cs="仿宋_GB2312"/>
          <w:sz w:val="32"/>
          <w:szCs w:val="32"/>
        </w:rPr>
        <w:t>严格落实《重大行政决策程序暂行条例》，</w:t>
      </w:r>
      <w:r>
        <w:rPr>
          <w:rFonts w:hint="eastAsia" w:ascii="仿宋_GB2312" w:hAnsi="仿宋_GB2312" w:eastAsia="仿宋_GB2312" w:cs="仿宋_GB2312"/>
          <w:b w:val="0"/>
          <w:bCs w:val="0"/>
          <w:sz w:val="32"/>
          <w:szCs w:val="32"/>
        </w:rPr>
        <w:t>坚持科学民主依法决策，凡属“三重一大”事项，均严格履行公众参与、专家论证、风险评估、合法性审查和集体讨论决定等法定程序。特别是在推动“六里工坊”文化街区打造、进京廊道景观提升、企业回迁等重大项目过程中，充分听取法律顾问、专家学者和群众意见，确保决策合法合规、符合民意。</w:t>
      </w:r>
    </w:p>
    <w:p>
      <w:pPr>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kern w:val="0"/>
          <w:sz w:val="32"/>
          <w:szCs w:val="32"/>
        </w:rPr>
        <w:t>严格规范性文件合法性审核和备案。</w:t>
      </w:r>
      <w:r>
        <w:rPr>
          <w:rFonts w:hint="eastAsia" w:ascii="仿宋_GB2312" w:hAnsi="仿宋_GB2312" w:eastAsia="仿宋_GB2312" w:cs="仿宋_GB2312"/>
          <w:kern w:val="0"/>
          <w:sz w:val="32"/>
          <w:szCs w:val="32"/>
        </w:rPr>
        <w:t>切实履行本地区本部门行政规范性文件合法性审核工作第一责任人工作，定期清理规范性文件并及时报备，对本单位的行政规范性文件实行动态化、精细化管理。聘请专业律师就行政执法日常涉法文件进行合法性审核，做好事前监督，严防出现“越权文件”“违法文件”；邀请律师参与典型性行政执法案件讨论，就行政执法风险防控做出预判，做好过程监督；行政诉讼、行政复议案件中，执法队指派专人与代理律师建立“一对一”联系，做好事后监督工作。今年街道作为被告的行政诉讼案件</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件，行政复议案件</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件，按时提交答复、答辩、证据材料。截至目前，共收到检察建议书</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份，针对检察建议，细化落实举措，取得积极成效。</w:t>
      </w:r>
    </w:p>
    <w:p>
      <w:pPr>
        <w:pStyle w:val="2"/>
        <w:ind w:firstLine="643"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三是发挥法律顾问作用。</w:t>
      </w:r>
      <w:r>
        <w:rPr>
          <w:rFonts w:hint="eastAsia" w:ascii="仿宋_GB2312" w:hAnsi="仿宋_GB2312" w:eastAsia="仿宋_GB2312" w:cs="仿宋_GB2312"/>
          <w:kern w:val="0"/>
          <w:sz w:val="32"/>
          <w:szCs w:val="32"/>
          <w:lang w:val="en-US" w:eastAsia="zh-CN" w:bidi="ar-SA"/>
        </w:rPr>
        <w:t>健全完善街道法律顾问参与决策、论证机制，聘请法律顾问对合同协议、决策事项进行审查</w:t>
      </w:r>
      <w:r>
        <w:rPr>
          <w:rFonts w:hint="eastAsia" w:ascii="仿宋_GB2312" w:hAnsi="仿宋_GB2312" w:eastAsia="仿宋_GB2312" w:cs="仿宋_GB2312"/>
          <w:color w:val="auto"/>
          <w:kern w:val="0"/>
          <w:sz w:val="32"/>
          <w:szCs w:val="32"/>
          <w:lang w:val="en-US" w:eastAsia="zh-CN" w:bidi="ar-SA"/>
        </w:rPr>
        <w:t>213</w:t>
      </w:r>
      <w:r>
        <w:rPr>
          <w:rFonts w:hint="eastAsia" w:ascii="仿宋_GB2312" w:hAnsi="仿宋_GB2312" w:eastAsia="仿宋_GB2312" w:cs="仿宋_GB2312"/>
          <w:kern w:val="0"/>
          <w:sz w:val="32"/>
          <w:szCs w:val="32"/>
          <w:lang w:val="en-US" w:eastAsia="zh-CN" w:bidi="ar-SA"/>
        </w:rPr>
        <w:t>件，有效防范法律风险。推动法律顾问资源下沉，为社区（村）依法治理提供专业支持。</w:t>
      </w:r>
    </w:p>
    <w:p>
      <w:pPr>
        <w:pStyle w:val="9"/>
        <w:widowControl/>
        <w:spacing w:beforeAutospacing="0" w:afterAutospacing="0"/>
        <w:ind w:firstLine="643" w:firstLineChars="200"/>
        <w:jc w:val="both"/>
        <w:rPr>
          <w:rFonts w:hint="eastAsia" w:ascii="楷体_GB2312" w:hAnsi="仿宋_GB2312" w:eastAsia="楷体_GB2312" w:cs="仿宋_GB2312"/>
          <w:b/>
          <w:bCs/>
          <w:sz w:val="32"/>
          <w:szCs w:val="32"/>
          <w:lang w:eastAsia="zh-CN"/>
        </w:rPr>
      </w:pPr>
      <w:r>
        <w:rPr>
          <w:rFonts w:hint="eastAsia" w:ascii="楷体_GB2312" w:hAnsi="仿宋_GB2312" w:eastAsia="楷体_GB2312" w:cs="仿宋_GB2312"/>
          <w:b/>
          <w:bCs/>
          <w:sz w:val="32"/>
          <w:szCs w:val="32"/>
        </w:rPr>
        <w:t>（三）深化依法行政，优化发展环境</w:t>
      </w:r>
      <w:r>
        <w:rPr>
          <w:rFonts w:hint="eastAsia" w:ascii="楷体_GB2312" w:hAnsi="仿宋_GB2312" w:eastAsia="楷体_GB2312" w:cs="仿宋_GB2312"/>
          <w:b/>
          <w:bCs/>
          <w:sz w:val="32"/>
          <w:szCs w:val="32"/>
          <w:lang w:eastAsia="zh-CN"/>
        </w:rPr>
        <w:t>。</w:t>
      </w:r>
    </w:p>
    <w:p>
      <w:pPr>
        <w:pStyle w:val="9"/>
        <w:widowControl/>
        <w:spacing w:beforeAutospacing="0" w:afterAutospacing="0"/>
        <w:ind w:firstLine="643"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一是创新执法监管模式。</w:t>
      </w:r>
      <w:r>
        <w:rPr>
          <w:rFonts w:hint="eastAsia" w:ascii="仿宋_GB2312" w:hAnsi="仿宋_GB2312" w:eastAsia="仿宋_GB2312" w:cs="仿宋_GB2312"/>
          <w:b w:val="0"/>
          <w:bCs w:val="0"/>
          <w:sz w:val="32"/>
          <w:szCs w:val="32"/>
        </w:rPr>
        <w:t>结合“疏解整治促提升”、“接诉即办”等重点工作，探索包容审慎监管。推广运用说服教育、劝导示范等非强制性执法手段。深化“六里星光”先锋工作模式，将法治要求融入接诉即办全流程，通过“一调二督三回四访”工作法，提升诉求办理的法治化、规范化水平，相关经验得到市级媒体关注。</w:t>
      </w:r>
    </w:p>
    <w:p>
      <w:pPr>
        <w:pStyle w:val="9"/>
        <w:widowControl/>
        <w:spacing w:beforeAutospacing="0" w:afterAutospacing="0"/>
        <w:ind w:firstLine="643"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二是持续优化</w:t>
      </w:r>
      <w:r>
        <w:rPr>
          <w:rFonts w:hint="eastAsia" w:ascii="仿宋_GB2312" w:hAnsi="仿宋_GB2312" w:eastAsia="仿宋_GB2312" w:cs="仿宋_GB2312"/>
          <w:b/>
          <w:bCs/>
          <w:sz w:val="32"/>
          <w:szCs w:val="32"/>
          <w:lang w:eastAsia="zh-CN"/>
        </w:rPr>
        <w:t>法治化</w:t>
      </w:r>
      <w:r>
        <w:rPr>
          <w:rFonts w:hint="eastAsia" w:ascii="仿宋_GB2312" w:hAnsi="仿宋_GB2312" w:eastAsia="仿宋_GB2312" w:cs="仿宋_GB2312"/>
          <w:b/>
          <w:bCs/>
          <w:sz w:val="32"/>
          <w:szCs w:val="32"/>
        </w:rPr>
        <w:t>营商环境。</w:t>
      </w:r>
      <w:r>
        <w:rPr>
          <w:rFonts w:hint="eastAsia" w:ascii="仿宋_GB2312" w:hAnsi="仿宋_GB2312" w:eastAsia="仿宋_GB2312" w:cs="仿宋_GB2312"/>
          <w:b w:val="0"/>
          <w:bCs w:val="0"/>
          <w:sz w:val="32"/>
          <w:szCs w:val="32"/>
        </w:rPr>
        <w:t>将法治作为最优营商环境的核心要素，依托产业空间服务数字化小程序，公开涉企政策、服务流程和权力清单。在服务新兴君融科技园、首汇健康科技园等园区企业发展中，严格依法保障各类市场主体公平竞争，畅通企业诉求依法解决渠道。</w:t>
      </w:r>
      <w:r>
        <w:rPr>
          <w:rFonts w:hint="eastAsia" w:ascii="仿宋_GB2312" w:hAnsi="仿宋_GB2312" w:eastAsia="仿宋_GB2312" w:cs="仿宋_GB2312"/>
          <w:b w:val="0"/>
          <w:bCs w:val="0"/>
          <w:sz w:val="32"/>
          <w:szCs w:val="32"/>
          <w:lang w:eastAsia="zh-CN"/>
        </w:rPr>
        <w:t>建成商务楼宇法治阵地，</w:t>
      </w:r>
      <w:r>
        <w:rPr>
          <w:rFonts w:hint="eastAsia" w:ascii="仿宋_GB2312" w:hAnsi="仿宋_GB2312" w:eastAsia="仿宋_GB2312" w:cs="仿宋_GB2312"/>
          <w:color w:val="000000"/>
          <w:kern w:val="0"/>
          <w:sz w:val="32"/>
          <w:szCs w:val="32"/>
          <w:lang w:val="en-US" w:eastAsia="zh-CN" w:bidi="ar-SA"/>
        </w:rPr>
        <w:t>弥补楼宇为企业提供法律服务的弱项，引导楼宇企业合法、有序经营。</w:t>
      </w:r>
    </w:p>
    <w:p>
      <w:pPr>
        <w:pStyle w:val="9"/>
        <w:widowControl/>
        <w:spacing w:beforeAutospacing="0" w:afterAutospacing="0"/>
        <w:ind w:firstLine="643"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三是强化行政执法监督。</w:t>
      </w:r>
      <w:r>
        <w:rPr>
          <w:rFonts w:hint="eastAsia" w:ascii="仿宋_GB2312" w:hAnsi="仿宋_GB2312" w:eastAsia="仿宋_GB2312" w:cs="仿宋_GB2312"/>
          <w:b w:val="0"/>
          <w:bCs w:val="0"/>
          <w:sz w:val="32"/>
          <w:szCs w:val="32"/>
        </w:rPr>
        <w:t>贯彻落实行政执法三项制度。组织学习、贯彻落实北京市人民政府办公厅关于印发《北京市行政执法公示办法》《北京市行政执法全过程记录办法》《北京市重大行政执法决定法制审核办法》的通知（京政办发[2021]17号）等相关文件。组织对街道综合执法队执法案卷进行评查，规范执法行为。严格落实行政执法公示、执法全过程记录、重大执法决定法制审核制度，不断提升执法透明度和公信力。</w:t>
      </w:r>
    </w:p>
    <w:p>
      <w:pPr>
        <w:pStyle w:val="9"/>
        <w:widowControl/>
        <w:spacing w:beforeAutospacing="0" w:afterAutospacing="0"/>
        <w:ind w:firstLine="643" w:firstLineChars="200"/>
        <w:jc w:val="both"/>
        <w:rPr>
          <w:rFonts w:hint="eastAsia" w:ascii="楷体_GB2312" w:hAnsi="仿宋_GB2312" w:eastAsia="楷体_GB2312" w:cs="仿宋_GB2312"/>
          <w:b/>
          <w:bCs/>
          <w:sz w:val="32"/>
          <w:szCs w:val="32"/>
          <w:lang w:eastAsia="zh-CN"/>
        </w:rPr>
      </w:pPr>
      <w:r>
        <w:rPr>
          <w:rFonts w:hint="eastAsia" w:ascii="楷体_GB2312" w:hAnsi="仿宋_GB2312" w:eastAsia="楷体_GB2312" w:cs="仿宋_GB2312"/>
          <w:b/>
          <w:bCs/>
          <w:sz w:val="32"/>
          <w:szCs w:val="32"/>
        </w:rPr>
        <w:t>（</w:t>
      </w:r>
      <w:r>
        <w:rPr>
          <w:rFonts w:hint="eastAsia" w:ascii="楷体_GB2312" w:hAnsi="仿宋_GB2312" w:eastAsia="楷体_GB2312" w:cs="仿宋_GB2312"/>
          <w:b/>
          <w:bCs/>
          <w:sz w:val="32"/>
          <w:szCs w:val="32"/>
          <w:lang w:eastAsia="zh-CN"/>
        </w:rPr>
        <w:t>四</w:t>
      </w:r>
      <w:r>
        <w:rPr>
          <w:rFonts w:hint="eastAsia" w:ascii="楷体_GB2312" w:hAnsi="仿宋_GB2312" w:eastAsia="楷体_GB2312" w:cs="仿宋_GB2312"/>
          <w:b/>
          <w:bCs/>
          <w:sz w:val="32"/>
          <w:szCs w:val="32"/>
        </w:rPr>
        <w:t>）化解矛盾纠纷，维护和谐稳定</w:t>
      </w:r>
      <w:r>
        <w:rPr>
          <w:rFonts w:hint="eastAsia" w:ascii="楷体_GB2312" w:hAnsi="仿宋_GB2312" w:eastAsia="楷体_GB2312" w:cs="仿宋_GB2312"/>
          <w:b/>
          <w:bCs/>
          <w:sz w:val="32"/>
          <w:szCs w:val="32"/>
          <w:lang w:eastAsia="zh-CN"/>
        </w:rPr>
        <w:t>。</w:t>
      </w:r>
    </w:p>
    <w:p>
      <w:pPr>
        <w:pStyle w:val="9"/>
        <w:widowControl/>
        <w:spacing w:beforeAutospacing="0" w:afterAutospacing="0"/>
        <w:ind w:firstLine="643" w:firstLineChars="200"/>
        <w:jc w:val="both"/>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bCs/>
          <w:kern w:val="2"/>
          <w:sz w:val="32"/>
          <w:szCs w:val="32"/>
        </w:rPr>
        <w:t>一是完善多元化解机制。</w:t>
      </w:r>
      <w:r>
        <w:rPr>
          <w:rFonts w:hint="eastAsia" w:ascii="仿宋_GB2312" w:hAnsi="仿宋_GB2312" w:eastAsia="仿宋_GB2312" w:cs="仿宋_GB2312"/>
          <w:b w:val="0"/>
          <w:bCs w:val="0"/>
          <w:kern w:val="2"/>
          <w:sz w:val="32"/>
          <w:szCs w:val="32"/>
        </w:rPr>
        <w:t>坚持和发展新时代“枫桥经验”，深化“接诉即办”与矛盾纠纷预防化解联动机制。整合司法所、人民调解委员会、社区法律顾问等力量，全年成功调解涉及物业管理、劳资纠纷、邻里矛盾等各类纠纷</w:t>
      </w:r>
      <w:r>
        <w:rPr>
          <w:rFonts w:hint="eastAsia" w:ascii="仿宋_GB2312" w:hAnsi="仿宋_GB2312" w:eastAsia="仿宋_GB2312" w:cs="仿宋_GB2312"/>
          <w:b w:val="0"/>
          <w:bCs w:val="0"/>
          <w:kern w:val="2"/>
          <w:sz w:val="32"/>
          <w:szCs w:val="32"/>
          <w:lang w:val="en-US" w:eastAsia="zh-CN"/>
        </w:rPr>
        <w:t>326</w:t>
      </w:r>
      <w:r>
        <w:rPr>
          <w:rFonts w:hint="eastAsia" w:ascii="仿宋_GB2312" w:hAnsi="仿宋_GB2312" w:eastAsia="仿宋_GB2312" w:cs="仿宋_GB2312"/>
          <w:b w:val="0"/>
          <w:bCs w:val="0"/>
          <w:kern w:val="2"/>
          <w:sz w:val="32"/>
          <w:szCs w:val="32"/>
        </w:rPr>
        <w:t>起，调解成功率达</w:t>
      </w:r>
      <w:r>
        <w:rPr>
          <w:rFonts w:hint="eastAsia" w:ascii="仿宋_GB2312" w:hAnsi="仿宋_GB2312" w:eastAsia="仿宋_GB2312" w:cs="仿宋_GB2312"/>
          <w:b w:val="0"/>
          <w:bCs w:val="0"/>
          <w:kern w:val="2"/>
          <w:sz w:val="32"/>
          <w:szCs w:val="32"/>
          <w:lang w:val="en-US" w:eastAsia="zh-CN"/>
        </w:rPr>
        <w:t>90</w:t>
      </w:r>
      <w:r>
        <w:rPr>
          <w:rFonts w:hint="eastAsia" w:ascii="仿宋_GB2312" w:hAnsi="仿宋_GB2312" w:eastAsia="仿宋_GB2312" w:cs="仿宋_GB2312"/>
          <w:b w:val="0"/>
          <w:bCs w:val="0"/>
          <w:kern w:val="2"/>
          <w:sz w:val="32"/>
          <w:szCs w:val="32"/>
        </w:rPr>
        <w:t>%。特别是在推动金家村283号院等小区物业服务规范化、协助办理房产证等工作中，注重运用法治方式化解潜在风险。</w:t>
      </w:r>
    </w:p>
    <w:p>
      <w:pPr>
        <w:pStyle w:val="9"/>
        <w:widowControl/>
        <w:spacing w:beforeAutospacing="0" w:afterAutospacing="0"/>
        <w:ind w:firstLine="643" w:firstLineChars="200"/>
        <w:jc w:val="both"/>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bCs/>
          <w:kern w:val="2"/>
          <w:sz w:val="32"/>
          <w:szCs w:val="32"/>
          <w:lang w:eastAsia="zh-CN"/>
        </w:rPr>
        <w:t>二是</w:t>
      </w:r>
      <w:r>
        <w:rPr>
          <w:rFonts w:hint="eastAsia" w:ascii="仿宋_GB2312" w:hAnsi="仿宋_GB2312" w:eastAsia="仿宋_GB2312" w:cs="仿宋_GB2312"/>
          <w:b/>
          <w:bCs/>
          <w:kern w:val="2"/>
          <w:sz w:val="32"/>
          <w:szCs w:val="32"/>
        </w:rPr>
        <w:t>加强矛盾纠纷排查化解。</w:t>
      </w:r>
      <w:r>
        <w:rPr>
          <w:rFonts w:hint="eastAsia" w:ascii="仿宋_GB2312" w:hAnsi="仿宋_GB2312" w:eastAsia="仿宋_GB2312" w:cs="仿宋_GB2312"/>
          <w:kern w:val="2"/>
          <w:sz w:val="32"/>
          <w:szCs w:val="32"/>
        </w:rPr>
        <w:t>在重大节假日，重大活动期间，聚焦重点地区、重点人群和矛盾纠纷集中领域，特别是涉婚姻家庭、邻里、房屋、宅基地、医患等常见纠纷，坚持抓早抓小、应调尽调、法理情相结合等方式方法，依法及时就地予以化解，切实把风险隐患解决在基层，化解在萌芽状态。今年以来共开展矛盾纠纷排查</w:t>
      </w:r>
      <w:r>
        <w:rPr>
          <w:rFonts w:hint="eastAsia" w:ascii="仿宋_GB2312" w:hAnsi="仿宋_GB2312" w:eastAsia="仿宋_GB2312" w:cs="仿宋_GB2312"/>
          <w:kern w:val="2"/>
          <w:sz w:val="32"/>
          <w:szCs w:val="32"/>
          <w:lang w:val="en-US" w:eastAsia="zh-CN"/>
        </w:rPr>
        <w:t>485</w:t>
      </w:r>
      <w:r>
        <w:rPr>
          <w:rFonts w:hint="eastAsia" w:ascii="仿宋_GB2312" w:hAnsi="仿宋_GB2312" w:eastAsia="仿宋_GB2312" w:cs="仿宋_GB2312"/>
          <w:kern w:val="2"/>
          <w:sz w:val="32"/>
          <w:szCs w:val="32"/>
        </w:rPr>
        <w:t>次，及时发现、预防，取得了矛盾纠纷及时化解不激化、高效化解不反复、就地化解不上行的成效。</w:t>
      </w:r>
    </w:p>
    <w:p>
      <w:pPr>
        <w:pStyle w:val="9"/>
        <w:widowControl/>
        <w:spacing w:beforeAutospacing="0" w:afterAutospacing="0"/>
        <w:ind w:firstLine="643" w:firstLineChars="200"/>
        <w:jc w:val="both"/>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bCs/>
          <w:kern w:val="2"/>
          <w:sz w:val="32"/>
          <w:szCs w:val="32"/>
          <w:lang w:eastAsia="zh-CN"/>
        </w:rPr>
        <w:t>三</w:t>
      </w:r>
      <w:r>
        <w:rPr>
          <w:rFonts w:hint="eastAsia" w:ascii="仿宋_GB2312" w:hAnsi="仿宋_GB2312" w:eastAsia="仿宋_GB2312" w:cs="仿宋_GB2312"/>
          <w:b/>
          <w:bCs/>
          <w:kern w:val="2"/>
          <w:sz w:val="32"/>
          <w:szCs w:val="32"/>
        </w:rPr>
        <w:t>是提升公共法律服务效能。</w:t>
      </w:r>
      <w:r>
        <w:rPr>
          <w:rFonts w:hint="eastAsia" w:ascii="仿宋_GB2312" w:hAnsi="仿宋_GB2312" w:eastAsia="仿宋_GB2312" w:cs="仿宋_GB2312"/>
          <w:kern w:val="2"/>
          <w:sz w:val="32"/>
          <w:szCs w:val="32"/>
          <w:lang w:eastAsia="zh-CN"/>
        </w:rPr>
        <w:t>持续开展</w:t>
      </w:r>
      <w:r>
        <w:rPr>
          <w:rFonts w:hint="eastAsia" w:ascii="仿宋_GB2312" w:hAnsi="仿宋_GB2312" w:eastAsia="仿宋_GB2312" w:cs="仿宋_GB2312"/>
          <w:kern w:val="2"/>
          <w:sz w:val="32"/>
          <w:szCs w:val="32"/>
        </w:rPr>
        <w:t>“保障农民工合法权益公共法律服务专项维权”，“维护残疾人合法权益公共法律服务专项维权”，未成年人“护苗”公共法律维权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val="0"/>
          <w:bCs w:val="0"/>
          <w:kern w:val="2"/>
          <w:sz w:val="32"/>
          <w:szCs w:val="32"/>
        </w:rPr>
        <w:t>实现街道、社区（村）公共法律服务全覆盖。结合“向群众报告”工作大会、专场招聘会等活动，开展精准普法宣传和法律咨询。重点关注农民工、退役军人、老年人、残疾人等群体权益保障。</w:t>
      </w:r>
    </w:p>
    <w:p>
      <w:pPr>
        <w:pStyle w:val="9"/>
        <w:widowControl/>
        <w:spacing w:beforeAutospacing="0" w:afterAutospacing="0"/>
        <w:ind w:firstLine="643"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kern w:val="2"/>
          <w:sz w:val="32"/>
          <w:szCs w:val="32"/>
          <w:lang w:eastAsia="zh-CN"/>
        </w:rPr>
        <w:t>四</w:t>
      </w:r>
      <w:r>
        <w:rPr>
          <w:rFonts w:hint="eastAsia" w:ascii="仿宋_GB2312" w:hAnsi="仿宋_GB2312" w:eastAsia="仿宋_GB2312" w:cs="仿宋_GB2312"/>
          <w:b/>
          <w:bCs/>
          <w:kern w:val="2"/>
          <w:sz w:val="32"/>
          <w:szCs w:val="32"/>
        </w:rPr>
        <w:t>是深化法治宣传教育。</w:t>
      </w:r>
      <w:r>
        <w:rPr>
          <w:rFonts w:hint="eastAsia" w:ascii="仿宋_GB2312" w:hAnsi="仿宋_GB2312" w:eastAsia="仿宋_GB2312" w:cs="仿宋_GB2312"/>
          <w:b w:val="0"/>
          <w:bCs w:val="0"/>
          <w:kern w:val="2"/>
          <w:sz w:val="32"/>
          <w:szCs w:val="32"/>
        </w:rPr>
        <w:t>落实“谁执法谁普法”责任制，围绕垃圾分类、物业管理、防范电信诈骗、安全生产等群众关切，组织开展“法律进社区”、“法律进企业”等主题活动</w:t>
      </w:r>
      <w:r>
        <w:rPr>
          <w:rFonts w:hint="eastAsia" w:ascii="仿宋_GB2312" w:hAnsi="仿宋_GB2312" w:eastAsia="仿宋_GB2312" w:cs="仿宋_GB2312"/>
          <w:b w:val="0"/>
          <w:bCs w:val="0"/>
          <w:kern w:val="2"/>
          <w:sz w:val="32"/>
          <w:szCs w:val="32"/>
          <w:lang w:val="en-US" w:eastAsia="zh-CN"/>
        </w:rPr>
        <w:t>150</w:t>
      </w:r>
      <w:r>
        <w:rPr>
          <w:rFonts w:hint="eastAsia" w:ascii="仿宋_GB2312" w:hAnsi="仿宋_GB2312" w:eastAsia="仿宋_GB2312" w:cs="仿宋_GB2312"/>
          <w:b w:val="0"/>
          <w:bCs w:val="0"/>
          <w:kern w:val="2"/>
          <w:sz w:val="32"/>
          <w:szCs w:val="32"/>
        </w:rPr>
        <w:t>场，发放宣传资料</w:t>
      </w:r>
      <w:r>
        <w:rPr>
          <w:rFonts w:hint="eastAsia" w:ascii="仿宋_GB2312" w:hAnsi="仿宋_GB2312" w:eastAsia="仿宋_GB2312" w:cs="仿宋_GB2312"/>
          <w:b w:val="0"/>
          <w:bCs w:val="0"/>
          <w:kern w:val="2"/>
          <w:sz w:val="32"/>
          <w:szCs w:val="32"/>
          <w:lang w:val="en-US" w:eastAsia="zh-CN"/>
        </w:rPr>
        <w:t>7000</w:t>
      </w:r>
      <w:r>
        <w:rPr>
          <w:rFonts w:hint="eastAsia" w:ascii="仿宋_GB2312" w:hAnsi="仿宋_GB2312" w:eastAsia="仿宋_GB2312" w:cs="仿宋_GB2312"/>
          <w:b w:val="0"/>
          <w:bCs w:val="0"/>
          <w:kern w:val="2"/>
          <w:sz w:val="32"/>
          <w:szCs w:val="32"/>
        </w:rPr>
        <w:t>余份</w:t>
      </w:r>
      <w:r>
        <w:rPr>
          <w:rFonts w:hint="eastAsia" w:ascii="仿宋_GB2312" w:hAnsi="仿宋_GB2312" w:eastAsia="仿宋_GB2312" w:cs="仿宋_GB2312"/>
          <w:b w:val="0"/>
          <w:bCs w:val="0"/>
          <w:sz w:val="32"/>
          <w:szCs w:val="32"/>
        </w:rPr>
        <w:t>，组织9名“乡村法律明白人”及3名“农村学法示范户”参与大讲堂，提供“AI普法茶亭”和“丰台普法×法行宝”线上人工智能法律咨询产品，为“法律明白人”开展工作提供支持，推动法治</w:t>
      </w:r>
      <w:r>
        <w:rPr>
          <w:rFonts w:hint="eastAsia" w:ascii="仿宋_GB2312" w:hAnsi="仿宋_GB2312" w:eastAsia="仿宋_GB2312" w:cs="仿宋_GB2312"/>
          <w:b w:val="0"/>
          <w:bCs w:val="0"/>
          <w:sz w:val="32"/>
          <w:szCs w:val="32"/>
          <w:lang w:eastAsia="zh-CN"/>
        </w:rPr>
        <w:t>宣传教育</w:t>
      </w:r>
      <w:r>
        <w:rPr>
          <w:rFonts w:hint="eastAsia" w:ascii="仿宋_GB2312" w:hAnsi="仿宋_GB2312" w:eastAsia="仿宋_GB2312" w:cs="仿宋_GB2312"/>
          <w:b w:val="0"/>
          <w:bCs w:val="0"/>
          <w:sz w:val="32"/>
          <w:szCs w:val="32"/>
        </w:rPr>
        <w:t>走深走实。</w:t>
      </w:r>
    </w:p>
    <w:p>
      <w:pPr>
        <w:pStyle w:val="9"/>
        <w:widowControl/>
        <w:spacing w:beforeAutospacing="0" w:afterAutospacing="0"/>
        <w:ind w:firstLine="643"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lang w:eastAsia="zh-CN"/>
        </w:rPr>
        <w:t>五是</w:t>
      </w:r>
      <w:r>
        <w:rPr>
          <w:rFonts w:hint="eastAsia" w:ascii="仿宋_GB2312" w:hAnsi="仿宋_GB2312" w:eastAsia="仿宋_GB2312" w:cs="仿宋_GB2312"/>
          <w:b/>
          <w:bCs/>
          <w:kern w:val="2"/>
          <w:sz w:val="32"/>
          <w:szCs w:val="32"/>
        </w:rPr>
        <w:t>积极推进“法治副村长”行动。</w:t>
      </w:r>
      <w:r>
        <w:rPr>
          <w:rFonts w:hint="eastAsia" w:ascii="仿宋_GB2312" w:hAnsi="仿宋_GB2312" w:eastAsia="仿宋_GB2312" w:cs="仿宋_GB2312"/>
          <w:b w:val="0"/>
          <w:bCs w:val="0"/>
          <w:kern w:val="2"/>
          <w:sz w:val="32"/>
          <w:szCs w:val="32"/>
        </w:rPr>
        <w:t>辖区各村积极组织“法治副村长”参与矛盾纠纷排查化解，面对婚姻、家庭、邻里等突出矛盾纠纷案件，秉持着“群众利益无小事”的原则，倾听群众声音，了解群众所需，梳理形成问题清单、需求清单，针对清单提供高效便捷的法治服务，现场能解决的问题及时解决，解决不了的协调街道司法所协同进行处理。切实把群众反映的“问题清单”变成“法治副村长”的“责任清单”。通过“零距离”交谈、讲理说法、以案释法等方式，有效化解矛盾问题，促进乡村和谐。截至目前，各村联合“法治副村长”开展矛盾纠纷排查10余次。</w:t>
      </w:r>
    </w:p>
    <w:p>
      <w:pPr>
        <w:pStyle w:val="9"/>
        <w:widowControl/>
        <w:spacing w:before="0" w:beforeAutospacing="0" w:after="0" w:afterAutospacing="0"/>
        <w:ind w:left="0" w:right="0" w:firstLine="640" w:firstLineChars="200"/>
        <w:jc w:val="both"/>
        <w:rPr>
          <w:rFonts w:hint="eastAsia" w:ascii="黑体" w:hAnsi="黑体" w:eastAsia="黑体" w:cs="仿宋_GB2312"/>
          <w:bCs/>
          <w:kern w:val="2"/>
          <w:sz w:val="32"/>
          <w:szCs w:val="32"/>
          <w:lang w:bidi="ar-SA"/>
        </w:rPr>
      </w:pPr>
      <w:r>
        <w:rPr>
          <w:rFonts w:hint="eastAsia" w:ascii="黑体" w:hAnsi="黑体" w:eastAsia="黑体" w:cs="仿宋_GB2312"/>
          <w:bCs/>
          <w:kern w:val="2"/>
          <w:sz w:val="32"/>
          <w:szCs w:val="32"/>
          <w:lang w:bidi="ar-SA"/>
        </w:rPr>
        <w:t>二、202</w:t>
      </w:r>
      <w:r>
        <w:rPr>
          <w:rFonts w:hint="eastAsia" w:ascii="黑体" w:hAnsi="黑体" w:eastAsia="黑体" w:cs="仿宋_GB2312"/>
          <w:bCs/>
          <w:kern w:val="2"/>
          <w:sz w:val="32"/>
          <w:szCs w:val="32"/>
          <w:lang w:val="en-US" w:eastAsia="zh-CN" w:bidi="ar-SA"/>
        </w:rPr>
        <w:t>5</w:t>
      </w:r>
      <w:r>
        <w:rPr>
          <w:rFonts w:hint="eastAsia" w:ascii="黑体" w:hAnsi="黑体" w:eastAsia="黑体" w:cs="仿宋_GB2312"/>
          <w:bCs/>
          <w:kern w:val="2"/>
          <w:sz w:val="32"/>
          <w:szCs w:val="32"/>
          <w:lang w:bidi="ar-SA"/>
        </w:rPr>
        <w:t>年法治政府建设存在的问题与不足</w:t>
      </w:r>
    </w:p>
    <w:p>
      <w:pPr>
        <w:pStyle w:val="9"/>
        <w:widowControl/>
        <w:spacing w:beforeAutospacing="0" w:afterAutospacing="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一是法治能力建设有待加强。</w:t>
      </w:r>
      <w:r>
        <w:rPr>
          <w:rFonts w:hint="eastAsia" w:ascii="仿宋_GB2312" w:hAnsi="仿宋_GB2312" w:eastAsia="仿宋_GB2312" w:cs="仿宋_GB2312"/>
          <w:sz w:val="32"/>
          <w:szCs w:val="32"/>
        </w:rPr>
        <w:t>部分干部运用法治思维和法治方式解决复杂问题的能力仍有欠缺，面对新情况新问题时，有时存在惯性思维，法治敏锐性和主动性需进一步提升。</w:t>
      </w:r>
      <w:r>
        <w:rPr>
          <w:rFonts w:hint="eastAsia" w:ascii="仿宋_GB2312" w:hAnsi="仿宋_GB2312" w:eastAsia="仿宋_GB2312" w:cs="仿宋_GB2312"/>
          <w:sz w:val="32"/>
          <w:szCs w:val="32"/>
          <w:lang w:val="en-US" w:eastAsia="zh-CN"/>
        </w:rPr>
        <w:t xml:space="preserve"> </w:t>
      </w:r>
    </w:p>
    <w:p>
      <w:pPr>
        <w:pStyle w:val="9"/>
        <w:widowControl/>
        <w:spacing w:beforeAutospacing="0" w:afterAutospacing="0"/>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二是基层法治基础仍需夯实。</w:t>
      </w:r>
      <w:r>
        <w:rPr>
          <w:rFonts w:hint="eastAsia" w:ascii="仿宋_GB2312" w:hAnsi="仿宋_GB2312" w:eastAsia="仿宋_GB2312" w:cs="仿宋_GB2312"/>
          <w:sz w:val="32"/>
          <w:szCs w:val="32"/>
        </w:rPr>
        <w:t>社区（村）层面的“法律明白人”作用发挥不够充分，运用法治手段服务群众、化解矛盾的能力有待提高。</w:t>
      </w:r>
    </w:p>
    <w:p>
      <w:pPr>
        <w:pStyle w:val="9"/>
        <w:widowControl/>
        <w:spacing w:beforeAutospacing="0" w:afterAutospacing="0"/>
        <w:ind w:firstLine="643" w:firstLineChars="200"/>
        <w:jc w:val="both"/>
        <w:rPr>
          <w:rFonts w:hint="default"/>
          <w:lang w:val="en-US" w:eastAsia="zh-CN"/>
        </w:rPr>
      </w:pPr>
      <w:r>
        <w:rPr>
          <w:rFonts w:hint="eastAsia" w:ascii="仿宋_GB2312" w:hAnsi="仿宋_GB2312" w:eastAsia="仿宋_GB2312" w:cs="仿宋_GB2312"/>
          <w:b/>
          <w:bCs/>
          <w:sz w:val="32"/>
          <w:szCs w:val="32"/>
        </w:rPr>
        <w:t>三是执法规范化水平需持续提升。</w:t>
      </w:r>
      <w:r>
        <w:rPr>
          <w:rFonts w:hint="eastAsia" w:ascii="仿宋_GB2312" w:hAnsi="仿宋_GB2312" w:eastAsia="仿宋_GB2312" w:cs="仿宋_GB2312"/>
          <w:sz w:val="32"/>
          <w:szCs w:val="32"/>
        </w:rPr>
        <w:t>在综合行政执法领域，个别环节的程序规范性、文书严谨性仍有改进空间，执法人员专业素养需通过常态化培训不断增强。</w:t>
      </w:r>
    </w:p>
    <w:p>
      <w:pPr>
        <w:pStyle w:val="9"/>
        <w:widowControl/>
        <w:spacing w:before="0" w:beforeAutospacing="0" w:after="0" w:afterAutospacing="0"/>
        <w:ind w:left="0" w:right="0" w:firstLine="640" w:firstLineChars="200"/>
        <w:jc w:val="both"/>
        <w:rPr>
          <w:rFonts w:hint="eastAsia" w:ascii="黑体" w:hAnsi="黑体" w:eastAsia="黑体" w:cs="仿宋_GB2312"/>
          <w:bCs/>
          <w:kern w:val="2"/>
          <w:sz w:val="32"/>
          <w:szCs w:val="32"/>
          <w:lang w:val="en-US" w:eastAsia="zh-CN" w:bidi="ar-SA"/>
        </w:rPr>
      </w:pPr>
      <w:r>
        <w:rPr>
          <w:rFonts w:hint="eastAsia" w:ascii="黑体" w:hAnsi="黑体" w:eastAsia="黑体" w:cs="仿宋_GB2312"/>
          <w:bCs/>
          <w:kern w:val="2"/>
          <w:sz w:val="32"/>
          <w:szCs w:val="32"/>
          <w:lang w:val="en-US" w:eastAsia="zh-CN" w:bidi="ar-SA"/>
        </w:rPr>
        <w:t>三、2026年工作主要思路和重点目标任务</w:t>
      </w:r>
    </w:p>
    <w:p>
      <w:pPr>
        <w:pStyle w:val="6"/>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bookmarkStart w:id="0" w:name="_GoBack"/>
      <w:r>
        <w:rPr>
          <w:rFonts w:hint="eastAsia" w:ascii="仿宋_GB2312" w:hAnsi="仿宋_GB2312" w:eastAsia="仿宋_GB2312" w:cs="仿宋_GB2312"/>
          <w:b/>
          <w:bCs/>
          <w:i w:val="0"/>
          <w:iCs w:val="0"/>
          <w:caps w:val="0"/>
          <w:color w:val="000000"/>
          <w:spacing w:val="0"/>
          <w:kern w:val="0"/>
          <w:sz w:val="32"/>
          <w:szCs w:val="32"/>
          <w:lang w:val="en-US" w:eastAsia="zh-CN" w:bidi="ar"/>
        </w:rPr>
        <w:t>一是持续强化法治思维。</w:t>
      </w:r>
      <w:r>
        <w:rPr>
          <w:rFonts w:hint="eastAsia" w:ascii="仿宋_GB2312" w:hAnsi="仿宋_GB2312" w:eastAsia="仿宋_GB2312" w:cs="仿宋_GB2312"/>
          <w:i w:val="0"/>
          <w:iCs w:val="0"/>
          <w:caps w:val="0"/>
          <w:color w:val="000000"/>
          <w:spacing w:val="0"/>
          <w:kern w:val="0"/>
          <w:sz w:val="32"/>
          <w:szCs w:val="32"/>
          <w:lang w:val="en-US" w:eastAsia="zh-CN" w:bidi="ar"/>
        </w:rPr>
        <w:t>坚持领导干部带头尊法学法守法用法，将法治素养提升作为干部教育培训的重要内容，不断增强依法决策、依法行政、依法治理的自觉性。</w:t>
      </w:r>
    </w:p>
    <w:p>
      <w:pPr>
        <w:pStyle w:val="6"/>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b/>
          <w:bCs/>
          <w:i w:val="0"/>
          <w:iCs w:val="0"/>
          <w:caps w:val="0"/>
          <w:color w:val="000000"/>
          <w:spacing w:val="0"/>
          <w:kern w:val="0"/>
          <w:sz w:val="32"/>
          <w:szCs w:val="32"/>
          <w:lang w:val="en-US" w:eastAsia="zh-CN" w:bidi="ar"/>
        </w:rPr>
        <w:t>二是着力夯实基层法治根基。</w:t>
      </w:r>
      <w:r>
        <w:rPr>
          <w:rFonts w:hint="eastAsia" w:ascii="仿宋_GB2312" w:hAnsi="仿宋_GB2312" w:eastAsia="仿宋_GB2312" w:cs="仿宋_GB2312"/>
          <w:i w:val="0"/>
          <w:iCs w:val="0"/>
          <w:caps w:val="0"/>
          <w:color w:val="000000"/>
          <w:spacing w:val="0"/>
          <w:kern w:val="0"/>
          <w:sz w:val="32"/>
          <w:szCs w:val="32"/>
          <w:lang w:val="en-US" w:eastAsia="zh-CN" w:bidi="ar"/>
        </w:rPr>
        <w:t>加强对社区（村）“法律明白人”的培养和使用，推动更多法治力量向基层倾斜，提升基层依法治理水平和能力。</w:t>
      </w:r>
    </w:p>
    <w:p>
      <w:pPr>
        <w:pStyle w:val="6"/>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b/>
          <w:bCs/>
          <w:i w:val="0"/>
          <w:iCs w:val="0"/>
          <w:caps w:val="0"/>
          <w:color w:val="000000"/>
          <w:spacing w:val="0"/>
          <w:kern w:val="0"/>
          <w:sz w:val="32"/>
          <w:szCs w:val="32"/>
          <w:lang w:val="en-US" w:eastAsia="zh-CN" w:bidi="ar"/>
        </w:rPr>
        <w:t>三是全面提升依法行政水平。</w:t>
      </w:r>
      <w:r>
        <w:rPr>
          <w:rFonts w:hint="eastAsia" w:ascii="仿宋_GB2312" w:hAnsi="仿宋_GB2312" w:eastAsia="仿宋_GB2312" w:cs="仿宋_GB2312"/>
          <w:i w:val="0"/>
          <w:iCs w:val="0"/>
          <w:caps w:val="0"/>
          <w:color w:val="000000"/>
          <w:spacing w:val="0"/>
          <w:kern w:val="0"/>
          <w:sz w:val="32"/>
          <w:szCs w:val="32"/>
          <w:lang w:val="en-US" w:eastAsia="zh-CN" w:bidi="ar"/>
        </w:rPr>
        <w:t>加强执法队伍专业化建设，严格执法程序，规范执法行为，强化执法监督，努力让人民群众在每一个执法行为中感受到公平正义。</w:t>
      </w:r>
    </w:p>
    <w:p>
      <w:pPr>
        <w:keepNext w:val="0"/>
        <w:keepLines w:val="0"/>
        <w:pageBreakBefore w:val="0"/>
        <w:widowControl w:val="0"/>
        <w:tabs>
          <w:tab w:val="left" w:pos="440"/>
        </w:tabs>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i w:val="0"/>
          <w:iCs w:val="0"/>
          <w:caps w:val="0"/>
          <w:color w:val="000000"/>
          <w:spacing w:val="0"/>
          <w:kern w:val="0"/>
          <w:sz w:val="32"/>
          <w:szCs w:val="32"/>
          <w:lang w:val="en-US" w:eastAsia="zh-CN" w:bidi="ar"/>
        </w:rPr>
        <w:t>四是优化法治化营商环境。</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完善商务楼宇法治阵地建设，</w:t>
      </w:r>
      <w:r>
        <w:rPr>
          <w:rFonts w:hint="eastAsia" w:ascii="仿宋_GB2312" w:hAnsi="仿宋_GB2312" w:eastAsia="仿宋_GB2312" w:cs="仿宋_GB2312"/>
          <w:i w:val="0"/>
          <w:iCs w:val="0"/>
          <w:caps w:val="0"/>
          <w:color w:val="000000"/>
          <w:spacing w:val="0"/>
          <w:kern w:val="0"/>
          <w:sz w:val="32"/>
          <w:szCs w:val="32"/>
          <w:lang w:val="en-US" w:eastAsia="zh-CN" w:bidi="ar"/>
        </w:rPr>
        <w:t>依法保护各类市场主体合法权益，激发市场活力，为街道经济高质量发展注入更强法治动力。</w:t>
      </w:r>
    </w:p>
    <w:p>
      <w:pPr>
        <w:pStyle w:val="15"/>
        <w:spacing w:line="560" w:lineRule="exact"/>
        <w:ind w:firstLine="643"/>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以上个人履行法治建设职责情况，不妥之处敬请大家提出批评意见和建议，及时予以监督，谢谢！</w:t>
      </w:r>
      <w:bookmarkEnd w:id="0"/>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ZjRkY2U0MTc0ZTQ5YjI2ZWYyODgzYTIxMTE2MjMifQ=="/>
  </w:docVars>
  <w:rsids>
    <w:rsidRoot w:val="23C4666F"/>
    <w:rsid w:val="002E01C1"/>
    <w:rsid w:val="00381040"/>
    <w:rsid w:val="00660AAB"/>
    <w:rsid w:val="00DE4209"/>
    <w:rsid w:val="01853350"/>
    <w:rsid w:val="02105DD0"/>
    <w:rsid w:val="02714395"/>
    <w:rsid w:val="02750329"/>
    <w:rsid w:val="02BE0D65"/>
    <w:rsid w:val="03086AA8"/>
    <w:rsid w:val="03BB6210"/>
    <w:rsid w:val="04A3117E"/>
    <w:rsid w:val="04A56E5D"/>
    <w:rsid w:val="04F85928"/>
    <w:rsid w:val="05002B6F"/>
    <w:rsid w:val="05412745"/>
    <w:rsid w:val="05EA4235"/>
    <w:rsid w:val="060078E9"/>
    <w:rsid w:val="06717C65"/>
    <w:rsid w:val="06B34F7C"/>
    <w:rsid w:val="076D3C67"/>
    <w:rsid w:val="07B216D8"/>
    <w:rsid w:val="07C27951"/>
    <w:rsid w:val="07CF62EF"/>
    <w:rsid w:val="07FE2B6F"/>
    <w:rsid w:val="08294536"/>
    <w:rsid w:val="086A3D60"/>
    <w:rsid w:val="08FE41F4"/>
    <w:rsid w:val="094C5B8E"/>
    <w:rsid w:val="097C663E"/>
    <w:rsid w:val="09B5725D"/>
    <w:rsid w:val="0A64315D"/>
    <w:rsid w:val="0A8A693C"/>
    <w:rsid w:val="0AA03A6A"/>
    <w:rsid w:val="0AD6392F"/>
    <w:rsid w:val="0B9837F8"/>
    <w:rsid w:val="0CF06F2A"/>
    <w:rsid w:val="0D1F511A"/>
    <w:rsid w:val="0D4679F1"/>
    <w:rsid w:val="0E7E366C"/>
    <w:rsid w:val="1087642D"/>
    <w:rsid w:val="10FE7D21"/>
    <w:rsid w:val="11270A41"/>
    <w:rsid w:val="12FE7EC7"/>
    <w:rsid w:val="130B7EEE"/>
    <w:rsid w:val="13D1738A"/>
    <w:rsid w:val="142915CA"/>
    <w:rsid w:val="14A5684C"/>
    <w:rsid w:val="14B5332E"/>
    <w:rsid w:val="15783F61"/>
    <w:rsid w:val="15842905"/>
    <w:rsid w:val="1688488C"/>
    <w:rsid w:val="16CF5E02"/>
    <w:rsid w:val="17B15508"/>
    <w:rsid w:val="17D631C0"/>
    <w:rsid w:val="189A1485"/>
    <w:rsid w:val="18A84B5D"/>
    <w:rsid w:val="18B21538"/>
    <w:rsid w:val="18CD6371"/>
    <w:rsid w:val="19166D99"/>
    <w:rsid w:val="199624B8"/>
    <w:rsid w:val="19E95742"/>
    <w:rsid w:val="1A3D12D5"/>
    <w:rsid w:val="1A495ECC"/>
    <w:rsid w:val="1A903AFB"/>
    <w:rsid w:val="1AA2382E"/>
    <w:rsid w:val="1AC4394F"/>
    <w:rsid w:val="1BF65BDF"/>
    <w:rsid w:val="1CA27B15"/>
    <w:rsid w:val="1D303AF9"/>
    <w:rsid w:val="1D9E2F6D"/>
    <w:rsid w:val="1DEF6D8A"/>
    <w:rsid w:val="1E524ABE"/>
    <w:rsid w:val="1EBB7078"/>
    <w:rsid w:val="1EED74C5"/>
    <w:rsid w:val="1F1C595D"/>
    <w:rsid w:val="1F406AD1"/>
    <w:rsid w:val="1F4E188E"/>
    <w:rsid w:val="207C6121"/>
    <w:rsid w:val="208A0FEC"/>
    <w:rsid w:val="20CA2518"/>
    <w:rsid w:val="216435EB"/>
    <w:rsid w:val="228D26CE"/>
    <w:rsid w:val="23C4666F"/>
    <w:rsid w:val="23EA710C"/>
    <w:rsid w:val="23FE09AB"/>
    <w:rsid w:val="242A28CA"/>
    <w:rsid w:val="246F29D3"/>
    <w:rsid w:val="248F6BD1"/>
    <w:rsid w:val="24E80F1F"/>
    <w:rsid w:val="24EE7D9B"/>
    <w:rsid w:val="250B2AF0"/>
    <w:rsid w:val="254774AC"/>
    <w:rsid w:val="25565C47"/>
    <w:rsid w:val="264B61DF"/>
    <w:rsid w:val="271C2272"/>
    <w:rsid w:val="27343A60"/>
    <w:rsid w:val="278F5850"/>
    <w:rsid w:val="27FB47B4"/>
    <w:rsid w:val="280244B8"/>
    <w:rsid w:val="28772FD2"/>
    <w:rsid w:val="29223568"/>
    <w:rsid w:val="296323DA"/>
    <w:rsid w:val="296F5223"/>
    <w:rsid w:val="2972384F"/>
    <w:rsid w:val="2A475DA5"/>
    <w:rsid w:val="2A73381A"/>
    <w:rsid w:val="2B146082"/>
    <w:rsid w:val="2C962C9B"/>
    <w:rsid w:val="2C972AC7"/>
    <w:rsid w:val="2D59777F"/>
    <w:rsid w:val="2DB15E0A"/>
    <w:rsid w:val="2E8244B9"/>
    <w:rsid w:val="2EC41B6D"/>
    <w:rsid w:val="2F43032D"/>
    <w:rsid w:val="308D4C84"/>
    <w:rsid w:val="30E81B43"/>
    <w:rsid w:val="31397BCD"/>
    <w:rsid w:val="3157337F"/>
    <w:rsid w:val="329C3440"/>
    <w:rsid w:val="32BF3AE8"/>
    <w:rsid w:val="32DD4FAB"/>
    <w:rsid w:val="333472C1"/>
    <w:rsid w:val="33727DEA"/>
    <w:rsid w:val="33C341A1"/>
    <w:rsid w:val="342B2E5D"/>
    <w:rsid w:val="34747D14"/>
    <w:rsid w:val="34781430"/>
    <w:rsid w:val="34D56612"/>
    <w:rsid w:val="354A743D"/>
    <w:rsid w:val="35586B6B"/>
    <w:rsid w:val="355B72AF"/>
    <w:rsid w:val="359C114E"/>
    <w:rsid w:val="35F920FC"/>
    <w:rsid w:val="36426FC2"/>
    <w:rsid w:val="36E3011C"/>
    <w:rsid w:val="384C6E5B"/>
    <w:rsid w:val="384D4981"/>
    <w:rsid w:val="38E075A3"/>
    <w:rsid w:val="3A5B15D7"/>
    <w:rsid w:val="3A6374E1"/>
    <w:rsid w:val="3BA70186"/>
    <w:rsid w:val="3C7E335B"/>
    <w:rsid w:val="3CB11983"/>
    <w:rsid w:val="3CC71547"/>
    <w:rsid w:val="3CCD42E3"/>
    <w:rsid w:val="3D2D6B2F"/>
    <w:rsid w:val="3DE14071"/>
    <w:rsid w:val="3EB76FF8"/>
    <w:rsid w:val="3EF7492C"/>
    <w:rsid w:val="3FD96707"/>
    <w:rsid w:val="3FDA11F0"/>
    <w:rsid w:val="400E2984"/>
    <w:rsid w:val="40575BCB"/>
    <w:rsid w:val="41A4122D"/>
    <w:rsid w:val="42641245"/>
    <w:rsid w:val="42AE0712"/>
    <w:rsid w:val="446E63AB"/>
    <w:rsid w:val="44A45929"/>
    <w:rsid w:val="44BE5DD5"/>
    <w:rsid w:val="45322F35"/>
    <w:rsid w:val="45763769"/>
    <w:rsid w:val="461A0599"/>
    <w:rsid w:val="469344A1"/>
    <w:rsid w:val="46B300A5"/>
    <w:rsid w:val="46C027C2"/>
    <w:rsid w:val="46D87B0C"/>
    <w:rsid w:val="46E24C8C"/>
    <w:rsid w:val="47A224DB"/>
    <w:rsid w:val="47EC286A"/>
    <w:rsid w:val="481908AA"/>
    <w:rsid w:val="486712E8"/>
    <w:rsid w:val="487D4E0F"/>
    <w:rsid w:val="48BE7AE0"/>
    <w:rsid w:val="49661736"/>
    <w:rsid w:val="49865F45"/>
    <w:rsid w:val="4989165B"/>
    <w:rsid w:val="49AD702E"/>
    <w:rsid w:val="4A1D0657"/>
    <w:rsid w:val="4A802994"/>
    <w:rsid w:val="4AA2290B"/>
    <w:rsid w:val="4AEB61C1"/>
    <w:rsid w:val="4B472048"/>
    <w:rsid w:val="4B6978CC"/>
    <w:rsid w:val="4B7E045A"/>
    <w:rsid w:val="4CE27936"/>
    <w:rsid w:val="4CFB1DE6"/>
    <w:rsid w:val="4D106251"/>
    <w:rsid w:val="4E2D2E33"/>
    <w:rsid w:val="4E4372D5"/>
    <w:rsid w:val="4E742810"/>
    <w:rsid w:val="4EDE2193"/>
    <w:rsid w:val="4F4C553B"/>
    <w:rsid w:val="4F656FD4"/>
    <w:rsid w:val="504D156B"/>
    <w:rsid w:val="506F7733"/>
    <w:rsid w:val="50714FD3"/>
    <w:rsid w:val="5095081C"/>
    <w:rsid w:val="50AA076B"/>
    <w:rsid w:val="51505A58"/>
    <w:rsid w:val="51954A02"/>
    <w:rsid w:val="52097713"/>
    <w:rsid w:val="5220385A"/>
    <w:rsid w:val="52770B21"/>
    <w:rsid w:val="528F5286"/>
    <w:rsid w:val="5294763D"/>
    <w:rsid w:val="52BD2F9B"/>
    <w:rsid w:val="536C1D08"/>
    <w:rsid w:val="539A4AC7"/>
    <w:rsid w:val="541A1191"/>
    <w:rsid w:val="54316B65"/>
    <w:rsid w:val="54477BD2"/>
    <w:rsid w:val="55436A98"/>
    <w:rsid w:val="56927CD7"/>
    <w:rsid w:val="56DA7D27"/>
    <w:rsid w:val="57346132"/>
    <w:rsid w:val="57B10631"/>
    <w:rsid w:val="57D92392"/>
    <w:rsid w:val="57E00F16"/>
    <w:rsid w:val="57E427B4"/>
    <w:rsid w:val="587873A1"/>
    <w:rsid w:val="58C6010C"/>
    <w:rsid w:val="58FC734C"/>
    <w:rsid w:val="5943175D"/>
    <w:rsid w:val="594B6A64"/>
    <w:rsid w:val="5ADA7E9F"/>
    <w:rsid w:val="5B0F5D9A"/>
    <w:rsid w:val="5B4812AC"/>
    <w:rsid w:val="5C3B2BBF"/>
    <w:rsid w:val="5D0C19F1"/>
    <w:rsid w:val="5D1041BB"/>
    <w:rsid w:val="5D3C6BEF"/>
    <w:rsid w:val="5D8A2CFB"/>
    <w:rsid w:val="5DA84550"/>
    <w:rsid w:val="5E850121"/>
    <w:rsid w:val="5EF05EE3"/>
    <w:rsid w:val="5F381638"/>
    <w:rsid w:val="5FE315A4"/>
    <w:rsid w:val="5FEA0B84"/>
    <w:rsid w:val="5FEB66AA"/>
    <w:rsid w:val="605F28A6"/>
    <w:rsid w:val="607B7A2E"/>
    <w:rsid w:val="60DB671F"/>
    <w:rsid w:val="614C732A"/>
    <w:rsid w:val="61BA07B9"/>
    <w:rsid w:val="61D218D0"/>
    <w:rsid w:val="6305399C"/>
    <w:rsid w:val="63065CD5"/>
    <w:rsid w:val="63F33A65"/>
    <w:rsid w:val="64030466"/>
    <w:rsid w:val="64134E27"/>
    <w:rsid w:val="641F4B74"/>
    <w:rsid w:val="66171FA7"/>
    <w:rsid w:val="66A55198"/>
    <w:rsid w:val="66EC3434"/>
    <w:rsid w:val="66FB5425"/>
    <w:rsid w:val="67544B35"/>
    <w:rsid w:val="67955879"/>
    <w:rsid w:val="67A45FE7"/>
    <w:rsid w:val="67B33F51"/>
    <w:rsid w:val="67C63C85"/>
    <w:rsid w:val="67DF6AF4"/>
    <w:rsid w:val="686B482C"/>
    <w:rsid w:val="68A1024E"/>
    <w:rsid w:val="68BE2BAE"/>
    <w:rsid w:val="68C006D4"/>
    <w:rsid w:val="69554131"/>
    <w:rsid w:val="69821E2D"/>
    <w:rsid w:val="6A2A0A42"/>
    <w:rsid w:val="6A587C04"/>
    <w:rsid w:val="6A7F636D"/>
    <w:rsid w:val="6B39476E"/>
    <w:rsid w:val="6B3B04E6"/>
    <w:rsid w:val="6D564FAA"/>
    <w:rsid w:val="6D611D5A"/>
    <w:rsid w:val="6D836174"/>
    <w:rsid w:val="6DBD1FDD"/>
    <w:rsid w:val="6DFA4688"/>
    <w:rsid w:val="6E041063"/>
    <w:rsid w:val="6E224699"/>
    <w:rsid w:val="6E5450E9"/>
    <w:rsid w:val="6E565636"/>
    <w:rsid w:val="6E9973E0"/>
    <w:rsid w:val="6FAA79E8"/>
    <w:rsid w:val="6FB30672"/>
    <w:rsid w:val="6FBB7E47"/>
    <w:rsid w:val="6FDE58E3"/>
    <w:rsid w:val="6FF670D1"/>
    <w:rsid w:val="70F52EE5"/>
    <w:rsid w:val="711041C2"/>
    <w:rsid w:val="715A543E"/>
    <w:rsid w:val="718F158B"/>
    <w:rsid w:val="71B72890"/>
    <w:rsid w:val="71D21648"/>
    <w:rsid w:val="71EF7BAE"/>
    <w:rsid w:val="723B526F"/>
    <w:rsid w:val="731F1EA5"/>
    <w:rsid w:val="73D47729"/>
    <w:rsid w:val="73F173A1"/>
    <w:rsid w:val="744A79EB"/>
    <w:rsid w:val="74F2076F"/>
    <w:rsid w:val="750A2CD7"/>
    <w:rsid w:val="750B717B"/>
    <w:rsid w:val="75644ADD"/>
    <w:rsid w:val="75CF3D00"/>
    <w:rsid w:val="75E63744"/>
    <w:rsid w:val="760D6F22"/>
    <w:rsid w:val="76424E1E"/>
    <w:rsid w:val="766B6D08"/>
    <w:rsid w:val="76BD26F7"/>
    <w:rsid w:val="77794709"/>
    <w:rsid w:val="77CE038C"/>
    <w:rsid w:val="78250553"/>
    <w:rsid w:val="783A4ECE"/>
    <w:rsid w:val="78F16688"/>
    <w:rsid w:val="790C34C1"/>
    <w:rsid w:val="798D4602"/>
    <w:rsid w:val="79A302E9"/>
    <w:rsid w:val="79F503F9"/>
    <w:rsid w:val="7A080CC1"/>
    <w:rsid w:val="7A0A149C"/>
    <w:rsid w:val="7A141937"/>
    <w:rsid w:val="7A3251AA"/>
    <w:rsid w:val="7A454EDD"/>
    <w:rsid w:val="7A6C06BC"/>
    <w:rsid w:val="7AA63B4E"/>
    <w:rsid w:val="7ACF0C4A"/>
    <w:rsid w:val="7BC77B74"/>
    <w:rsid w:val="7BD44F95"/>
    <w:rsid w:val="7BDE7397"/>
    <w:rsid w:val="7BFE17E7"/>
    <w:rsid w:val="7C206CF3"/>
    <w:rsid w:val="7CA83501"/>
    <w:rsid w:val="7CB815CD"/>
    <w:rsid w:val="7CFD1A9F"/>
    <w:rsid w:val="7D1B0177"/>
    <w:rsid w:val="7D24527D"/>
    <w:rsid w:val="7D7A1B55"/>
    <w:rsid w:val="7E10685A"/>
    <w:rsid w:val="D477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9"/>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4"/>
    </w:pPr>
    <w:rPr>
      <w:rFonts w:hint="eastAsia" w:eastAsia="宋体"/>
      <w:sz w:val="30"/>
    </w:r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index 9"/>
    <w:basedOn w:val="1"/>
    <w:next w:val="1"/>
    <w:unhideWhenUsed/>
    <w:qFormat/>
    <w:uiPriority w:val="99"/>
    <w:pPr>
      <w:ind w:left="1600" w:leftChars="1600"/>
    </w:pPr>
    <w:rPr>
      <w:rFonts w:ascii="Calibri" w:hAnsi="Calibri" w:eastAsia="仿宋_GB2312" w:cs="Times New Roman"/>
      <w:sz w:val="32"/>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paragraph" w:customStyle="1" w:styleId="1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3851</Words>
  <Characters>3915</Characters>
  <Lines>0</Lines>
  <Paragraphs>0</Paragraphs>
  <TotalTime>6</TotalTime>
  <ScaleCrop>false</ScaleCrop>
  <LinksUpToDate>false</LinksUpToDate>
  <CharactersWithSpaces>4742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2022-11-17T23:16:00Z</dcterms:created>
  <dc:creator>王辉</dc:creator>
  <cp:lastModifiedBy>thtf</cp:lastModifiedBy>
  <dcterms:modified xsi:type="dcterms:W3CDTF">2026-03-12T11:30:10Z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6F8E04B387C0499F9D3003DDD4B134A8_13</vt:lpwstr>
  </property>
  <property fmtid="{D5CDD505-2E9C-101B-9397-08002B2CF9AE}" pid="4" name="KSOTemplateDocerSaveRecord">
    <vt:lpwstr>eyJoZGlkIjoiZGY0ZjRkY2U0MTc0ZTQ5YjI2ZWYyODgzYTIxMTE2MjMiLCJ1c2VySWQiOiIxNzQ0NjY1NTE1In0=</vt:lpwstr>
  </property>
</Properties>
</file>