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F795CA">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kern w:val="2"/>
          <w:sz w:val="44"/>
          <w:szCs w:val="44"/>
          <w:lang w:eastAsia="zh-CN"/>
        </w:rPr>
      </w:pPr>
      <w:r>
        <w:rPr>
          <w:rFonts w:hint="eastAsia" w:ascii="方正小标宋简体" w:hAnsi="方正小标宋简体" w:eastAsia="方正小标宋简体" w:cs="方正小标宋简体"/>
          <w:kern w:val="0"/>
          <w:sz w:val="44"/>
          <w:szCs w:val="44"/>
          <w:lang w:val="en-US" w:eastAsia="zh-CN"/>
        </w:rPr>
        <w:t>石榴庄街道2025</w:t>
      </w:r>
      <w:r>
        <w:rPr>
          <w:rFonts w:hint="eastAsia" w:ascii="方正小标宋简体" w:hAnsi="方正小标宋简体" w:eastAsia="方正小标宋简体" w:cs="方正小标宋简体"/>
          <w:kern w:val="2"/>
          <w:sz w:val="44"/>
          <w:szCs w:val="44"/>
          <w:lang w:eastAsia="zh-CN"/>
        </w:rPr>
        <w:t>年法治政府建设</w:t>
      </w:r>
    </w:p>
    <w:p w14:paraId="77F51C7E">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kern w:val="2"/>
          <w:sz w:val="44"/>
          <w:szCs w:val="44"/>
          <w:lang w:eastAsia="zh-CN"/>
        </w:rPr>
      </w:pPr>
      <w:r>
        <w:rPr>
          <w:rFonts w:hint="eastAsia" w:ascii="方正小标宋简体" w:hAnsi="方正小标宋简体" w:eastAsia="方正小标宋简体" w:cs="方正小标宋简体"/>
          <w:kern w:val="2"/>
          <w:sz w:val="44"/>
          <w:szCs w:val="44"/>
          <w:lang w:eastAsia="zh-CN"/>
        </w:rPr>
        <w:t>年度情况报告</w:t>
      </w:r>
    </w:p>
    <w:p w14:paraId="1B6C3843">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left"/>
        <w:rPr>
          <w:rFonts w:hint="eastAsia" w:ascii="仿宋_GB2312" w:hAnsi="仿宋_GB2312" w:eastAsia="仿宋_GB2312" w:cs="仿宋_GB2312"/>
          <w:b w:val="0"/>
          <w:bCs/>
          <w:color w:val="333333"/>
          <w:sz w:val="32"/>
          <w:szCs w:val="32"/>
        </w:rPr>
      </w:pPr>
    </w:p>
    <w:p w14:paraId="7D19C586">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left"/>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20</w:t>
      </w:r>
      <w:r>
        <w:rPr>
          <w:rFonts w:hint="eastAsia" w:ascii="仿宋_GB2312" w:hAnsi="仿宋_GB2312" w:eastAsia="仿宋_GB2312" w:cs="仿宋_GB2312"/>
          <w:sz w:val="32"/>
          <w:szCs w:val="32"/>
          <w:lang w:val="en-US" w:eastAsia="zh-CN"/>
          <w14:ligatures w14:val="none"/>
        </w:rPr>
        <w:t>25</w:t>
      </w:r>
      <w:r>
        <w:rPr>
          <w:rFonts w:hint="eastAsia" w:ascii="仿宋_GB2312" w:hAnsi="仿宋_GB2312" w:eastAsia="仿宋_GB2312" w:cs="仿宋_GB2312"/>
          <w:sz w:val="32"/>
          <w:szCs w:val="32"/>
          <w14:ligatures w14:val="none"/>
        </w:rPr>
        <w:t>年</w:t>
      </w:r>
      <w:r>
        <w:rPr>
          <w:rFonts w:hint="eastAsia" w:ascii="仿宋_GB2312" w:hAnsi="仿宋_GB2312" w:eastAsia="仿宋_GB2312" w:cs="仿宋_GB2312"/>
          <w:sz w:val="32"/>
          <w:szCs w:val="32"/>
          <w:lang w:eastAsia="zh-CN"/>
          <w14:ligatures w14:val="none"/>
        </w:rPr>
        <w:t>石榴庄街道</w:t>
      </w:r>
      <w:r>
        <w:rPr>
          <w:rFonts w:hint="eastAsia" w:ascii="仿宋_GB2312" w:hAnsi="仿宋_GB2312" w:eastAsia="仿宋_GB2312" w:cs="仿宋_GB2312"/>
          <w:sz w:val="32"/>
          <w:szCs w:val="32"/>
          <w14:ligatures w14:val="none"/>
        </w:rPr>
        <w:t>在区委、区政府的正确领导下，坚持以习近平新时代中国特色社会主义思想为指导，</w:t>
      </w:r>
      <w:r>
        <w:rPr>
          <w:rFonts w:hint="eastAsia" w:ascii="仿宋_GB2312" w:hAnsi="仿宋_GB2312" w:eastAsia="仿宋_GB2312" w:cs="仿宋_GB2312"/>
          <w:sz w:val="32"/>
          <w:szCs w:val="32"/>
          <w:lang w:eastAsia="zh-CN"/>
          <w14:ligatures w14:val="none"/>
        </w:rPr>
        <w:t>全面</w:t>
      </w:r>
      <w:r>
        <w:rPr>
          <w:rFonts w:hint="eastAsia" w:ascii="仿宋_GB2312" w:hAnsi="仿宋_GB2312" w:eastAsia="仿宋_GB2312" w:cs="仿宋_GB2312"/>
          <w:sz w:val="32"/>
          <w:szCs w:val="32"/>
        </w:rPr>
        <w:t>贯彻</w:t>
      </w:r>
      <w:r>
        <w:rPr>
          <w:rFonts w:hint="eastAsia" w:ascii="仿宋_GB2312" w:hAnsi="仿宋_GB2312" w:eastAsia="仿宋_GB2312" w:cs="仿宋_GB2312"/>
          <w:sz w:val="32"/>
          <w:szCs w:val="32"/>
          <w:lang w:eastAsia="zh-CN"/>
        </w:rPr>
        <w:t>党的二十大和二十届历次全会精神，贯彻</w:t>
      </w:r>
      <w:r>
        <w:rPr>
          <w:rFonts w:hint="eastAsia" w:ascii="仿宋_GB2312" w:hAnsi="仿宋_GB2312" w:eastAsia="仿宋_GB2312" w:cs="仿宋_GB2312"/>
          <w:sz w:val="32"/>
          <w:szCs w:val="32"/>
        </w:rPr>
        <w:t>落实习近平法治思想，全面推进深化法治领域改革举措</w:t>
      </w:r>
      <w:r>
        <w:rPr>
          <w:rFonts w:hint="eastAsia" w:ascii="仿宋_GB2312" w:hAnsi="仿宋_GB2312" w:eastAsia="仿宋_GB2312" w:cs="仿宋_GB2312"/>
          <w:sz w:val="32"/>
          <w:szCs w:val="32"/>
          <w:lang w:eastAsia="zh-CN"/>
        </w:rPr>
        <w:t>，积极</w:t>
      </w:r>
      <w:r>
        <w:rPr>
          <w:rFonts w:hint="eastAsia" w:ascii="仿宋_GB2312" w:hAnsi="仿宋_GB2312" w:eastAsia="仿宋_GB2312" w:cs="仿宋_GB2312"/>
          <w:sz w:val="32"/>
          <w:szCs w:val="32"/>
        </w:rPr>
        <w:t>落实</w:t>
      </w:r>
      <w:r>
        <w:rPr>
          <w:rFonts w:hint="eastAsia" w:ascii="仿宋_GB2312" w:hAnsi="仿宋_GB2312" w:eastAsia="仿宋_GB2312" w:cs="仿宋_GB2312"/>
          <w:sz w:val="32"/>
          <w:szCs w:val="32"/>
          <w14:ligatures w14:val="none"/>
        </w:rPr>
        <w:t>区委、区政府关于法治政府建设的决策部署</w:t>
      </w:r>
      <w:r>
        <w:rPr>
          <w:rFonts w:hint="eastAsia" w:ascii="仿宋_GB2312" w:hAnsi="仿宋_GB2312" w:eastAsia="仿宋_GB2312" w:cs="仿宋_GB2312"/>
          <w:sz w:val="32"/>
          <w:szCs w:val="32"/>
        </w:rPr>
        <w:t>，持续深入推动党政主要负责人履行推进法治建设第一责任人职责，</w:t>
      </w:r>
      <w:r>
        <w:rPr>
          <w:rFonts w:hint="eastAsia" w:ascii="仿宋_GB2312" w:hAnsi="仿宋_GB2312" w:eastAsia="仿宋_GB2312" w:cs="仿宋_GB2312"/>
          <w:sz w:val="32"/>
          <w:szCs w:val="32"/>
          <w14:ligatures w14:val="none"/>
        </w:rPr>
        <w:t>现将</w:t>
      </w:r>
      <w:r>
        <w:rPr>
          <w:rFonts w:hint="eastAsia" w:ascii="仿宋_GB2312" w:hAnsi="仿宋_GB2312" w:eastAsia="仿宋_GB2312" w:cs="仿宋_GB2312"/>
          <w:sz w:val="32"/>
          <w:szCs w:val="32"/>
          <w:lang w:eastAsia="zh-CN"/>
          <w14:ligatures w14:val="none"/>
        </w:rPr>
        <w:t>石榴庄</w:t>
      </w:r>
      <w:r>
        <w:rPr>
          <w:rFonts w:hint="eastAsia" w:ascii="仿宋_GB2312" w:hAnsi="仿宋_GB2312" w:eastAsia="仿宋_GB2312" w:cs="仿宋_GB2312"/>
          <w:sz w:val="32"/>
          <w:szCs w:val="32"/>
          <w14:ligatures w14:val="none"/>
        </w:rPr>
        <w:t>街道202</w:t>
      </w:r>
      <w:r>
        <w:rPr>
          <w:rFonts w:hint="eastAsia" w:ascii="仿宋_GB2312" w:hAnsi="仿宋_GB2312" w:eastAsia="仿宋_GB2312" w:cs="仿宋_GB2312"/>
          <w:sz w:val="32"/>
          <w:szCs w:val="32"/>
          <w:lang w:val="en-US" w:eastAsia="zh-CN"/>
          <w14:ligatures w14:val="none"/>
        </w:rPr>
        <w:t>5</w:t>
      </w:r>
      <w:r>
        <w:rPr>
          <w:rFonts w:hint="eastAsia" w:ascii="仿宋_GB2312" w:hAnsi="仿宋_GB2312" w:eastAsia="仿宋_GB2312" w:cs="仿宋_GB2312"/>
          <w:sz w:val="32"/>
          <w:szCs w:val="32"/>
          <w14:ligatures w14:val="none"/>
        </w:rPr>
        <w:t>年法治政府建设情况报告如下：</w:t>
      </w:r>
    </w:p>
    <w:p w14:paraId="7813D22B">
      <w:pPr>
        <w:keepNext w:val="0"/>
        <w:keepLines w:val="0"/>
        <w:pageBreakBefore w:val="0"/>
        <w:widowControl w:val="0"/>
        <w:suppressAutoHyphen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Calibri"/>
          <w:kern w:val="2"/>
          <w:sz w:val="32"/>
          <w:szCs w:val="32"/>
        </w:rPr>
      </w:pPr>
      <w:r>
        <w:rPr>
          <w:rFonts w:hint="eastAsia" w:ascii="黑体" w:hAnsi="黑体" w:eastAsia="黑体" w:cs="Calibri"/>
          <w:kern w:val="2"/>
          <w:sz w:val="32"/>
          <w:szCs w:val="32"/>
        </w:rPr>
        <w:t>一、</w:t>
      </w:r>
      <w:r>
        <w:rPr>
          <w:rFonts w:hint="eastAsia" w:ascii="黑体" w:hAnsi="黑体" w:eastAsia="黑体" w:cs="Calibri"/>
          <w:kern w:val="2"/>
          <w:sz w:val="32"/>
          <w:szCs w:val="32"/>
          <w:lang w:eastAsia="zh-CN"/>
        </w:rPr>
        <w:t>202</w:t>
      </w:r>
      <w:r>
        <w:rPr>
          <w:rFonts w:hint="eastAsia" w:ascii="黑体" w:hAnsi="黑体" w:eastAsia="黑体" w:cs="Calibri"/>
          <w:kern w:val="2"/>
          <w:sz w:val="32"/>
          <w:szCs w:val="32"/>
          <w:lang w:val="en-US" w:eastAsia="zh-CN"/>
        </w:rPr>
        <w:t>5</w:t>
      </w:r>
      <w:r>
        <w:rPr>
          <w:rFonts w:hint="eastAsia" w:ascii="黑体" w:hAnsi="黑体" w:eastAsia="黑体" w:cs="Calibri"/>
          <w:kern w:val="2"/>
          <w:sz w:val="32"/>
          <w:szCs w:val="32"/>
        </w:rPr>
        <w:t>年法治政府建设主要</w:t>
      </w:r>
      <w:r>
        <w:rPr>
          <w:rFonts w:hint="eastAsia" w:ascii="黑体" w:hAnsi="黑体" w:eastAsia="黑体" w:cs="Calibri"/>
          <w:kern w:val="2"/>
          <w:sz w:val="32"/>
          <w:szCs w:val="32"/>
          <w:lang w:eastAsia="zh-CN"/>
        </w:rPr>
        <w:t>举措和</w:t>
      </w:r>
      <w:r>
        <w:rPr>
          <w:rFonts w:hint="eastAsia" w:ascii="黑体" w:hAnsi="黑体" w:eastAsia="黑体" w:cs="Calibri"/>
          <w:kern w:val="2"/>
          <w:sz w:val="32"/>
          <w:szCs w:val="32"/>
        </w:rPr>
        <w:t>成效</w:t>
      </w:r>
    </w:p>
    <w:p w14:paraId="443215D6">
      <w:pPr>
        <w:keepNext w:val="0"/>
        <w:keepLines w:val="0"/>
        <w:pageBreakBefore w:val="0"/>
        <w:widowControl w:val="0"/>
        <w:suppressAutoHyphen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_GB2312" w:hAnsi="楷体_GB2312" w:eastAsia="楷体_GB2312" w:cs="楷体_GB2312"/>
          <w:kern w:val="2"/>
          <w:sz w:val="32"/>
          <w:szCs w:val="32"/>
        </w:rPr>
      </w:pPr>
      <w:r>
        <w:rPr>
          <w:rFonts w:hint="eastAsia" w:ascii="楷体_GB2312" w:hAnsi="楷体_GB2312" w:eastAsia="楷体_GB2312" w:cs="楷体_GB2312"/>
          <w:kern w:val="2"/>
          <w:sz w:val="32"/>
          <w:szCs w:val="32"/>
        </w:rPr>
        <w:t>（一）</w:t>
      </w:r>
      <w:r>
        <w:rPr>
          <w:rFonts w:hint="eastAsia" w:ascii="楷体_GB2312" w:hAnsi="楷体_GB2312" w:eastAsia="楷体_GB2312" w:cs="楷体_GB2312"/>
          <w:kern w:val="2"/>
          <w:sz w:val="32"/>
          <w:szCs w:val="32"/>
          <w:lang w:eastAsia="zh-CN"/>
        </w:rPr>
        <w:t>深入</w:t>
      </w:r>
      <w:r>
        <w:rPr>
          <w:rFonts w:hint="eastAsia" w:ascii="楷体_GB2312" w:hAnsi="楷体_GB2312" w:eastAsia="楷体_GB2312" w:cs="楷体_GB2312"/>
          <w:kern w:val="2"/>
          <w:sz w:val="32"/>
          <w:szCs w:val="32"/>
        </w:rPr>
        <w:t>学习贯彻</w:t>
      </w:r>
      <w:r>
        <w:rPr>
          <w:rFonts w:hint="eastAsia" w:ascii="楷体_GB2312" w:hAnsi="楷体_GB2312" w:eastAsia="楷体_GB2312" w:cs="楷体_GB2312"/>
          <w:kern w:val="2"/>
          <w:sz w:val="32"/>
          <w:szCs w:val="32"/>
          <w:lang w:eastAsia="zh-CN"/>
        </w:rPr>
        <w:t>党的二十届四中全会精神和</w:t>
      </w:r>
      <w:r>
        <w:rPr>
          <w:rFonts w:hint="eastAsia" w:ascii="楷体_GB2312" w:hAnsi="楷体_GB2312" w:eastAsia="楷体_GB2312" w:cs="楷体_GB2312"/>
          <w:kern w:val="2"/>
          <w:sz w:val="32"/>
          <w:szCs w:val="32"/>
        </w:rPr>
        <w:t>习近平法治思想</w:t>
      </w:r>
    </w:p>
    <w:p w14:paraId="5989BEEF">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仿宋_GB2312" w:hAnsi="仿宋_GB2312" w:eastAsia="仿宋_GB2312" w:cs="仿宋_GB2312"/>
          <w:kern w:val="10"/>
          <w:sz w:val="32"/>
          <w:szCs w:val="32"/>
          <w:lang w:val="en-US" w:eastAsia="zh-CN"/>
        </w:rPr>
      </w:pPr>
      <w:r>
        <w:rPr>
          <w:rFonts w:hint="eastAsia" w:ascii="仿宋_GB2312" w:hAnsi="仿宋_GB2312" w:eastAsia="仿宋_GB2312" w:cs="仿宋_GB2312"/>
          <w:kern w:val="10"/>
          <w:sz w:val="32"/>
          <w:szCs w:val="32"/>
          <w:lang w:val="en-US" w:eastAsia="zh-CN"/>
        </w:rPr>
        <w:t>坚持将党的二十大和二十届历次全会精神、习近平法治思想贯彻落实到扎实推进依法行政、全面建设法治政府的全过程和各方面，确保街道各项工作在法治轨道上运行。严格落实工委会“第一议题”和理论学习中心组学习制度，全年组织开展学习41次，推动党的创新理论贯彻街道工作全过程。健全领导干部学法用法机制，坚持会前学法制度，推进领导干部应知应会党内法规和法律法规清单学习常态化，及时组织学习《公共安全视频图像信息系统管理条例》、《中华人民共和国治安管理处罚法》等新制定修订的重要法律、行政法规及本市地方立法。</w:t>
      </w:r>
      <w:r>
        <w:rPr>
          <w:rFonts w:hint="eastAsia" w:ascii="仿宋_GB2312" w:eastAsia="仿宋_GB2312"/>
          <w:color w:val="auto"/>
          <w:sz w:val="32"/>
          <w:szCs w:val="32"/>
          <w:lang w:val="en" w:eastAsia="zh-CN"/>
        </w:rPr>
        <w:t>压实法治建设责任，持续将党政主要负责人履行推进法治建设第一责任人职责情况列入年终述职内容。</w:t>
      </w:r>
    </w:p>
    <w:p w14:paraId="69612330">
      <w:pPr>
        <w:keepNext w:val="0"/>
        <w:keepLines w:val="0"/>
        <w:pageBreakBefore w:val="0"/>
        <w:widowControl w:val="0"/>
        <w:suppressAutoHyphen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 w:eastAsia="仿宋_GB2312" w:cs="仿宋"/>
          <w:sz w:val="32"/>
          <w:szCs w:val="32"/>
          <w:lang w:val="en-US" w:eastAsia="zh-CN"/>
          <w14:ligatures w14:val="none"/>
        </w:rPr>
      </w:pPr>
      <w:r>
        <w:rPr>
          <w:rFonts w:hint="eastAsia" w:ascii="楷体_GB2312" w:hAnsi="楷体_GB2312" w:eastAsia="楷体_GB2312" w:cs="楷体_GB2312"/>
          <w:kern w:val="2"/>
          <w:sz w:val="32"/>
          <w:szCs w:val="32"/>
        </w:rPr>
        <w:t>（二）</w:t>
      </w:r>
      <w:r>
        <w:rPr>
          <w:rFonts w:hint="eastAsia" w:ascii="楷体_GB2312" w:hAnsi="楷体_GB2312" w:eastAsia="楷体_GB2312" w:cs="楷体_GB2312"/>
          <w:kern w:val="2"/>
          <w:sz w:val="32"/>
          <w:szCs w:val="32"/>
          <w:lang w:val="en-US" w:eastAsia="zh-CN" w:bidi="ar-SA"/>
          <w14:ligatures w14:val="none"/>
        </w:rPr>
        <w:t>深入推进法治政府建设工作</w:t>
      </w:r>
    </w:p>
    <w:p w14:paraId="7A1C49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cs="仿宋"/>
          <w:sz w:val="32"/>
          <w:szCs w:val="32"/>
          <w:lang w:val="en-US" w:eastAsia="zh-CN"/>
          <w14:ligatures w14:val="none"/>
        </w:rPr>
      </w:pPr>
      <w:r>
        <w:rPr>
          <w:rFonts w:hint="eastAsia" w:ascii="仿宋_GB2312" w:hAnsi="仿宋" w:eastAsia="仿宋_GB2312" w:cs="仿宋"/>
          <w:sz w:val="32"/>
          <w:szCs w:val="32"/>
          <w:lang w:val="en-US" w:eastAsia="zh-CN"/>
          <w14:ligatures w14:val="none"/>
        </w:rPr>
        <w:t>1.持续优化营商环境。一是主动服务为企解忧。全面落实“营商环境十二条”，深化“服务包”特色化服务机制，协调解决企业诉求180件，满意率均为100%。通过开展“千企万户大走访”、“扫楼行动”、建立重点企业联系群、设立企业服务联络专员等方式，深入了解辖区企业经营状况与服务需求，及时主动为企业排忧解难。二是贴心服务助企加速。组织开展“石榴汇客厅”企业沙龙系列活动，持续发挥“石榴伙伴计划”品牌效应，建设“石榴先丰岗”，统筹利用高校、金融机构等资源，为企业提供数据智能管理、人才政策整合等多元化服务，协助企业开展路演、直播等活动。三是全方位服务促企发展。以企业需求为导向，围绕惠企政策宣传落实、人才服务、业务拓展、行政审批等关键环节，提供全方位服务支持，以实际行动助力企业健康发展。四是创新涉企执法。加快推动“一体化综合监管”，依托工作协同与数据研判，探索分级分类精准执法。全年执法检查次数同比下降39.3%，非现场检查率达88.88%，问题发现率提升21.5%，切实做到“有事服务、无事不扰。”</w:t>
      </w:r>
    </w:p>
    <w:p w14:paraId="65FB1E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lang w:val="en-US" w:eastAsia="zh-CN"/>
          <w14:ligatures w14:val="none"/>
        </w:rPr>
      </w:pPr>
      <w:r>
        <w:rPr>
          <w:rFonts w:hint="eastAsia" w:ascii="仿宋_GB2312" w:hAnsi="仿宋" w:eastAsia="仿宋_GB2312" w:cs="仿宋"/>
          <w:sz w:val="32"/>
          <w:szCs w:val="32"/>
          <w:lang w:val="en-US" w:eastAsia="zh-CN"/>
          <w14:ligatures w14:val="none"/>
        </w:rPr>
        <w:t>2.提升基层治理效能。全面贯彻《北京市接诉即办工作条例》，持续完善接诉即办全流程工作机制。一是引入法治专业力量，组建基层治理专家智囊团，安排律师团队跟踪指导复杂诉求，司法所每日参与接诉即办调度，确保工作的合法性和正当性，并提供现场调解、政策咨询、材料审核等服务。二是深化源头治理。以接诉即办“先锋办”机制为抓手，探索建立“特约监察员”队伍，采纳意见建议319条，及时处理问题272条。三是强化社区治理支撑。抽调精干力量组建工作专班，集中攻坚化解疑难复杂诉求。坚持“每月一题”专项治理，紧盯各类数据动态，提升城市治理精准性有效性。</w:t>
      </w:r>
    </w:p>
    <w:p w14:paraId="2C362D89">
      <w:pPr>
        <w:keepNext w:val="0"/>
        <w:keepLines w:val="0"/>
        <w:pageBreakBefore w:val="0"/>
        <w:widowControl w:val="0"/>
        <w:suppressAutoHyphen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_GB2312" w:hAnsi="楷体_GB2312" w:eastAsia="楷体_GB2312" w:cs="楷体_GB2312"/>
          <w:kern w:val="2"/>
          <w:sz w:val="32"/>
          <w:szCs w:val="32"/>
        </w:rPr>
      </w:pPr>
      <w:r>
        <w:rPr>
          <w:rFonts w:hint="eastAsia" w:ascii="楷体_GB2312" w:hAnsi="楷体_GB2312" w:eastAsia="楷体_GB2312" w:cs="楷体_GB2312"/>
          <w:kern w:val="2"/>
          <w:sz w:val="32"/>
          <w:szCs w:val="32"/>
        </w:rPr>
        <w:t>（三）健全依法行政制度体系</w:t>
      </w:r>
    </w:p>
    <w:p w14:paraId="7B9D85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lang w:val="en-US" w:eastAsia="zh-CN"/>
          <w14:ligatures w14:val="none"/>
        </w:rPr>
      </w:pPr>
      <w:r>
        <w:rPr>
          <w:rFonts w:hint="eastAsia" w:ascii="仿宋_GB2312" w:hAnsi="仿宋" w:eastAsia="仿宋_GB2312" w:cs="仿宋"/>
          <w:sz w:val="32"/>
          <w:szCs w:val="32"/>
          <w:lang w:val="en-US" w:eastAsia="zh-CN"/>
          <w14:ligatures w14:val="none"/>
        </w:rPr>
        <w:t>严格执行行政规范性文件管理制度，认真落实《北京市丰台区行政规范性文件管理办法》及《关于进一步加强行政规范性文件合法性审核工作的指导意见》工作要求，组织开展行政规范性文件自查工作，对相关规范性文件进行清理和备案。规范重大行政决策程序，明确议事内容与决策流程，强化上会前审核把关。发挥法治机构与法律顾问作用，在重大合同审查、政府信息公开、重点项目推进、突发事件处置等环节加强合法性论证、风险研判与文书修审，提出专业法律意见，防范业务法律风险，提升街道依法履职能力。</w:t>
      </w:r>
    </w:p>
    <w:p w14:paraId="7532ECF7">
      <w:pPr>
        <w:keepNext w:val="0"/>
        <w:keepLines w:val="0"/>
        <w:pageBreakBefore w:val="0"/>
        <w:widowControl w:val="0"/>
        <w:suppressAutoHyphen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_GB2312" w:hAnsi="楷体_GB2312" w:eastAsia="楷体_GB2312" w:cs="楷体_GB2312"/>
          <w:kern w:val="2"/>
          <w:sz w:val="32"/>
          <w:szCs w:val="32"/>
        </w:rPr>
      </w:pPr>
      <w:r>
        <w:rPr>
          <w:rFonts w:hint="eastAsia" w:ascii="楷体_GB2312" w:hAnsi="楷体_GB2312" w:eastAsia="楷体_GB2312" w:cs="楷体_GB2312"/>
          <w:kern w:val="2"/>
          <w:sz w:val="32"/>
          <w:szCs w:val="32"/>
        </w:rPr>
        <w:t>（四）加强行政执法规范与效能建设</w:t>
      </w:r>
    </w:p>
    <w:p w14:paraId="080261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lang w:val="en-US" w:eastAsia="zh-CN"/>
          <w14:ligatures w14:val="none"/>
        </w:rPr>
      </w:pPr>
      <w:r>
        <w:rPr>
          <w:rFonts w:hint="eastAsia" w:ascii="仿宋_GB2312" w:hAnsi="黑体" w:eastAsia="仿宋_GB2312" w:cs="Calibri"/>
          <w:color w:val="auto"/>
          <w:sz w:val="32"/>
          <w:szCs w:val="32"/>
          <w:lang w:eastAsia="zh-CN"/>
        </w:rPr>
        <w:t>深入开展涉企行政执法专项行动，严格落实规范涉企行政检查工作要求，实施规范基层行政执法专项治理行动，制定了《石榴庄街道关于开展规范基层行政执法专项治理的实施方案》，成立规范基层行政执法专项治理工作专班，参与行政处罚案卷评查，</w:t>
      </w:r>
      <w:r>
        <w:rPr>
          <w:rFonts w:hint="eastAsia" w:ascii="仿宋_GB2312" w:hAnsi="黑体" w:eastAsia="仿宋_GB2312" w:cs="Calibri"/>
          <w:color w:val="auto"/>
          <w:sz w:val="32"/>
          <w:szCs w:val="32"/>
          <w:lang w:val="en-US" w:eastAsia="zh-CN"/>
        </w:rPr>
        <w:t>全面推行行政执法公示、全过程记录以及重大执法决定法治审核“三项制度”。加强执法队伍建设，推行</w:t>
      </w:r>
      <w:r>
        <w:rPr>
          <w:rFonts w:hint="eastAsia" w:ascii="仿宋_GB2312" w:hAnsi="黑体" w:eastAsia="仿宋_GB2312" w:cs="Calibri"/>
          <w:color w:val="auto"/>
          <w:sz w:val="32"/>
          <w:szCs w:val="32"/>
          <w:lang w:eastAsia="zh-CN"/>
        </w:rPr>
        <w:t>“首违不罚”等包容审慎监管举措。</w:t>
      </w:r>
      <w:r>
        <w:rPr>
          <w:rFonts w:hint="eastAsia" w:ascii="仿宋_GB2312" w:hAnsi="黑体" w:eastAsia="仿宋_GB2312" w:cs="Calibri"/>
          <w:color w:val="auto"/>
          <w:sz w:val="32"/>
          <w:szCs w:val="32"/>
        </w:rPr>
        <w:t>通过</w:t>
      </w:r>
      <w:r>
        <w:rPr>
          <w:rFonts w:hint="eastAsia" w:ascii="仿宋_GB2312" w:hAnsi="黑体" w:eastAsia="仿宋_GB2312" w:cs="Calibri"/>
          <w:color w:val="auto"/>
          <w:sz w:val="32"/>
          <w:szCs w:val="32"/>
          <w:lang w:eastAsia="zh-CN"/>
        </w:rPr>
        <w:t>参加</w:t>
      </w:r>
      <w:r>
        <w:rPr>
          <w:rFonts w:hint="eastAsia" w:ascii="仿宋_GB2312" w:hAnsi="黑体" w:eastAsia="仿宋_GB2312" w:cs="Calibri"/>
          <w:color w:val="auto"/>
          <w:sz w:val="32"/>
          <w:szCs w:val="32"/>
        </w:rPr>
        <w:t>依法行政和规范执法专题培训，组织行政执法资格考试报名，观看行政执法人员竞赛和审核执法卷宗，</w:t>
      </w:r>
      <w:r>
        <w:rPr>
          <w:rFonts w:hint="eastAsia" w:ascii="仿宋_GB2312" w:hAnsi="黑体" w:eastAsia="仿宋_GB2312" w:cs="Calibri"/>
          <w:color w:val="auto"/>
          <w:sz w:val="32"/>
          <w:szCs w:val="32"/>
          <w:lang w:val="en"/>
        </w:rPr>
        <w:t>促进严格规范公正文明执法</w:t>
      </w:r>
      <w:r>
        <w:rPr>
          <w:rFonts w:hint="eastAsia" w:ascii="仿宋_GB2312" w:hAnsi="黑体" w:eastAsia="仿宋_GB2312" w:cs="Calibri"/>
          <w:color w:val="auto"/>
          <w:sz w:val="32"/>
          <w:szCs w:val="32"/>
          <w:lang w:val="en" w:eastAsia="zh-CN"/>
        </w:rPr>
        <w:t>，</w:t>
      </w:r>
      <w:r>
        <w:rPr>
          <w:rFonts w:hint="eastAsia" w:ascii="仿宋_GB2312" w:hAnsi="黑体" w:eastAsia="仿宋_GB2312" w:cs="Calibri"/>
          <w:color w:val="auto"/>
          <w:sz w:val="32"/>
          <w:szCs w:val="32"/>
        </w:rPr>
        <w:t>提高街道执法规范化程度，推进政府依法行政工作。</w:t>
      </w:r>
      <w:r>
        <w:rPr>
          <w:rFonts w:hint="eastAsia" w:ascii="仿宋_GB2312" w:hAnsi="仿宋" w:eastAsia="仿宋_GB2312" w:cs="仿宋"/>
          <w:sz w:val="32"/>
          <w:szCs w:val="32"/>
          <w:lang w:val="en-US" w:eastAsia="zh-CN"/>
          <w14:ligatures w14:val="none"/>
        </w:rPr>
        <w:t>针对行政执法重点领域，开展培训学习，加强对执法人员的培训指导，不断提升执法人员证据意识和程序意识，强化执法规范化水平。</w:t>
      </w:r>
    </w:p>
    <w:p w14:paraId="75EF7A8D">
      <w:pPr>
        <w:keepNext w:val="0"/>
        <w:keepLines w:val="0"/>
        <w:pageBreakBefore w:val="0"/>
        <w:widowControl w:val="0"/>
        <w:suppressAutoHyphen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 w:eastAsia="仿宋_GB2312" w:cs="仿宋"/>
          <w:sz w:val="32"/>
          <w:szCs w:val="32"/>
          <w:lang w:val="en-US" w:eastAsia="zh-CN"/>
          <w14:ligatures w14:val="none"/>
        </w:rPr>
      </w:pPr>
      <w:r>
        <w:rPr>
          <w:rFonts w:hint="eastAsia" w:ascii="楷体_GB2312" w:hAnsi="楷体_GB2312" w:eastAsia="楷体_GB2312" w:cs="楷体_GB2312"/>
          <w:kern w:val="2"/>
          <w:sz w:val="32"/>
          <w:szCs w:val="32"/>
        </w:rPr>
        <w:t>（五）强化内外监督工作合力</w:t>
      </w:r>
    </w:p>
    <w:p w14:paraId="607C83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lang w:val="en-US" w:eastAsia="zh-CN"/>
          <w14:ligatures w14:val="none"/>
        </w:rPr>
      </w:pPr>
      <w:r>
        <w:rPr>
          <w:rFonts w:hint="eastAsia" w:ascii="仿宋_GB2312" w:hAnsi="仿宋" w:eastAsia="仿宋_GB2312" w:cs="仿宋"/>
          <w:sz w:val="32"/>
          <w:szCs w:val="32"/>
          <w:lang w:val="en-US" w:eastAsia="zh-CN"/>
          <w14:ligatures w14:val="none"/>
        </w:rPr>
        <w:t>自觉接受司法和纪检监察监督，积极支持法院依法受理和审理行政案件，自觉接受配合纪检监察机关开展监督工作。尊重并执行法院生效裁判。严格执行行政机关负责人出庭应诉制度。深化政府信息公开和政务公开，严格按照上级要求全面推进决策、执行、管理、服务、结果“五公开”，认真梳理汇总政务公开全清单，依法依规办理政府信息公开申请。健全社会监督和舆论监督机制，提升政府工作透明度与公信力。</w:t>
      </w:r>
    </w:p>
    <w:p w14:paraId="6835C249">
      <w:pPr>
        <w:keepNext w:val="0"/>
        <w:keepLines w:val="0"/>
        <w:pageBreakBefore w:val="0"/>
        <w:widowControl w:val="0"/>
        <w:suppressAutoHyphen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_GB2312" w:hAnsi="楷体_GB2312" w:eastAsia="楷体_GB2312" w:cs="楷体_GB2312"/>
          <w:kern w:val="2"/>
          <w:sz w:val="32"/>
          <w:szCs w:val="32"/>
        </w:rPr>
      </w:pPr>
      <w:r>
        <w:rPr>
          <w:rFonts w:hint="eastAsia" w:ascii="楷体_GB2312" w:hAnsi="楷体_GB2312" w:eastAsia="楷体_GB2312" w:cs="楷体_GB2312"/>
          <w:kern w:val="2"/>
          <w:sz w:val="32"/>
          <w:szCs w:val="32"/>
        </w:rPr>
        <w:t>（</w:t>
      </w:r>
      <w:r>
        <w:rPr>
          <w:rFonts w:hint="eastAsia" w:ascii="楷体_GB2312" w:hAnsi="楷体_GB2312" w:eastAsia="楷体_GB2312" w:cs="楷体_GB2312"/>
          <w:kern w:val="2"/>
          <w:sz w:val="32"/>
          <w:szCs w:val="32"/>
          <w:lang w:eastAsia="zh-CN"/>
        </w:rPr>
        <w:t>六</w:t>
      </w:r>
      <w:r>
        <w:rPr>
          <w:rFonts w:hint="eastAsia" w:ascii="楷体_GB2312" w:hAnsi="楷体_GB2312" w:eastAsia="楷体_GB2312" w:cs="楷体_GB2312"/>
          <w:kern w:val="2"/>
          <w:sz w:val="32"/>
          <w:szCs w:val="32"/>
        </w:rPr>
        <w:t>）健全矛盾纠纷行政预防化解体系</w:t>
      </w:r>
    </w:p>
    <w:p w14:paraId="7BDBDB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ascii="仿宋_GB2312" w:hAnsi="黑体" w:eastAsia="仿宋_GB2312" w:cs="Calibri"/>
          <w:color w:val="auto"/>
          <w:kern w:val="2"/>
          <w:sz w:val="32"/>
          <w:szCs w:val="32"/>
        </w:rPr>
        <w:t>一是</w:t>
      </w:r>
      <w:r>
        <w:rPr>
          <w:rFonts w:hint="eastAsia" w:ascii="仿宋_GB2312" w:hAnsi="黑体" w:eastAsia="仿宋_GB2312" w:cs="Calibri"/>
          <w:color w:val="auto"/>
          <w:kern w:val="2"/>
          <w:sz w:val="32"/>
          <w:szCs w:val="32"/>
          <w:lang w:eastAsia="zh-CN"/>
        </w:rPr>
        <w:t>推动</w:t>
      </w:r>
      <w:r>
        <w:rPr>
          <w:rFonts w:hint="eastAsia" w:ascii="仿宋_GB2312" w:hAnsi="仿宋_GB2312" w:eastAsia="仿宋_GB2312" w:cs="仿宋_GB2312"/>
          <w:b w:val="0"/>
          <w:bCs/>
          <w:sz w:val="32"/>
          <w:szCs w:val="32"/>
          <w:lang w:val="en-US" w:eastAsia="zh-CN"/>
        </w:rPr>
        <w:t>司法工作与接诉即办深度融合。</w:t>
      </w:r>
      <w:r>
        <w:rPr>
          <w:rFonts w:hint="eastAsia" w:ascii="仿宋_GB2312" w:hAnsi="仿宋_GB2312" w:eastAsia="仿宋_GB2312" w:cs="仿宋_GB2312"/>
          <w:sz w:val="32"/>
          <w:szCs w:val="32"/>
          <w:lang w:val="en-US" w:eastAsia="zh-CN"/>
        </w:rPr>
        <w:t>司法所作为接诉即办调度会的常驻部门，积极参与接诉即办和信访工作，针对堆物堆料、占用公共空间、相邻权纠纷等复杂问题，通过法律角度出谋划策，为基层治理提供法治保障。二是</w:t>
      </w:r>
      <w:r>
        <w:rPr>
          <w:rFonts w:hint="eastAsia" w:ascii="仿宋_GB2312" w:hAnsi="黑体" w:eastAsia="仿宋_GB2312" w:cs="Calibri"/>
          <w:color w:val="auto"/>
          <w:kern w:val="2"/>
          <w:sz w:val="32"/>
          <w:szCs w:val="32"/>
        </w:rPr>
        <w:t>发挥</w:t>
      </w:r>
      <w:r>
        <w:rPr>
          <w:rFonts w:hint="eastAsia" w:ascii="仿宋_GB2312" w:hAnsi="黑体" w:eastAsia="仿宋_GB2312" w:cs="Calibri"/>
          <w:color w:val="auto"/>
          <w:kern w:val="2"/>
          <w:sz w:val="32"/>
          <w:szCs w:val="32"/>
          <w:lang w:eastAsia="zh-CN"/>
        </w:rPr>
        <w:t>调解组织基础性作用。依托</w:t>
      </w:r>
      <w:r>
        <w:rPr>
          <w:rFonts w:hint="eastAsia" w:ascii="仿宋_GB2312" w:hAnsi="黑体" w:eastAsia="仿宋_GB2312" w:cs="Calibri"/>
          <w:color w:val="auto"/>
          <w:kern w:val="2"/>
          <w:sz w:val="32"/>
          <w:szCs w:val="32"/>
        </w:rPr>
        <w:t>街道、社区两级</w:t>
      </w:r>
      <w:r>
        <w:rPr>
          <w:rFonts w:hint="eastAsia" w:ascii="仿宋_GB2312" w:hAnsi="黑体" w:eastAsia="仿宋_GB2312" w:cs="Calibri"/>
          <w:color w:val="auto"/>
          <w:kern w:val="2"/>
          <w:sz w:val="32"/>
          <w:szCs w:val="32"/>
          <w:lang w:eastAsia="zh-CN"/>
        </w:rPr>
        <w:t>调解委员会，聚焦</w:t>
      </w:r>
      <w:r>
        <w:rPr>
          <w:rFonts w:hint="eastAsia" w:ascii="仿宋_GB2312" w:hAnsi="黑体" w:eastAsia="仿宋_GB2312" w:cs="Calibri"/>
          <w:color w:val="auto"/>
          <w:kern w:val="2"/>
          <w:sz w:val="32"/>
          <w:szCs w:val="32"/>
        </w:rPr>
        <w:t>群体性、多发性、易激化矛盾纠纷</w:t>
      </w:r>
      <w:r>
        <w:rPr>
          <w:rFonts w:hint="eastAsia" w:ascii="仿宋_GB2312" w:hAnsi="黑体" w:eastAsia="仿宋_GB2312" w:cs="Calibri"/>
          <w:color w:val="auto"/>
          <w:kern w:val="2"/>
          <w:sz w:val="32"/>
          <w:szCs w:val="32"/>
          <w:lang w:eastAsia="zh-CN"/>
        </w:rPr>
        <w:t>开展</w:t>
      </w:r>
      <w:r>
        <w:rPr>
          <w:rFonts w:hint="eastAsia" w:ascii="仿宋_GB2312" w:hAnsi="黑体" w:eastAsia="仿宋_GB2312" w:cs="Calibri"/>
          <w:color w:val="auto"/>
          <w:kern w:val="2"/>
          <w:sz w:val="32"/>
          <w:szCs w:val="32"/>
        </w:rPr>
        <w:t>重点排查，</w:t>
      </w:r>
      <w:r>
        <w:rPr>
          <w:rFonts w:hint="eastAsia" w:ascii="仿宋_GB2312" w:hAnsi="黑体" w:eastAsia="仿宋_GB2312" w:cs="Calibri"/>
          <w:color w:val="auto"/>
          <w:kern w:val="2"/>
          <w:sz w:val="32"/>
          <w:szCs w:val="32"/>
          <w:lang w:eastAsia="zh-CN"/>
        </w:rPr>
        <w:t>加强</w:t>
      </w:r>
      <w:r>
        <w:rPr>
          <w:rFonts w:hint="eastAsia" w:ascii="仿宋_GB2312" w:hAnsi="黑体" w:eastAsia="仿宋_GB2312" w:cs="Calibri"/>
          <w:color w:val="auto"/>
          <w:kern w:val="2"/>
          <w:sz w:val="32"/>
          <w:szCs w:val="32"/>
        </w:rPr>
        <w:t>法律法规政策宣传解释</w:t>
      </w:r>
      <w:r>
        <w:rPr>
          <w:rFonts w:hint="eastAsia" w:ascii="仿宋_GB2312" w:hAnsi="黑体" w:eastAsia="仿宋_GB2312" w:cs="Calibri"/>
          <w:color w:val="auto"/>
          <w:kern w:val="2"/>
          <w:sz w:val="32"/>
          <w:szCs w:val="32"/>
          <w:lang w:eastAsia="zh-CN"/>
        </w:rPr>
        <w:t>，前端预防化解矛盾。三是整合法律服务资源参与调解。充分运用</w:t>
      </w:r>
      <w:r>
        <w:rPr>
          <w:rFonts w:hint="eastAsia" w:ascii="仿宋_GB2312" w:hAnsi="仿宋_GB2312" w:eastAsia="仿宋_GB2312" w:cs="仿宋_GB2312"/>
          <w:sz w:val="32"/>
          <w:szCs w:val="32"/>
          <w:lang w:eastAsia="zh-CN"/>
        </w:rPr>
        <w:t>街道聘请的律师团队、公益律师、“法律明白人”、“普法驿站”等法律力量，</w:t>
      </w:r>
      <w:r>
        <w:rPr>
          <w:rFonts w:hint="eastAsia" w:ascii="仿宋_GB2312" w:hAnsi="仿宋" w:eastAsia="仿宋_GB2312" w:cs="仿宋"/>
          <w:kern w:val="2"/>
          <w:sz w:val="32"/>
          <w:szCs w:val="32"/>
          <w:lang w:val="en-US" w:eastAsia="zh-CN" w:bidi="ar-SA"/>
          <w14:ligatures w14:val="none"/>
        </w:rPr>
        <w:t>开展法治宣传、参与矛盾调处。全年累计</w:t>
      </w:r>
      <w:r>
        <w:rPr>
          <w:rFonts w:hint="eastAsia" w:ascii="仿宋_GB2312" w:hAnsi="仿宋_GB2312" w:eastAsia="仿宋_GB2312" w:cs="仿宋_GB2312"/>
          <w:sz w:val="32"/>
          <w:szCs w:val="32"/>
          <w:lang w:eastAsia="zh-CN"/>
        </w:rPr>
        <w:t>参与矛盾调处工作</w:t>
      </w:r>
      <w:r>
        <w:rPr>
          <w:rFonts w:hint="eastAsia" w:ascii="仿宋_GB2312" w:hAnsi="仿宋_GB2312" w:eastAsia="仿宋_GB2312" w:cs="仿宋_GB2312"/>
          <w:sz w:val="32"/>
          <w:szCs w:val="32"/>
          <w:lang w:val="en-US" w:eastAsia="zh-CN"/>
        </w:rPr>
        <w:t>30余</w:t>
      </w:r>
      <w:r>
        <w:rPr>
          <w:rFonts w:hint="eastAsia" w:ascii="仿宋_GB2312" w:hAnsi="仿宋_GB2312" w:eastAsia="仿宋_GB2312" w:cs="仿宋_GB2312"/>
          <w:sz w:val="32"/>
          <w:szCs w:val="32"/>
          <w:lang w:eastAsia="zh-CN"/>
        </w:rPr>
        <w:t>次，成功化解接诉即办案件矛盾</w:t>
      </w:r>
      <w:r>
        <w:rPr>
          <w:rFonts w:hint="eastAsia" w:ascii="仿宋_GB2312" w:hAnsi="仿宋_GB2312" w:eastAsia="仿宋_GB2312" w:cs="仿宋_GB2312"/>
          <w:sz w:val="32"/>
          <w:szCs w:val="32"/>
          <w:lang w:val="en-US" w:eastAsia="zh-CN"/>
        </w:rPr>
        <w:t>40余件，</w:t>
      </w:r>
      <w:r>
        <w:rPr>
          <w:rFonts w:hint="eastAsia" w:ascii="仿宋_GB2312" w:hAnsi="仿宋_GB2312" w:eastAsia="仿宋_GB2312" w:cs="仿宋_GB2312"/>
          <w:sz w:val="32"/>
          <w:szCs w:val="32"/>
          <w:lang w:eastAsia="zh-CN"/>
        </w:rPr>
        <w:t>达成调解协议</w:t>
      </w:r>
      <w:r>
        <w:rPr>
          <w:rFonts w:hint="eastAsia" w:ascii="仿宋_GB2312" w:hAnsi="仿宋_GB2312" w:eastAsia="仿宋_GB2312" w:cs="仿宋_GB2312"/>
          <w:sz w:val="32"/>
          <w:szCs w:val="32"/>
          <w:lang w:val="en-US" w:eastAsia="zh-CN"/>
        </w:rPr>
        <w:t>32</w:t>
      </w:r>
      <w:r>
        <w:rPr>
          <w:rFonts w:hint="eastAsia" w:ascii="仿宋_GB2312" w:hAnsi="仿宋_GB2312" w:eastAsia="仿宋_GB2312" w:cs="仿宋_GB2312"/>
          <w:sz w:val="32"/>
          <w:szCs w:val="32"/>
          <w:lang w:eastAsia="zh-CN"/>
        </w:rPr>
        <w:t>件，涉及金额</w:t>
      </w:r>
      <w:r>
        <w:rPr>
          <w:rFonts w:hint="eastAsia" w:ascii="仿宋_GB2312" w:hAnsi="仿宋_GB2312" w:eastAsia="仿宋_GB2312" w:cs="仿宋_GB2312"/>
          <w:sz w:val="32"/>
          <w:szCs w:val="32"/>
          <w:lang w:val="en-US" w:eastAsia="zh-CN"/>
        </w:rPr>
        <w:t>170万余元</w:t>
      </w:r>
      <w:r>
        <w:rPr>
          <w:rFonts w:hint="eastAsia" w:ascii="仿宋_GB2312" w:hAnsi="仿宋_GB2312" w:eastAsia="仿宋_GB2312" w:cs="仿宋_GB2312"/>
          <w:sz w:val="32"/>
          <w:szCs w:val="32"/>
          <w:lang w:eastAsia="zh-CN"/>
        </w:rPr>
        <w:t>。</w:t>
      </w:r>
      <w:r>
        <w:rPr>
          <w:rFonts w:hint="eastAsia" w:ascii="仿宋_GB2312" w:hAnsi="仿宋" w:eastAsia="仿宋_GB2312" w:cs="仿宋"/>
          <w:kern w:val="2"/>
          <w:sz w:val="32"/>
          <w:szCs w:val="32"/>
          <w:lang w:val="en-US" w:eastAsia="zh-CN" w:bidi="ar-SA"/>
          <w14:ligatures w14:val="none"/>
        </w:rPr>
        <w:t>四是坚持和发展新时代“枫桥经验”。深入践行“四下基层”，持续打造“石榴籽+”矛盾纠纷调处品牌建设，扎实做好信访、接诉即办和矛盾排查化解工作，努力实现“小事不出社区、大事不出街道、矛盾不上交”，提升群众获得感、幸福感、安全感。</w:t>
      </w:r>
      <w:r>
        <w:rPr>
          <w:rFonts w:hint="eastAsia" w:ascii="仿宋_GB2312" w:hAnsi="仿宋_GB2312" w:eastAsia="仿宋_GB2312" w:cs="仿宋_GB2312"/>
          <w:sz w:val="32"/>
          <w:szCs w:val="32"/>
          <w:lang w:eastAsia="zh-CN"/>
        </w:rPr>
        <w:t>五是推进信访工作法治化。贯彻落实《信访工作条例》，建立健全信访预防、受理、办理、监督追责工作全流程法治化。全面推广信访法治化“路线图”和工作指南。依法分类处理信访诉求，落实领导干部接访下访制度，推动信访事项依法依规解决。</w:t>
      </w:r>
    </w:p>
    <w:p w14:paraId="76A20580">
      <w:pPr>
        <w:keepNext w:val="0"/>
        <w:keepLines w:val="0"/>
        <w:pageBreakBefore w:val="0"/>
        <w:widowControl w:val="0"/>
        <w:suppressAutoHyphen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_GB2312" w:hAnsi="楷体_GB2312" w:eastAsia="楷体_GB2312" w:cs="楷体_GB2312"/>
          <w:kern w:val="2"/>
          <w:sz w:val="32"/>
          <w:szCs w:val="32"/>
        </w:rPr>
      </w:pPr>
      <w:r>
        <w:rPr>
          <w:rFonts w:hint="eastAsia" w:ascii="楷体_GB2312" w:hAnsi="楷体_GB2312" w:eastAsia="楷体_GB2312" w:cs="楷体_GB2312"/>
          <w:kern w:val="2"/>
          <w:sz w:val="32"/>
          <w:szCs w:val="32"/>
        </w:rPr>
        <w:t>（</w:t>
      </w:r>
      <w:r>
        <w:rPr>
          <w:rFonts w:hint="eastAsia" w:ascii="楷体_GB2312" w:hAnsi="楷体_GB2312" w:eastAsia="楷体_GB2312" w:cs="楷体_GB2312"/>
          <w:kern w:val="2"/>
          <w:sz w:val="32"/>
          <w:szCs w:val="32"/>
          <w:lang w:eastAsia="zh-CN"/>
        </w:rPr>
        <w:t>七</w:t>
      </w:r>
      <w:r>
        <w:rPr>
          <w:rFonts w:hint="eastAsia" w:ascii="楷体_GB2312" w:hAnsi="楷体_GB2312" w:eastAsia="楷体_GB2312" w:cs="楷体_GB2312"/>
          <w:kern w:val="2"/>
          <w:sz w:val="32"/>
          <w:szCs w:val="32"/>
        </w:rPr>
        <w:t>）加强对法治政府建设的统筹协调</w:t>
      </w:r>
    </w:p>
    <w:p w14:paraId="7B4D22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一是加强统筹谋划和协同推进。</w:t>
      </w:r>
      <w:r>
        <w:rPr>
          <w:rFonts w:hint="eastAsia" w:ascii="仿宋_GB2312" w:hAnsi="仿宋" w:eastAsia="仿宋_GB2312" w:cs="仿宋"/>
          <w:kern w:val="2"/>
          <w:sz w:val="32"/>
          <w:szCs w:val="32"/>
          <w:lang w:val="en-US" w:eastAsia="zh-CN" w:bidi="ar-SA"/>
          <w14:ligatures w14:val="none"/>
        </w:rPr>
        <w:t>深入贯彻实施</w:t>
      </w:r>
      <w:r>
        <w:rPr>
          <w:rFonts w:hint="eastAsia" w:ascii="仿宋_GB2312" w:hAnsi="仿宋_GB2312" w:eastAsia="仿宋_GB2312" w:cs="仿宋_GB2312"/>
          <w:sz w:val="32"/>
          <w:szCs w:val="32"/>
          <w:lang w:eastAsia="zh-CN"/>
        </w:rPr>
        <w:t>《法治政府建设实施纲要（2021-2025年）》、《北京市法治政府建设实施意见（2021-2025年）》和《丰台区法治政府建设实施方案（2021—2025年）》，</w:t>
      </w:r>
      <w:r>
        <w:rPr>
          <w:rFonts w:hint="eastAsia" w:ascii="仿宋_GB2312" w:hAnsi="仿宋" w:eastAsia="仿宋_GB2312" w:cs="仿宋"/>
          <w:kern w:val="2"/>
          <w:sz w:val="32"/>
          <w:szCs w:val="32"/>
          <w:lang w:val="en-US" w:eastAsia="zh-CN" w:bidi="ar-SA"/>
          <w14:ligatures w14:val="none"/>
        </w:rPr>
        <w:t>积极参加法治政府建设示范项目创建评审，统筹推进法治政府建设工作，提升法治思维和依法行政能力，促进法治政府建设水平整体提升。二是</w:t>
      </w:r>
      <w:r>
        <w:rPr>
          <w:rFonts w:hint="eastAsia" w:ascii="仿宋_GB2312" w:hAnsi="仿宋_GB2312" w:eastAsia="仿宋_GB2312" w:cs="仿宋_GB2312"/>
          <w:sz w:val="32"/>
          <w:szCs w:val="32"/>
          <w:lang w:eastAsia="zh-CN"/>
        </w:rPr>
        <w:t>抓实领导干部学法培训。全年开展会前学法多</w:t>
      </w:r>
      <w:r>
        <w:rPr>
          <w:rFonts w:hint="eastAsia" w:ascii="仿宋_GB2312" w:hAnsi="仿宋_GB2312" w:eastAsia="仿宋_GB2312" w:cs="仿宋_GB2312"/>
          <w:sz w:val="32"/>
          <w:szCs w:val="32"/>
          <w:lang w:val="en-US" w:eastAsia="zh-CN"/>
        </w:rPr>
        <w:t>次，联合北京市第二中级人民法院开展依法行政专项培训数次，持续强化与北京市二中院、丰台区人民法院共建的普法驿站建设，联合丰台区检察院设立“检助丰治”检察联络站，深刻领悟习近平新时代中国特色社会主义思想与习近平法治思想，提升领导干部法治思维和依法办事能力</w:t>
      </w:r>
      <w:r>
        <w:rPr>
          <w:rFonts w:hint="eastAsia" w:ascii="仿宋_GB2312" w:hAnsi="仿宋_GB2312" w:eastAsia="仿宋_GB2312" w:cs="仿宋_GB2312"/>
          <w:sz w:val="32"/>
          <w:szCs w:val="32"/>
          <w:lang w:eastAsia="zh-CN"/>
        </w:rPr>
        <w:t>。三是夯实基层法治工作基础。</w:t>
      </w:r>
      <w:r>
        <w:rPr>
          <w:rFonts w:hint="eastAsia" w:ascii="仿宋_GB2312" w:hAnsi="仿宋_GB2312" w:eastAsia="仿宋_GB2312" w:cs="仿宋_GB2312"/>
          <w:sz w:val="32"/>
          <w:szCs w:val="32"/>
          <w:lang w:val="en-US" w:eastAsia="zh-CN"/>
        </w:rPr>
        <w:t>进一步明确司法所工作任务，保障人员、经费等资源与专业化工作相适应，推动将</w:t>
      </w:r>
      <w:r>
        <w:rPr>
          <w:rFonts w:hint="eastAsia" w:ascii="仿宋_GB2312" w:hAnsi="仿宋_GB2312" w:eastAsia="仿宋_GB2312" w:cs="仿宋_GB2312"/>
          <w:sz w:val="32"/>
          <w:szCs w:val="32"/>
          <w:lang w:eastAsia="zh-CN"/>
        </w:rPr>
        <w:t>取得法律职业资格人员配备到相关工作岗位。</w:t>
      </w:r>
      <w:r>
        <w:rPr>
          <w:rFonts w:hint="eastAsia" w:ascii="仿宋_GB2312" w:hAnsi="仿宋_GB2312" w:eastAsia="仿宋_GB2312" w:cs="仿宋_GB2312"/>
          <w:sz w:val="32"/>
          <w:szCs w:val="32"/>
          <w:lang w:val="en-US" w:eastAsia="zh-CN"/>
        </w:rPr>
        <w:t>探索打造“枫桥式”司法所，提升司法所规范化履职能力，有效提高基层法治建设水平，</w:t>
      </w:r>
      <w:r>
        <w:rPr>
          <w:rFonts w:hint="eastAsia" w:ascii="仿宋_GB2312" w:hAnsi="仿宋_GB2312" w:eastAsia="仿宋_GB2312" w:cs="仿宋_GB2312"/>
          <w:sz w:val="32"/>
          <w:szCs w:val="32"/>
          <w:lang w:eastAsia="zh-CN"/>
        </w:rPr>
        <w:t>进一步推进基层法治工作队伍革命化、正规化、专业化、职业化建设</w:t>
      </w:r>
      <w:bookmarkStart w:id="0" w:name="_Toc18661_WPSOffice_Level3"/>
      <w:bookmarkStart w:id="1" w:name="_Toc6054_WPSOffice_Level2"/>
      <w:bookmarkStart w:id="2" w:name="_Toc31705_WPSOffice_Level3"/>
      <w:bookmarkStart w:id="3" w:name="_Toc4794_WPSOffice_Level2"/>
      <w:bookmarkStart w:id="4" w:name="_Toc20856_WPSOffice_Level2"/>
      <w:bookmarkStart w:id="5" w:name="_Toc3643_WPSOffice_Level3"/>
      <w:bookmarkStart w:id="6" w:name="_Toc22771_WPSOffice_Level2"/>
      <w:bookmarkStart w:id="7" w:name="_Toc18063_WPSOffice_Level3"/>
      <w:r>
        <w:rPr>
          <w:rFonts w:hint="eastAsia" w:ascii="仿宋_GB2312" w:hAnsi="仿宋_GB2312" w:eastAsia="仿宋_GB2312" w:cs="仿宋_GB2312"/>
          <w:sz w:val="32"/>
          <w:szCs w:val="32"/>
          <w:lang w:eastAsia="zh-CN"/>
        </w:rPr>
        <w:t>，不断筑牢法治建设基层根基。</w:t>
      </w:r>
    </w:p>
    <w:p w14:paraId="4C6FF0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6"/>
          <w:lang w:val="en-US" w:eastAsia="zh-CN"/>
        </w:rPr>
      </w:pPr>
      <w:r>
        <w:rPr>
          <w:rFonts w:hint="eastAsia" w:ascii="黑体" w:hAnsi="黑体" w:eastAsia="黑体" w:cs="黑体"/>
          <w:sz w:val="32"/>
          <w:szCs w:val="36"/>
          <w:lang w:val="en-US" w:eastAsia="zh-CN"/>
        </w:rPr>
        <w:t>二、针对2024年法治政府建设存在问题的整改情况</w:t>
      </w:r>
    </w:p>
    <w:p w14:paraId="6082C1BB">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针对2024年法治政府建设中存在的问题与不足，我街道采取了一系列具体整改措施，并取得了积极成效：</w:t>
      </w:r>
    </w:p>
    <w:p w14:paraId="51E06470">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一是扎实推进行政执法规范化建设。通过组织开展行政执法专项讲座、行政处罚案卷评查及涉企行政执法专项行动，制定并实施行政执法专项行动方案，增强执法人员的法治意识与履职能力，持续提升行政执法规范化水平。</w:t>
      </w:r>
    </w:p>
    <w:p w14:paraId="3159005D">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二是创新拓展法治宣传教育形式。推动普法宣传线上线下协同开展，不断丰富普法载体与内容，进一步扩大法治宣传教育的覆盖面和社会影响力。</w:t>
      </w:r>
    </w:p>
    <w:p w14:paraId="33201F74">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sz w:val="32"/>
          <w:szCs w:val="36"/>
          <w:lang w:val="en-US" w:eastAsia="zh-CN"/>
        </w:rPr>
      </w:pPr>
      <w:r>
        <w:rPr>
          <w:rFonts w:hint="eastAsia" w:ascii="黑体" w:hAnsi="黑体" w:eastAsia="黑体" w:cs="黑体"/>
          <w:sz w:val="32"/>
          <w:szCs w:val="36"/>
          <w:lang w:val="en-US" w:eastAsia="zh-CN"/>
        </w:rPr>
        <w:t>三、2025年法治政府建设存在的问题与不足</w:t>
      </w:r>
    </w:p>
    <w:p w14:paraId="64B8943B">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过去一年，我街道在法治政府建设方面虽取得一定进展，但对照市、区要求仍存在以下差距：</w:t>
      </w:r>
    </w:p>
    <w:p w14:paraId="5B2629B0">
      <w:pPr>
        <w:pStyle w:val="2"/>
        <w:keepNext w:val="0"/>
        <w:keepLines w:val="0"/>
        <w:pageBreakBefore w:val="0"/>
        <w:kinsoku/>
        <w:wordWrap/>
        <w:overflowPunct/>
        <w:topLinePunct w:val="0"/>
        <w:autoSpaceDE/>
        <w:autoSpaceDN/>
        <w:bidi w:val="0"/>
        <w:adjustRightInd/>
        <w:snapToGrid/>
        <w:spacing w:line="560" w:lineRule="exact"/>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一是依法行政能力仍需增强。部分工作人员运用法治思维和法治方式开展工作的意识和能力存在进步空间，依法履职的专业素养和实践本领有待进一步提高。</w:t>
      </w:r>
    </w:p>
    <w:p w14:paraId="3A50AF7A">
      <w:pPr>
        <w:pStyle w:val="2"/>
        <w:keepNext w:val="0"/>
        <w:keepLines w:val="0"/>
        <w:pageBreakBefore w:val="0"/>
        <w:kinsoku/>
        <w:wordWrap/>
        <w:overflowPunct/>
        <w:topLinePunct w:val="0"/>
        <w:autoSpaceDE/>
        <w:autoSpaceDN/>
        <w:bidi w:val="0"/>
        <w:adjustRightInd/>
        <w:snapToGrid/>
        <w:spacing w:line="560" w:lineRule="exact"/>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二是理论学习系统性与深度有待提升。部分干部对理论体系的学习不够全面系统，需进一步强化理论学习的自觉性、系统性、持续性。</w:t>
      </w:r>
    </w:p>
    <w:p w14:paraId="41893B62">
      <w:pPr>
        <w:pStyle w:val="2"/>
        <w:keepNext w:val="0"/>
        <w:keepLines w:val="0"/>
        <w:pageBreakBefore w:val="0"/>
        <w:kinsoku/>
        <w:wordWrap/>
        <w:overflowPunct/>
        <w:topLinePunct w:val="0"/>
        <w:autoSpaceDE/>
        <w:autoSpaceDN/>
        <w:bidi w:val="0"/>
        <w:adjustRightInd/>
        <w:snapToGrid/>
        <w:spacing w:line="560" w:lineRule="exact"/>
        <w:rPr>
          <w:rFonts w:hint="eastAsia" w:ascii="黑体" w:hAnsi="黑体" w:eastAsia="黑体" w:cs="黑体"/>
          <w:sz w:val="32"/>
          <w:szCs w:val="36"/>
          <w:lang w:val="en-US" w:eastAsia="zh-CN"/>
        </w:rPr>
      </w:pPr>
      <w:r>
        <w:rPr>
          <w:rFonts w:hint="eastAsia" w:ascii="黑体" w:hAnsi="黑体" w:eastAsia="黑体" w:cs="黑体"/>
          <w:sz w:val="32"/>
          <w:szCs w:val="36"/>
          <w:lang w:val="en-US" w:eastAsia="zh-CN"/>
        </w:rPr>
        <w:t>四、2025年党政主要负责人履行推进法治政府建设第一责任人职责情况</w:t>
      </w:r>
    </w:p>
    <w:p w14:paraId="504C9D80">
      <w:pPr>
        <w:pStyle w:val="9"/>
        <w:keepNext w:val="0"/>
        <w:keepLines w:val="0"/>
        <w:pageBreakBefore w:val="0"/>
        <w:kinsoku/>
        <w:wordWrap/>
        <w:overflowPunct/>
        <w:topLinePunct w:val="0"/>
        <w:autoSpaceDE/>
        <w:autoSpaceDN/>
        <w:bidi w:val="0"/>
        <w:adjustRightInd/>
        <w:snapToGrid/>
        <w:spacing w:line="560" w:lineRule="exact"/>
        <w:ind w:left="0" w:leftChars="0"/>
        <w:rPr>
          <w:rFonts w:hint="eastAsia" w:ascii="仿宋_GB2312" w:hAnsi="仿宋_GB2312" w:eastAsia="仿宋_GB2312" w:cs="仿宋_GB2312"/>
          <w:kern w:val="10"/>
          <w:sz w:val="32"/>
          <w:szCs w:val="32"/>
          <w:lang w:val="en-US" w:eastAsia="zh-CN" w:bidi="ar-SA"/>
        </w:rPr>
      </w:pPr>
      <w:r>
        <w:rPr>
          <w:rFonts w:hint="eastAsia" w:ascii="仿宋_GB2312" w:hAnsi="仿宋_GB2312" w:eastAsia="仿宋_GB2312" w:cs="仿宋_GB2312"/>
          <w:kern w:val="10"/>
          <w:sz w:val="32"/>
          <w:szCs w:val="32"/>
          <w:lang w:val="en-US" w:eastAsia="zh-CN" w:bidi="ar-SA"/>
        </w:rPr>
        <w:t>2025年，党政主要负责人坚持以习近平新时代中国特色社会主义思想为指导，全面落实党中央、国务院关于法治政府建设的决策部署以及市委、市政府和区委、区政府的工作要求，严格履行推进法治建设第一责任人职责，将法治政府建设摆在街道工作全局的重要位置，切实发挥领导核心作用，带头尊法学法守法用法，推动街道法治政府建设取得新成效。</w:t>
      </w:r>
    </w:p>
    <w:p w14:paraId="700D5655">
      <w:pPr>
        <w:pStyle w:val="9"/>
        <w:keepNext w:val="0"/>
        <w:keepLines w:val="0"/>
        <w:pageBreakBefore w:val="0"/>
        <w:kinsoku/>
        <w:wordWrap/>
        <w:overflowPunct/>
        <w:topLinePunct w:val="0"/>
        <w:autoSpaceDE/>
        <w:autoSpaceDN/>
        <w:bidi w:val="0"/>
        <w:adjustRightInd/>
        <w:snapToGrid/>
        <w:spacing w:line="560" w:lineRule="exact"/>
        <w:ind w:left="0" w:leftChars="0"/>
        <w:rPr>
          <w:rFonts w:hint="default"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一是强化政治引领，筑牢法治思想根基。</w:t>
      </w:r>
      <w:r>
        <w:rPr>
          <w:rFonts w:hint="default" w:ascii="仿宋_GB2312" w:hAnsi="仿宋_GB2312" w:eastAsia="仿宋_GB2312" w:cs="仿宋_GB2312"/>
          <w:b w:val="0"/>
          <w:bCs/>
          <w:kern w:val="2"/>
          <w:sz w:val="32"/>
          <w:szCs w:val="32"/>
          <w:lang w:val="en-US" w:eastAsia="zh-CN" w:bidi="ar-SA"/>
        </w:rPr>
        <w:t>坚持以习近平</w:t>
      </w:r>
      <w:r>
        <w:rPr>
          <w:rFonts w:hint="eastAsia" w:ascii="仿宋_GB2312" w:hAnsi="仿宋_GB2312" w:eastAsia="仿宋_GB2312" w:cs="仿宋_GB2312"/>
          <w:b w:val="0"/>
          <w:bCs/>
          <w:kern w:val="2"/>
          <w:sz w:val="32"/>
          <w:szCs w:val="32"/>
          <w:lang w:val="en-US" w:eastAsia="zh-CN" w:bidi="ar-SA"/>
        </w:rPr>
        <w:t>法治思想</w:t>
      </w:r>
      <w:bookmarkStart w:id="8" w:name="_GoBack"/>
      <w:bookmarkEnd w:id="8"/>
      <w:r>
        <w:rPr>
          <w:rFonts w:hint="eastAsia" w:ascii="仿宋_GB2312" w:hAnsi="仿宋_GB2312" w:eastAsia="仿宋_GB2312" w:cs="仿宋_GB2312"/>
          <w:b w:val="0"/>
          <w:bCs/>
          <w:kern w:val="2"/>
          <w:sz w:val="32"/>
          <w:szCs w:val="32"/>
          <w:lang w:val="en-US" w:eastAsia="zh-CN" w:bidi="ar-SA"/>
        </w:rPr>
        <w:t>为根本遵循，通过</w:t>
      </w:r>
      <w:r>
        <w:rPr>
          <w:rFonts w:hint="default" w:ascii="仿宋_GB2312" w:hAnsi="仿宋_GB2312" w:eastAsia="仿宋_GB2312" w:cs="仿宋_GB2312"/>
          <w:b w:val="0"/>
          <w:bCs/>
          <w:kern w:val="2"/>
          <w:sz w:val="32"/>
          <w:szCs w:val="32"/>
          <w:lang w:val="en-US" w:eastAsia="zh-CN" w:bidi="ar-SA"/>
        </w:rPr>
        <w:t>工委会“第一议题”和理论学习中心组</w:t>
      </w:r>
      <w:r>
        <w:rPr>
          <w:rFonts w:hint="eastAsia" w:ascii="仿宋_GB2312" w:hAnsi="仿宋_GB2312" w:eastAsia="仿宋_GB2312" w:cs="仿宋_GB2312"/>
          <w:b w:val="0"/>
          <w:bCs/>
          <w:kern w:val="2"/>
          <w:sz w:val="32"/>
          <w:szCs w:val="32"/>
          <w:lang w:val="en-US" w:eastAsia="zh-CN" w:bidi="ar-SA"/>
        </w:rPr>
        <w:t>开展</w:t>
      </w:r>
      <w:r>
        <w:rPr>
          <w:rFonts w:hint="default" w:ascii="仿宋_GB2312" w:hAnsi="仿宋_GB2312" w:eastAsia="仿宋_GB2312" w:cs="仿宋_GB2312"/>
          <w:b w:val="0"/>
          <w:bCs/>
          <w:kern w:val="2"/>
          <w:sz w:val="32"/>
          <w:szCs w:val="32"/>
          <w:lang w:val="en-US" w:eastAsia="zh-CN" w:bidi="ar-SA"/>
        </w:rPr>
        <w:t>学习</w:t>
      </w:r>
      <w:r>
        <w:rPr>
          <w:rFonts w:hint="eastAsia" w:ascii="仿宋_GB2312" w:hAnsi="仿宋_GB2312" w:eastAsia="仿宋_GB2312" w:cs="仿宋_GB2312"/>
          <w:b w:val="0"/>
          <w:bCs/>
          <w:kern w:val="2"/>
          <w:sz w:val="32"/>
          <w:szCs w:val="32"/>
          <w:lang w:val="en-US" w:eastAsia="zh-CN" w:bidi="ar-SA"/>
        </w:rPr>
        <w:t>41</w:t>
      </w:r>
      <w:r>
        <w:rPr>
          <w:rFonts w:hint="default" w:ascii="仿宋_GB2312" w:hAnsi="仿宋_GB2312" w:eastAsia="仿宋_GB2312" w:cs="仿宋_GB2312"/>
          <w:b w:val="0"/>
          <w:bCs/>
          <w:kern w:val="2"/>
          <w:sz w:val="32"/>
          <w:szCs w:val="32"/>
          <w:lang w:val="en-US" w:eastAsia="zh-CN" w:bidi="ar-SA"/>
        </w:rPr>
        <w:t>次，不断增强“四个意识”、坚定“四个自信”、做到“两个维护”。持续巩固拓展主题教育成果，深化党纪学习教育成果，扎实开展深入贯彻中央八项规定精神学习教育。领导班子以身作则、率先垂范，先学一步、深学一层，各基层党组织及时跟进、全面铺开，开展集中学习334次、交流研讨105次，实现辖区3700名党员全覆盖</w:t>
      </w:r>
      <w:r>
        <w:rPr>
          <w:rFonts w:hint="eastAsia" w:ascii="仿宋_GB2312" w:hAnsi="仿宋_GB2312" w:eastAsia="仿宋_GB2312" w:cs="仿宋_GB2312"/>
          <w:b w:val="0"/>
          <w:bCs/>
          <w:kern w:val="2"/>
          <w:sz w:val="32"/>
          <w:szCs w:val="32"/>
          <w:lang w:val="en-US" w:eastAsia="zh-CN" w:bidi="ar-SA"/>
        </w:rPr>
        <w:t>，切实将学习成效转化为推进法治政府建设的强大动力</w:t>
      </w:r>
      <w:r>
        <w:rPr>
          <w:rFonts w:hint="default" w:ascii="仿宋_GB2312" w:hAnsi="仿宋_GB2312" w:eastAsia="仿宋_GB2312" w:cs="仿宋_GB2312"/>
          <w:b w:val="0"/>
          <w:bCs/>
          <w:kern w:val="2"/>
          <w:sz w:val="32"/>
          <w:szCs w:val="32"/>
          <w:lang w:val="en-US" w:eastAsia="zh-CN" w:bidi="ar-SA"/>
        </w:rPr>
        <w:t>。</w:t>
      </w:r>
      <w:r>
        <w:rPr>
          <w:rFonts w:hint="eastAsia" w:ascii="仿宋_GB2312" w:hAnsi="仿宋_GB2312" w:eastAsia="仿宋_GB2312" w:cs="仿宋_GB2312"/>
          <w:b w:val="0"/>
          <w:bCs/>
          <w:kern w:val="2"/>
          <w:sz w:val="32"/>
          <w:szCs w:val="32"/>
          <w:lang w:val="en-US" w:eastAsia="zh-CN" w:bidi="ar-SA"/>
        </w:rPr>
        <w:t>坚持带头学法。严格落实会前学法制度，不断提升运用法治思维和法治方式深化改革、推动发展、化解矛盾的能力。</w:t>
      </w:r>
    </w:p>
    <w:p w14:paraId="6AD6EA0C">
      <w:pPr>
        <w:pStyle w:val="9"/>
        <w:keepNext w:val="0"/>
        <w:keepLines w:val="0"/>
        <w:pageBreakBefore w:val="0"/>
        <w:kinsoku/>
        <w:wordWrap/>
        <w:overflowPunct/>
        <w:topLinePunct w:val="0"/>
        <w:autoSpaceDE/>
        <w:autoSpaceDN/>
        <w:bidi w:val="0"/>
        <w:adjustRightInd/>
        <w:snapToGrid/>
        <w:spacing w:line="560" w:lineRule="exact"/>
        <w:ind w:left="0" w:leftChars="0"/>
        <w:rPr>
          <w:rFonts w:hint="default"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二是压实第一责任，严格依法依规履职。持续将党政主要负责人履行推进法治建设第一责任人职责情况列入年终述职内容，确保法治建设责任层层压实。严格依法决策。严格执行重大行政决策法定程序，落实合法性审查前置要求，确保决策权在法治轨道上运行。规范行政执法。深入推进街道行政执法规范化建设，全面落实行政执法“三项制度”，切实提升执法公信力。</w:t>
      </w:r>
    </w:p>
    <w:p w14:paraId="7EFD85B5">
      <w:pPr>
        <w:pStyle w:val="9"/>
        <w:keepNext w:val="0"/>
        <w:keepLines w:val="0"/>
        <w:pageBreakBefore w:val="0"/>
        <w:kinsoku/>
        <w:wordWrap/>
        <w:overflowPunct/>
        <w:topLinePunct w:val="0"/>
        <w:autoSpaceDE/>
        <w:autoSpaceDN/>
        <w:bidi w:val="0"/>
        <w:adjustRightInd/>
        <w:snapToGrid/>
        <w:spacing w:line="560" w:lineRule="exact"/>
        <w:ind w:left="0" w:leftChars="0"/>
        <w:rPr>
          <w:rFonts w:hint="default"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三是深化普法宣传，营造良好法治环境。严格落实“谁执法谁普法”责任制，深入推进法治宣传教育。紧密结合街道实际，认真贯彻落实《法治宣传教育法》各项要求，针对不同群体开展精准普法，多次举办反电信诈骗、未成年人保护、妇女权益保障等专题法治宣传活动，努力营造办事依法、遇事找法、解决问题用法、化解矛盾靠法的良好法治环境。</w:t>
      </w:r>
    </w:p>
    <w:p w14:paraId="1914E8E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sz w:val="32"/>
          <w:szCs w:val="36"/>
          <w:lang w:val="en-US" w:eastAsia="zh-CN"/>
        </w:rPr>
      </w:pPr>
      <w:r>
        <w:rPr>
          <w:rFonts w:hint="eastAsia" w:ascii="黑体" w:hAnsi="黑体" w:eastAsia="黑体" w:cs="黑体"/>
          <w:sz w:val="32"/>
          <w:szCs w:val="36"/>
          <w:lang w:val="en-US" w:eastAsia="zh-CN"/>
        </w:rPr>
        <w:t>五、2026年法治政府建设工作初步安排</w:t>
      </w:r>
    </w:p>
    <w:p w14:paraId="07D7DD26">
      <w:pPr>
        <w:pStyle w:val="4"/>
        <w:keepNext w:val="0"/>
        <w:keepLines w:val="0"/>
        <w:pageBreakBefore w:val="0"/>
        <w:kinsoku/>
        <w:wordWrap/>
        <w:overflowPunct/>
        <w:topLinePunct w:val="0"/>
        <w:autoSpaceDE/>
        <w:autoSpaceDN/>
        <w:bidi w:val="0"/>
        <w:adjustRightInd/>
        <w:snapToGrid/>
        <w:spacing w:line="560" w:lineRule="exact"/>
        <w:ind w:left="0" w:leftChars="0"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z w:val="32"/>
          <w:szCs w:val="32"/>
          <w:lang w:val="en-US" w:eastAsia="zh-CN"/>
        </w:rPr>
        <w:t>一是深入学习贯彻习近平法治思想，全面加强党对法治政府建设的领导。</w:t>
      </w:r>
      <w:r>
        <w:rPr>
          <w:rFonts w:hint="eastAsia" w:ascii="仿宋" w:hAnsi="仿宋" w:eastAsia="仿宋" w:cs="仿宋"/>
          <w:sz w:val="32"/>
          <w:szCs w:val="32"/>
          <w:lang w:eastAsia="zh-CN"/>
        </w:rPr>
        <w:t>坚持</w:t>
      </w:r>
      <w:r>
        <w:rPr>
          <w:rFonts w:hint="eastAsia" w:ascii="仿宋_GB2312" w:hAnsi="仿宋_GB2312" w:eastAsia="仿宋_GB2312" w:cs="仿宋_GB2312"/>
          <w:color w:val="000000"/>
          <w:sz w:val="32"/>
          <w:szCs w:val="32"/>
          <w:lang w:val="en-US" w:eastAsia="zh-CN"/>
        </w:rPr>
        <w:t>以习近平法治思想为根本遵循和行动指南，全面贯彻党</w:t>
      </w:r>
      <w:r>
        <w:rPr>
          <w:rFonts w:hint="eastAsia" w:ascii="仿宋_GB2312" w:hAnsi="仿宋_GB2312" w:eastAsia="仿宋_GB2312" w:cs="仿宋_GB2312"/>
          <w:color w:val="000000"/>
          <w:sz w:val="32"/>
          <w:szCs w:val="32"/>
          <w:highlight w:val="none"/>
          <w:lang w:val="en-US" w:eastAsia="zh-CN"/>
        </w:rPr>
        <w:t>的二十大及二十届历次全会</w:t>
      </w:r>
      <w:r>
        <w:rPr>
          <w:rFonts w:hint="eastAsia" w:ascii="仿宋_GB2312" w:hAnsi="仿宋_GB2312" w:eastAsia="仿宋_GB2312" w:cs="仿宋_GB2312"/>
          <w:color w:val="000000"/>
          <w:sz w:val="32"/>
          <w:szCs w:val="32"/>
          <w:lang w:val="en-US" w:eastAsia="zh-CN"/>
        </w:rPr>
        <w:t>精神，</w:t>
      </w:r>
      <w:r>
        <w:rPr>
          <w:rFonts w:hint="eastAsia" w:ascii="仿宋_GB2312" w:hAnsi="仿宋_GB2312" w:eastAsia="仿宋_GB2312" w:cs="仿宋_GB2312"/>
          <w:sz w:val="32"/>
          <w:szCs w:val="32"/>
        </w:rPr>
        <w:t>充分发挥党政主要负责人履行推进法治政府建设第一责任人作用，</w:t>
      </w:r>
      <w:r>
        <w:rPr>
          <w:rFonts w:hint="eastAsia" w:ascii="仿宋_GB2312" w:hAnsi="仿宋_GB2312" w:eastAsia="仿宋_GB2312" w:cs="仿宋_GB2312"/>
          <w:sz w:val="32"/>
          <w:szCs w:val="32"/>
          <w:lang w:val="en-US" w:eastAsia="zh-CN"/>
        </w:rPr>
        <w:t>对标“十五五”时期发展目标任务，</w:t>
      </w:r>
      <w:r>
        <w:rPr>
          <w:rFonts w:hint="eastAsia" w:ascii="仿宋_GB2312" w:hAnsi="仿宋_GB2312" w:eastAsia="仿宋_GB2312" w:cs="仿宋_GB2312"/>
          <w:sz w:val="32"/>
          <w:szCs w:val="32"/>
        </w:rPr>
        <w:t>进一步落实完善法治政府建设各项工作制度和工作措施</w:t>
      </w:r>
      <w:r>
        <w:rPr>
          <w:rFonts w:hint="eastAsia" w:ascii="仿宋_GB2312" w:hAnsi="仿宋_GB2312" w:eastAsia="仿宋_GB2312" w:cs="仿宋_GB2312"/>
          <w:sz w:val="32"/>
          <w:szCs w:val="32"/>
          <w:lang w:eastAsia="zh-CN"/>
        </w:rPr>
        <w:t>，确保中央、市、区委关于法治建设各项重大决策部署得到贯彻落实，不断增强运用习近平法治思想指导实践、推动工作的政治自觉、思想自觉和行动自觉。</w:t>
      </w:r>
    </w:p>
    <w:bookmarkEnd w:id="0"/>
    <w:bookmarkEnd w:id="1"/>
    <w:bookmarkEnd w:id="2"/>
    <w:bookmarkEnd w:id="3"/>
    <w:bookmarkEnd w:id="4"/>
    <w:bookmarkEnd w:id="5"/>
    <w:bookmarkEnd w:id="6"/>
    <w:bookmarkEnd w:id="7"/>
    <w:p w14:paraId="3743C13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是着力提升依法行政能力，夯实基层法治建设根基。加强依法行政理念建设和能力培训，主动加强与相关委办局的沟通协调，积极寻求业务指导。严格落实会前学法制度，围绕新颁布法律法规、行政履职核心业务等内容开展专题学习，推动领导干部带头尊法学法守法用法，切实增强运用法治思维和法治方式解决问题的能力。围绕行政履职核心环节，定期组织开展法律法规培训，着力提升工作人员深化改革、推动发展、化解矛盾、维护稳定的能力，切实</w:t>
      </w:r>
      <w:r>
        <w:rPr>
          <w:rFonts w:hint="eastAsia" w:ascii="仿宋_GB2312" w:hAnsi="仿宋_GB2312" w:eastAsia="仿宋_GB2312" w:cs="仿宋_GB2312"/>
          <w:sz w:val="32"/>
          <w:szCs w:val="32"/>
          <w:lang w:val="en-US" w:eastAsia="zh-CN"/>
        </w:rPr>
        <w:t>提高各部门依法开展行政检查、行政执法的规范化水平。健全社区干部学法用法制度，系统提升社区干部运用法律手段解决基层实际问题、化解矛盾纠纷的能力。充分</w:t>
      </w:r>
      <w:r>
        <w:rPr>
          <w:rFonts w:hint="eastAsia" w:ascii="仿宋_GB2312" w:hAnsi="仿宋_GB2312" w:eastAsia="仿宋_GB2312" w:cs="仿宋_GB2312"/>
          <w:kern w:val="0"/>
          <w:sz w:val="32"/>
          <w:szCs w:val="32"/>
          <w:lang w:eastAsia="zh-CN"/>
        </w:rPr>
        <w:t>发挥</w:t>
      </w:r>
      <w:r>
        <w:rPr>
          <w:rFonts w:hint="eastAsia" w:ascii="仿宋_GB2312" w:hAnsi="仿宋_GB2312" w:eastAsia="仿宋_GB2312" w:cs="仿宋_GB2312"/>
          <w:kern w:val="0"/>
          <w:sz w:val="32"/>
          <w:szCs w:val="32"/>
          <w:lang w:eastAsia="ar-SA"/>
        </w:rPr>
        <w:t>“法律明白人”</w:t>
      </w:r>
      <w:r>
        <w:rPr>
          <w:rFonts w:hint="eastAsia" w:ascii="仿宋_GB2312" w:hAnsi="仿宋_GB2312" w:eastAsia="仿宋_GB2312" w:cs="仿宋_GB2312"/>
          <w:kern w:val="0"/>
          <w:sz w:val="32"/>
          <w:szCs w:val="32"/>
          <w:lang w:eastAsia="zh-CN"/>
        </w:rPr>
        <w:t>示范引领作用</w:t>
      </w:r>
      <w:r>
        <w:rPr>
          <w:rFonts w:hint="eastAsia" w:ascii="仿宋_GB2312" w:hAnsi="仿宋_GB2312" w:eastAsia="仿宋_GB2312" w:cs="仿宋_GB2312"/>
          <w:kern w:val="0"/>
          <w:sz w:val="32"/>
          <w:szCs w:val="32"/>
          <w:lang w:eastAsia="ar-SA"/>
        </w:rPr>
        <w:t>，探索建立</w:t>
      </w:r>
      <w:r>
        <w:rPr>
          <w:rFonts w:hint="eastAsia" w:ascii="仿宋_GB2312" w:hAnsi="仿宋_GB2312" w:eastAsia="仿宋_GB2312" w:cs="仿宋_GB2312"/>
          <w:kern w:val="0"/>
          <w:sz w:val="32"/>
          <w:szCs w:val="32"/>
          <w:lang w:eastAsia="zh-CN"/>
        </w:rPr>
        <w:t>常态长效的</w:t>
      </w:r>
      <w:r>
        <w:rPr>
          <w:rFonts w:hint="eastAsia" w:ascii="仿宋_GB2312" w:hAnsi="仿宋_GB2312" w:eastAsia="仿宋_GB2312" w:cs="仿宋_GB2312"/>
          <w:kern w:val="0"/>
          <w:sz w:val="32"/>
          <w:szCs w:val="32"/>
          <w:lang w:eastAsia="ar-SA"/>
        </w:rPr>
        <w:t>学法用法机制</w:t>
      </w:r>
      <w:r>
        <w:rPr>
          <w:rFonts w:hint="eastAsia" w:ascii="仿宋_GB2312" w:hAnsi="仿宋_GB2312" w:eastAsia="仿宋_GB2312" w:cs="仿宋_GB2312"/>
          <w:kern w:val="0"/>
          <w:sz w:val="32"/>
          <w:szCs w:val="32"/>
          <w:lang w:eastAsia="zh-CN"/>
        </w:rPr>
        <w:t>。强化社区</w:t>
      </w:r>
      <w:r>
        <w:rPr>
          <w:rFonts w:hint="eastAsia" w:ascii="仿宋_GB2312" w:hAnsi="仿宋_GB2312" w:eastAsia="仿宋_GB2312" w:cs="仿宋_GB2312"/>
          <w:kern w:val="0"/>
          <w:sz w:val="32"/>
          <w:szCs w:val="32"/>
          <w:lang w:eastAsia="ar-SA"/>
        </w:rPr>
        <w:t>法律顾问作用，</w:t>
      </w:r>
      <w:r>
        <w:rPr>
          <w:rFonts w:hint="eastAsia" w:ascii="仿宋_GB2312" w:hAnsi="仿宋_GB2312" w:eastAsia="仿宋_GB2312" w:cs="仿宋_GB2312"/>
          <w:kern w:val="0"/>
          <w:sz w:val="32"/>
          <w:szCs w:val="32"/>
          <w:lang w:eastAsia="zh-CN"/>
        </w:rPr>
        <w:t>推动优质法律服务资源下沉。坚持和发展新时代“枫桥经验”，深化调解工作与“接诉即办”机制深度融合，不断提升基层治理法治化水平，</w:t>
      </w:r>
      <w:r>
        <w:rPr>
          <w:rFonts w:hint="eastAsia" w:ascii="仿宋_GB2312" w:hAnsi="仿宋_GB2312" w:eastAsia="仿宋_GB2312" w:cs="仿宋_GB2312"/>
          <w:kern w:val="0"/>
          <w:sz w:val="32"/>
          <w:szCs w:val="32"/>
          <w:lang w:eastAsia="ar-SA"/>
        </w:rPr>
        <w:t>优化基层法律服务供给。</w:t>
      </w:r>
    </w:p>
    <w:p w14:paraId="4CC99544">
      <w:pPr>
        <w:keepNext w:val="0"/>
        <w:keepLines w:val="0"/>
        <w:pageBreakBefore w:val="0"/>
        <w:kinsoku/>
        <w:wordWrap/>
        <w:overflowPunct/>
        <w:topLinePunct w:val="0"/>
        <w:autoSpaceDE/>
        <w:autoSpaceDN/>
        <w:bidi w:val="0"/>
        <w:adjustRightInd/>
        <w:snapToGrid/>
        <w:spacing w:line="560" w:lineRule="exact"/>
        <w:ind w:left="0" w:leftChars="0"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是持续创新法治宣传教育形式，增强普法工作的针对性和实效性。积极引导社区公益律师主动担负起法治宣传员的职责，面向社区征集群众普遍关注的、反映强烈的热点难点法律问题，将灌输式普法转变为主动供给群众需要的互动式普法，推行“点单式”普法服务，通过组织线上讲座、开展义务法律咨询、为社区治理提供法律意见等多元化形式，推动法治宣传教育工作真正贴近群众、服务群众，实现与群众需求的精准对接。持续强化普法驿站建设，适度增加普法驿站数量。完善“检助丰治”检察服务基层治理工作体系。建立常态化联动机制，定期邀请法官、检察官、律师、公证员等专业力量开展法律宣传和服务活动。</w:t>
      </w:r>
      <w:r>
        <w:rPr>
          <w:rFonts w:hint="eastAsia" w:ascii="仿宋_GB2312" w:hAnsi="仿宋_GB2312" w:eastAsia="仿宋_GB2312" w:cs="仿宋_GB2312"/>
          <w:sz w:val="32"/>
          <w:szCs w:val="32"/>
          <w:lang w:val="en-US" w:eastAsia="zh-CN"/>
        </w:rPr>
        <w:t>深</w:t>
      </w:r>
      <w:r>
        <w:rPr>
          <w:rFonts w:hint="eastAsia" w:ascii="仿宋_GB2312" w:hAnsi="仿宋_GB2312" w:eastAsia="仿宋_GB2312" w:cs="仿宋_GB2312"/>
          <w:sz w:val="32"/>
          <w:szCs w:val="32"/>
          <w:highlight w:val="none"/>
          <w:lang w:val="en-US" w:eastAsia="zh-CN"/>
        </w:rPr>
        <w:t>耕法治文化建设，</w:t>
      </w:r>
      <w:r>
        <w:rPr>
          <w:rFonts w:hint="eastAsia" w:ascii="仿宋_GB2312" w:hAnsi="仿宋_GB2312" w:eastAsia="仿宋_GB2312" w:cs="仿宋_GB2312"/>
          <w:sz w:val="32"/>
          <w:szCs w:val="32"/>
          <w:lang w:eastAsia="zh-CN"/>
        </w:rPr>
        <w:t>进一步完善法治公园等法治文化阵地建设，充分发挥其在传播法治理念、弘扬法治精神、培育法治信仰中的引领、渗透和浸润作用，营造浓厚法治氛围。</w:t>
      </w:r>
    </w:p>
    <w:p w14:paraId="199886AD">
      <w:pPr>
        <w:rPr>
          <w:rFonts w:hint="default"/>
          <w:lang w:val="en-US" w:eastAsia="zh-CN"/>
        </w:rPr>
      </w:pPr>
      <w:r>
        <w:rPr>
          <w:rFonts w:hint="eastAsia" w:ascii="仿宋_GB2312" w:hAnsi="仿宋_GB2312" w:eastAsia="仿宋_GB2312" w:cs="仿宋_GB2312"/>
          <w:sz w:val="32"/>
          <w:szCs w:val="32"/>
          <w:lang w:val="en-US" w:eastAsia="zh-CN"/>
        </w:rPr>
        <w:t xml:space="preserve"> </w:t>
      </w:r>
    </w:p>
    <w:p w14:paraId="2207728C">
      <w:pPr>
        <w:rPr>
          <w:rFonts w:hint="default"/>
          <w:lang w:val="en-US" w:eastAsia="zh-CN"/>
        </w:rPr>
      </w:pPr>
    </w:p>
    <w:p w14:paraId="41F0DD48">
      <w:pPr>
        <w:keepNext w:val="0"/>
        <w:keepLines w:val="0"/>
        <w:pageBreakBefore w:val="0"/>
        <w:kinsoku/>
        <w:wordWrap/>
        <w:overflowPunct/>
        <w:topLinePunct w:val="0"/>
        <w:autoSpaceDE/>
        <w:autoSpaceDN/>
        <w:bidi w:val="0"/>
        <w:adjustRightInd/>
        <w:snapToGrid/>
        <w:spacing w:line="560" w:lineRule="exact"/>
        <w:rPr>
          <w:rFonts w:hint="eastAsia"/>
          <w:lang w:val="en-US" w:eastAsia="zh-CN"/>
        </w:rPr>
      </w:pPr>
    </w:p>
    <w:p w14:paraId="463BA96F">
      <w:pPr>
        <w:pStyle w:val="2"/>
        <w:rPr>
          <w:rFonts w:hint="eastAsia"/>
          <w:lang w:val="en-US" w:eastAsia="zh-CN"/>
        </w:rPr>
      </w:pPr>
    </w:p>
    <w:p w14:paraId="08006803">
      <w:pPr>
        <w:keepNext w:val="0"/>
        <w:keepLines w:val="0"/>
        <w:pageBreakBefore w:val="0"/>
        <w:kinsoku/>
        <w:wordWrap/>
        <w:overflowPunct/>
        <w:topLinePunct w:val="0"/>
        <w:autoSpaceDE/>
        <w:autoSpaceDN/>
        <w:bidi w:val="0"/>
        <w:adjustRightInd/>
        <w:snapToGrid/>
        <w:spacing w:line="560" w:lineRule="exact"/>
        <w:ind w:left="0" w:leftChars="0"/>
        <w:jc w:val="right"/>
        <w:textAlignment w:val="auto"/>
        <w:rPr>
          <w:rFonts w:hint="eastAsia" w:ascii="FangSong_GB2312" w:hAnsi="FangSong_GB2312" w:eastAsia="FangSong_GB2312" w:cs="宋体"/>
          <w:kern w:val="2"/>
          <w:sz w:val="32"/>
          <w:szCs w:val="22"/>
          <w:lang w:val="en-US" w:eastAsia="zh-CN" w:bidi="ar-SA"/>
        </w:rPr>
      </w:pPr>
      <w:r>
        <w:rPr>
          <w:rFonts w:hint="eastAsia" w:ascii="FangSong_GB2312" w:hAnsi="FangSong_GB2312" w:eastAsia="FangSong_GB2312" w:cs="宋体"/>
          <w:kern w:val="2"/>
          <w:sz w:val="32"/>
          <w:szCs w:val="22"/>
          <w:lang w:val="en-US" w:eastAsia="zh-CN" w:bidi="ar-SA"/>
        </w:rPr>
        <w:t xml:space="preserve">石榴庄街道办事处                                          </w:t>
      </w:r>
    </w:p>
    <w:p w14:paraId="45B2A1C9">
      <w:pPr>
        <w:keepNext w:val="0"/>
        <w:keepLines w:val="0"/>
        <w:pageBreakBefore w:val="0"/>
        <w:kinsoku/>
        <w:wordWrap/>
        <w:overflowPunct/>
        <w:topLinePunct w:val="0"/>
        <w:autoSpaceDE/>
        <w:autoSpaceDN/>
        <w:bidi w:val="0"/>
        <w:adjustRightInd/>
        <w:snapToGrid/>
        <w:spacing w:line="560" w:lineRule="exact"/>
        <w:ind w:left="0" w:leftChars="0"/>
        <w:jc w:val="right"/>
        <w:textAlignment w:val="auto"/>
      </w:pPr>
      <w:r>
        <w:rPr>
          <w:rFonts w:hint="eastAsia" w:ascii="FangSong_GB2312" w:hAnsi="FangSong_GB2312" w:eastAsia="FangSong_GB2312" w:cs="宋体"/>
          <w:kern w:val="2"/>
          <w:sz w:val="32"/>
          <w:szCs w:val="22"/>
          <w:lang w:val="en-US" w:eastAsia="zh-CN" w:bidi="ar-SA"/>
        </w:rPr>
        <w:t>2026年1月9日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FangSong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015128"/>
    <w:rsid w:val="117A45D5"/>
    <w:rsid w:val="1F9C33E5"/>
    <w:rsid w:val="2B6FE25F"/>
    <w:rsid w:val="301A218C"/>
    <w:rsid w:val="30DDAA6A"/>
    <w:rsid w:val="380A3E51"/>
    <w:rsid w:val="38DDDECA"/>
    <w:rsid w:val="3CCDEF97"/>
    <w:rsid w:val="4FDBD90B"/>
    <w:rsid w:val="51BD623E"/>
    <w:rsid w:val="52EF2B8F"/>
    <w:rsid w:val="57FFAC8C"/>
    <w:rsid w:val="5DFFA161"/>
    <w:rsid w:val="5EEDBE7D"/>
    <w:rsid w:val="5FA749BC"/>
    <w:rsid w:val="5FDF105B"/>
    <w:rsid w:val="5FFD33F1"/>
    <w:rsid w:val="68F6E7CF"/>
    <w:rsid w:val="6AE8378C"/>
    <w:rsid w:val="6BF9E087"/>
    <w:rsid w:val="6F8B6B7B"/>
    <w:rsid w:val="75FB80D9"/>
    <w:rsid w:val="776FA1D4"/>
    <w:rsid w:val="77DDE2EE"/>
    <w:rsid w:val="7AD7E557"/>
    <w:rsid w:val="7DFBE8DF"/>
    <w:rsid w:val="7E9350D5"/>
    <w:rsid w:val="7EFFD567"/>
    <w:rsid w:val="7EFFF144"/>
    <w:rsid w:val="7FED4FB6"/>
    <w:rsid w:val="7FFFD8E9"/>
    <w:rsid w:val="87FFB125"/>
    <w:rsid w:val="B6BB2E94"/>
    <w:rsid w:val="BBF97542"/>
    <w:rsid w:val="BDFD735D"/>
    <w:rsid w:val="BF2F8411"/>
    <w:rsid w:val="BFFD4D86"/>
    <w:rsid w:val="C35F897D"/>
    <w:rsid w:val="E57D5681"/>
    <w:rsid w:val="E9E23509"/>
    <w:rsid w:val="EB310195"/>
    <w:rsid w:val="EFDE97E0"/>
    <w:rsid w:val="F7FF2802"/>
    <w:rsid w:val="FF7B64EA"/>
    <w:rsid w:val="FF7DF286"/>
    <w:rsid w:val="FFF3DD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TOC2"/>
    <w:next w:val="1"/>
    <w:qFormat/>
    <w:uiPriority w:val="0"/>
    <w:pPr>
      <w:widowControl/>
      <w:spacing w:line="600" w:lineRule="exact"/>
      <w:ind w:right="-316" w:rightChars="-100" w:firstLine="790" w:firstLineChars="250"/>
      <w:jc w:val="both"/>
      <w:textAlignment w:val="baseline"/>
    </w:pPr>
    <w:rPr>
      <w:rFonts w:ascii="Calibri" w:hAnsi="Calibri" w:eastAsia="宋体" w:cs="宋体"/>
      <w:kern w:val="2"/>
      <w:sz w:val="21"/>
      <w:szCs w:val="22"/>
      <w:lang w:val="en-US" w:eastAsia="zh-CN" w:bidi="ar-SA"/>
    </w:rPr>
  </w:style>
  <w:style w:type="paragraph" w:styleId="3">
    <w:name w:val="annotation text"/>
    <w:basedOn w:val="1"/>
    <w:qFormat/>
    <w:uiPriority w:val="0"/>
    <w:pPr>
      <w:jc w:val="left"/>
    </w:pPr>
  </w:style>
  <w:style w:type="paragraph" w:styleId="4">
    <w:name w:val="toc 3"/>
    <w:next w:val="1"/>
    <w:qFormat/>
    <w:uiPriority w:val="0"/>
    <w:pPr>
      <w:widowControl w:val="0"/>
      <w:ind w:left="840" w:leftChars="400"/>
      <w:jc w:val="both"/>
    </w:pPr>
    <w:rPr>
      <w:rFonts w:ascii="Calibri" w:hAnsi="Calibri" w:eastAsia="宋体" w:cs="宋体"/>
      <w:kern w:val="2"/>
      <w:sz w:val="21"/>
      <w:szCs w:val="22"/>
      <w:lang w:val="en-US" w:eastAsia="zh-CN" w:bidi="ar-SA"/>
    </w:rPr>
  </w:style>
  <w:style w:type="paragraph" w:styleId="5">
    <w:name w:val="footer"/>
    <w:qFormat/>
    <w:uiPriority w:val="0"/>
    <w:pPr>
      <w:widowControl w:val="0"/>
      <w:tabs>
        <w:tab w:val="center" w:pos="4153"/>
        <w:tab w:val="right" w:pos="8306"/>
      </w:tabs>
      <w:snapToGrid w:val="0"/>
      <w:jc w:val="left"/>
    </w:pPr>
    <w:rPr>
      <w:rFonts w:ascii="Calibri" w:hAnsi="Calibri" w:eastAsia="宋体" w:cs="宋体"/>
      <w:kern w:val="2"/>
      <w:sz w:val="18"/>
      <w:szCs w:val="22"/>
      <w:lang w:val="en-US" w:eastAsia="zh-CN" w:bidi="ar-SA"/>
    </w:rPr>
  </w:style>
  <w:style w:type="paragraph" w:styleId="6">
    <w:name w:val="Normal (Web)"/>
    <w:qFormat/>
    <w:uiPriority w:val="0"/>
    <w:pPr>
      <w:widowControl w:val="0"/>
      <w:spacing w:before="0" w:beforeAutospacing="1" w:after="0" w:afterAutospacing="1"/>
      <w:ind w:left="0" w:right="0"/>
      <w:jc w:val="left"/>
    </w:pPr>
    <w:rPr>
      <w:rFonts w:ascii="Calibri" w:hAnsi="Calibri" w:eastAsia="宋体" w:cs="宋体"/>
      <w:kern w:val="0"/>
      <w:sz w:val="24"/>
      <w:szCs w:val="22"/>
      <w:lang w:val="en-US" w:eastAsia="zh-CN" w:bidi="ar"/>
    </w:rPr>
  </w:style>
  <w:style w:type="paragraph" w:customStyle="1" w:styleId="9">
    <w:name w:val="BodyText1I2"/>
    <w:qFormat/>
    <w:uiPriority w:val="0"/>
    <w:pPr>
      <w:widowControl/>
      <w:spacing w:after="0"/>
      <w:ind w:left="0" w:leftChars="0" w:firstLine="420" w:firstLineChars="200"/>
      <w:jc w:val="both"/>
      <w:textAlignment w:val="baseline"/>
    </w:pPr>
    <w:rPr>
      <w:rFonts w:ascii="Calibri" w:hAnsi="Calibri" w:eastAsia="宋体" w:cs="宋体"/>
      <w:kern w:val="2"/>
      <w:sz w:val="21"/>
      <w:szCs w:val="22"/>
      <w:lang w:val="en-US" w:eastAsia="zh-CN" w:bidi="ar-SA"/>
    </w:rPr>
  </w:style>
  <w:style w:type="paragraph" w:customStyle="1" w:styleId="10">
    <w:name w:val="BodyTextIndent"/>
    <w:qFormat/>
    <w:uiPriority w:val="0"/>
    <w:pPr>
      <w:widowControl/>
      <w:spacing w:after="120"/>
      <w:ind w:left="420" w:leftChars="200"/>
      <w:jc w:val="both"/>
      <w:textAlignment w:val="baseline"/>
    </w:pPr>
    <w:rPr>
      <w:rFonts w:ascii="Calibri" w:hAnsi="Calibri" w:eastAsia="宋体" w:cs="宋体"/>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4771</Words>
  <Characters>4853</Characters>
  <Lines>0</Lines>
  <Paragraphs>0</Paragraphs>
  <TotalTime>19</TotalTime>
  <ScaleCrop>false</ScaleCrop>
  <LinksUpToDate>false</LinksUpToDate>
  <CharactersWithSpaces>4897</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2026-01-06T01:57:00Z</dcterms:created>
  <dc:creator>Administrator</dc:creator>
  <cp:lastModifiedBy>slz04</cp:lastModifiedBy>
  <cp:lastPrinted>2026-04-10T10:48:50Z</cp:lastPrinted>
  <dcterms:modified xsi:type="dcterms:W3CDTF">2026-04-10T11:03:30Z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2DBB8513EEF044FA892C503BAF3B6727_13</vt:lpwstr>
  </property>
  <property fmtid="{D5CDD505-2E9C-101B-9397-08002B2CF9AE}" pid="4" name="KSOTemplateDocerSaveRecord">
    <vt:lpwstr>eyJoZGlkIjoiODRkM2QyODVmYTk2ZTg3NGExMmNkODdiNzMyNWVhYzUiLCJ1c2VySWQiOiIyMjY0MjE5NjQifQ==</vt:lpwstr>
  </property>
</Properties>
</file>