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宛平街道</w:t>
      </w:r>
      <w:r>
        <w:rPr>
          <w:rFonts w:hint="eastAsia" w:ascii="方正小标宋简体" w:hAnsi="方正小标宋简体" w:eastAsia="方正小标宋简体" w:cs="方正小标宋简体"/>
          <w:sz w:val="44"/>
          <w:szCs w:val="44"/>
          <w:lang w:val="en-US" w:eastAsia="zh-CN"/>
        </w:rPr>
        <w:t>2025年法治政府建设情况报告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10"/>
          <w:sz w:val="32"/>
          <w:szCs w:val="32"/>
          <w:lang w:eastAsia="zh-CN"/>
        </w:rPr>
      </w:pPr>
      <w:r>
        <w:rPr>
          <w:rFonts w:hint="eastAsia" w:ascii="仿宋_GB2312" w:hAnsi="仿宋_GB2312" w:eastAsia="仿宋_GB2312" w:cs="仿宋_GB2312"/>
          <w:sz w:val="32"/>
          <w:szCs w:val="32"/>
          <w:lang w:val="en-US" w:eastAsia="zh-CN"/>
        </w:rPr>
        <w:t>2025年是贯彻实施《法治政府建设实施纲要（2021-2025年）》《北京市法治政府建设实施意见（2021-2025年）》和《丰台区法治政府建设实施方案（2021-2025年）》的收官之年。宛平街道在区委、区政府的正确领导下，紧紧围绕全区法治政府建设总体要求，坚持以习近平新时代中国特色社会主义思想为指导，全面贯彻党的二十大和二十届二中、三中全会精神，深入落实中央经济工作会议精神，深入学习贯彻习近平法治思想，认真落实中共中央、国务院、市委市政府和区委区政府关于法治政府建设的各项决策部署，</w:t>
      </w:r>
      <w:r>
        <w:rPr>
          <w:rFonts w:hint="eastAsia" w:ascii="仿宋_GB2312" w:hAnsi="仿宋_GB2312" w:eastAsia="仿宋_GB2312" w:cs="仿宋_GB2312"/>
          <w:kern w:val="10"/>
          <w:sz w:val="32"/>
          <w:szCs w:val="32"/>
          <w:lang w:val="en-US" w:eastAsia="zh-CN"/>
        </w:rPr>
        <w:t>扎实推进依法行政，将政府行为全面纳入法治轨道，依法履行职能</w:t>
      </w:r>
      <w:r>
        <w:rPr>
          <w:rFonts w:hint="eastAsia" w:ascii="仿宋_GB2312" w:eastAsia="仿宋_GB2312" w:cs="Times New Roman"/>
          <w:sz w:val="32"/>
          <w:szCs w:val="32"/>
          <w:highlight w:val="none"/>
          <w:lang w:val="en-US" w:eastAsia="zh-CN"/>
        </w:rPr>
        <w:t>。</w:t>
      </w:r>
      <w:r>
        <w:rPr>
          <w:rFonts w:hint="eastAsia" w:ascii="仿宋_GB2312" w:hAnsi="仿宋_GB2312" w:eastAsia="仿宋_GB2312" w:cs="仿宋_GB2312"/>
          <w:kern w:val="10"/>
          <w:sz w:val="32"/>
          <w:szCs w:val="32"/>
          <w:lang w:eastAsia="zh-CN"/>
        </w:rPr>
        <w:t>现将有关情况报告如下：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10"/>
          <w:sz w:val="32"/>
          <w:szCs w:val="32"/>
          <w:lang w:val="en-US" w:eastAsia="zh-CN"/>
        </w:rPr>
      </w:pPr>
      <w:r>
        <w:rPr>
          <w:rFonts w:hint="eastAsia" w:ascii="黑体" w:hAnsi="黑体" w:eastAsia="黑体" w:cs="黑体"/>
          <w:kern w:val="10"/>
          <w:sz w:val="32"/>
          <w:szCs w:val="32"/>
          <w:lang w:eastAsia="zh-CN"/>
        </w:rPr>
        <w:t>一、</w:t>
      </w:r>
      <w:r>
        <w:rPr>
          <w:rFonts w:hint="eastAsia" w:ascii="黑体" w:hAnsi="黑体" w:eastAsia="黑体" w:cs="黑体"/>
          <w:kern w:val="10"/>
          <w:sz w:val="32"/>
          <w:szCs w:val="32"/>
          <w:lang w:val="en-US" w:eastAsia="zh-CN"/>
        </w:rPr>
        <w:t>2025年法治政府建设主要举措和成效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10"/>
          <w:sz w:val="32"/>
          <w:szCs w:val="32"/>
          <w:lang w:val="en-US" w:eastAsia="zh-CN"/>
        </w:rPr>
      </w:pPr>
      <w:r>
        <w:rPr>
          <w:rFonts w:hint="eastAsia" w:ascii="楷体_GB2312" w:hAnsi="楷体_GB2312" w:eastAsia="楷体_GB2312" w:cs="楷体_GB2312"/>
          <w:kern w:val="10"/>
          <w:sz w:val="32"/>
          <w:szCs w:val="32"/>
          <w:lang w:val="en-US" w:eastAsia="zh-CN"/>
        </w:rPr>
        <w:t>（一）进一步抓实走深习近平法治思想学习宣传贯彻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10"/>
          <w:sz w:val="32"/>
          <w:szCs w:val="32"/>
          <w:lang w:val="en-US" w:eastAsia="zh-CN"/>
        </w:rPr>
      </w:pPr>
      <w:r>
        <w:rPr>
          <w:rFonts w:hint="eastAsia" w:ascii="仿宋_GB2312" w:hAnsi="仿宋_GB2312" w:eastAsia="仿宋_GB2312" w:cs="仿宋_GB2312"/>
          <w:kern w:val="10"/>
          <w:sz w:val="32"/>
          <w:szCs w:val="32"/>
          <w:lang w:val="en-US" w:eastAsia="zh-CN"/>
        </w:rPr>
        <w:t>深入学习党的二十大和二十届二中、三中全会关于加强法治政府建设、</w:t>
      </w:r>
      <w:r>
        <w:rPr>
          <w:rStyle w:val="4"/>
        </w:rPr>
        <w:t>扎实推进依法行政相关重大决策部署</w:t>
      </w:r>
      <w:r>
        <w:rPr>
          <w:rStyle w:val="4"/>
          <w:rFonts w:hint="eastAsia" w:eastAsia="仿宋_GB2312"/>
          <w:lang w:eastAsia="zh-CN"/>
        </w:rPr>
        <w:t>和习近平法治思想，不断提升各级领导干部法治思维和依法行政能力。</w:t>
      </w:r>
      <w:r>
        <w:rPr>
          <w:rFonts w:ascii="仿宋_GB2312" w:hAnsi="仿宋_GB2312" w:eastAsia="仿宋_GB2312" w:cs="仿宋_GB2312"/>
          <w:b w:val="0"/>
          <w:i w:val="0"/>
          <w:color w:val="000000"/>
          <w:sz w:val="32"/>
          <w:szCs w:val="32"/>
        </w:rPr>
        <w:t>持续推行领导干部带头讲法制度</w:t>
      </w:r>
      <w:r>
        <w:rPr>
          <w:rFonts w:hint="eastAsia" w:ascii="仿宋_GB2312" w:hAnsi="仿宋_GB2312" w:eastAsia="仿宋_GB2312" w:cs="仿宋_GB2312"/>
          <w:b w:val="0"/>
          <w:i w:val="0"/>
          <w:color w:val="000000"/>
          <w:sz w:val="32"/>
          <w:szCs w:val="32"/>
          <w:lang w:eastAsia="zh-CN"/>
        </w:rPr>
        <w:t>，</w:t>
      </w:r>
      <w:r>
        <w:rPr>
          <w:rFonts w:hint="eastAsia" w:ascii="仿宋_GB2312" w:hAnsi="仿宋_GB2312" w:eastAsia="仿宋_GB2312" w:cs="仿宋_GB2312"/>
          <w:b w:val="0"/>
          <w:i w:val="0"/>
          <w:color w:val="000000"/>
          <w:sz w:val="32"/>
          <w:szCs w:val="32"/>
          <w:lang w:val="en-US" w:eastAsia="zh-CN"/>
        </w:rPr>
        <w:t>2025年安排街道会前学法4次，街道主要领导专题讲法1次。</w:t>
      </w:r>
      <w:r>
        <w:rPr>
          <w:rFonts w:hint="eastAsia" w:ascii="仿宋_GB2312" w:hAnsi="仿宋_GB2312" w:eastAsia="仿宋_GB2312" w:cs="仿宋_GB2312"/>
          <w:kern w:val="10"/>
          <w:sz w:val="32"/>
          <w:szCs w:val="32"/>
          <w:lang w:val="en-US" w:eastAsia="zh-CN"/>
        </w:rPr>
        <w:t>把党中央关于法治政府建设重大决策部署和习近平法治思想贯彻落实到依法全面履职的全过程和各方面，把政府行为全面纳入法治轨道。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10"/>
          <w:sz w:val="32"/>
          <w:szCs w:val="32"/>
          <w:lang w:val="en-US" w:eastAsia="zh-CN"/>
        </w:rPr>
      </w:pPr>
      <w:r>
        <w:rPr>
          <w:rFonts w:hint="eastAsia" w:ascii="楷体_GB2312" w:hAnsi="楷体_GB2312" w:eastAsia="楷体_GB2312" w:cs="楷体_GB2312"/>
          <w:kern w:val="10"/>
          <w:sz w:val="32"/>
          <w:szCs w:val="32"/>
          <w:lang w:val="en-US" w:eastAsia="zh-CN"/>
        </w:rPr>
        <w:t>（二）持续推进政府职能优化协同高效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10"/>
          <w:sz w:val="32"/>
          <w:szCs w:val="32"/>
          <w:lang w:val="en-US" w:eastAsia="zh-CN"/>
        </w:rPr>
      </w:pPr>
      <w:r>
        <w:rPr>
          <w:rFonts w:hint="eastAsia" w:ascii="仿宋_GB2312" w:hAnsi="仿宋_GB2312" w:eastAsia="仿宋_GB2312" w:cs="仿宋_GB2312"/>
          <w:kern w:val="10"/>
          <w:sz w:val="32"/>
          <w:szCs w:val="32"/>
          <w:lang w:val="en-US" w:eastAsia="zh-CN"/>
        </w:rPr>
        <w:t>一是推动政务服务更加规范高效。推进政务服务标准化、规范化、便利化建设，根据北京市政务服务事项动态管理办法，配合做好办事指南优化工作。依法依规办理政府信息公开申请，畅通电话解答、现场解答等政策咨询渠道。二是推动一体化综合监管改革向纵深发展。进一步扩大非现场监管范围，落实“扫码检查”改革要求，不断扩大“无事不扰”企业清单范围；严格执行行政检查标准、程序，进一步提升监管效能。三是扎实推进法治化营商环境建设。完善“服务包”“服务管家”机制，及时解决企业困难诉求。贯彻落实上级单位公平竞争审查工作规则，常态化开展公平竞争审查抽查。四是不断提升城市治理现代化水平。强化“12345”市民服务热线平台功能，完善</w:t>
      </w:r>
      <w:r>
        <w:rPr>
          <w:rFonts w:ascii="仿宋_GB2312" w:hAnsi="仿宋_GB2312" w:eastAsia="仿宋_GB2312" w:cs="仿宋_GB2312"/>
          <w:b w:val="0"/>
          <w:i w:val="0"/>
          <w:color w:val="000000"/>
          <w:sz w:val="32"/>
          <w:szCs w:val="32"/>
        </w:rPr>
        <w:t>“接、派、办</w:t>
      </w:r>
      <w:r>
        <w:rPr>
          <w:rFonts w:hint="eastAsia" w:ascii="仿宋_GB2312" w:hAnsi="仿宋_GB2312" w:eastAsia="仿宋_GB2312" w:cs="仿宋_GB2312"/>
          <w:b w:val="0"/>
          <w:i w:val="0"/>
          <w:color w:val="000000"/>
          <w:sz w:val="32"/>
          <w:szCs w:val="32"/>
          <w:lang w:eastAsia="zh-CN"/>
        </w:rPr>
        <w:t>、</w:t>
      </w:r>
      <w:r>
        <w:rPr>
          <w:rFonts w:ascii="仿宋_GB2312" w:hAnsi="仿宋_GB2312" w:eastAsia="仿宋_GB2312" w:cs="仿宋_GB2312"/>
          <w:b w:val="0"/>
          <w:i w:val="0"/>
          <w:color w:val="000000"/>
          <w:sz w:val="32"/>
          <w:szCs w:val="32"/>
        </w:rPr>
        <w:t>评”全流程工作机制。</w:t>
      </w:r>
      <w:r>
        <w:rPr>
          <w:rFonts w:hint="eastAsia" w:ascii="仿宋_GB2312" w:hAnsi="仿宋_GB2312" w:eastAsia="仿宋_GB2312" w:cs="仿宋_GB2312"/>
          <w:b w:val="0"/>
          <w:i w:val="0"/>
          <w:color w:val="000000"/>
          <w:sz w:val="32"/>
          <w:szCs w:val="32"/>
        </w:rPr>
        <w:t>坚持“每月一题”治理重点诉求问题，加强专项治理。坚持“书记一点半”每日调度机制，时时掌握辖区群众大事小情，推动民生诉求高效办理。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10"/>
          <w:sz w:val="32"/>
          <w:szCs w:val="32"/>
          <w:lang w:val="en-US" w:eastAsia="zh-CN"/>
        </w:rPr>
      </w:pPr>
      <w:r>
        <w:rPr>
          <w:rFonts w:hint="eastAsia" w:ascii="楷体_GB2312" w:hAnsi="楷体_GB2312" w:eastAsia="楷体_GB2312" w:cs="楷体_GB2312"/>
          <w:kern w:val="10"/>
          <w:sz w:val="32"/>
          <w:szCs w:val="32"/>
          <w:lang w:val="en-US" w:eastAsia="zh-CN"/>
        </w:rPr>
        <w:t>（三）健全依法行政制度体系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10"/>
          <w:sz w:val="32"/>
          <w:szCs w:val="32"/>
          <w:lang w:val="en-US" w:eastAsia="zh-CN"/>
        </w:rPr>
      </w:pPr>
      <w:r>
        <w:rPr>
          <w:rFonts w:hint="eastAsia" w:ascii="仿宋_GB2312" w:hAnsi="仿宋_GB2312" w:eastAsia="仿宋_GB2312" w:cs="仿宋_GB2312"/>
          <w:kern w:val="10"/>
          <w:sz w:val="32"/>
          <w:szCs w:val="32"/>
          <w:lang w:val="en-US" w:eastAsia="zh-CN"/>
        </w:rPr>
        <w:t>一是配合立法调研，开展行政规范性文件备案清理及后评估。认真落实上级立法调研工作安排，结合街道实际，积极参与立法调研工作。严格落实《北京市丰台区行政规范性文件管理办法》，完善规范性文件清理工作。二是落实重大行政决策程序，严格落实《北京市丰台区重大行政决策程序暂行规定》</w:t>
      </w:r>
      <w:r>
        <w:rPr>
          <w:rFonts w:ascii="仿宋_GB2312" w:hAnsi="仿宋_GB2312" w:eastAsia="仿宋_GB2312" w:cs="仿宋_GB2312"/>
          <w:b w:val="0"/>
          <w:i w:val="0"/>
          <w:color w:val="000000"/>
          <w:sz w:val="32"/>
          <w:szCs w:val="32"/>
        </w:rPr>
        <w:t>《北京市丰台区“两重一规”合法性审核实施办法》</w:t>
      </w:r>
      <w:r>
        <w:rPr>
          <w:rFonts w:hint="eastAsia" w:ascii="仿宋_GB2312" w:hAnsi="仿宋_GB2312" w:eastAsia="仿宋_GB2312" w:cs="仿宋_GB2312"/>
          <w:kern w:val="10"/>
          <w:sz w:val="32"/>
          <w:szCs w:val="32"/>
          <w:lang w:val="en-US" w:eastAsia="zh-CN"/>
        </w:rPr>
        <w:t>各项程序要求。发挥法治机构内部审核把关作用，重视听取政府法律顾问的法律咨询论证意见。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10"/>
          <w:sz w:val="32"/>
          <w:szCs w:val="32"/>
          <w:lang w:val="en-US" w:eastAsia="zh-CN"/>
        </w:rPr>
      </w:pPr>
      <w:r>
        <w:rPr>
          <w:rFonts w:hint="eastAsia" w:ascii="楷体_GB2312" w:hAnsi="楷体_GB2312" w:eastAsia="楷体_GB2312" w:cs="楷体_GB2312"/>
          <w:kern w:val="10"/>
          <w:sz w:val="32"/>
          <w:szCs w:val="32"/>
          <w:lang w:val="en-US" w:eastAsia="zh-CN"/>
        </w:rPr>
        <w:t>（四）加强行政执法规范与效能建设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10"/>
          <w:sz w:val="32"/>
          <w:szCs w:val="32"/>
          <w:lang w:val="en-US" w:eastAsia="zh-CN"/>
        </w:rPr>
      </w:pPr>
      <w:r>
        <w:rPr>
          <w:rFonts w:hint="eastAsia" w:ascii="仿宋_GB2312" w:hAnsi="仿宋_GB2312" w:eastAsia="仿宋_GB2312" w:cs="仿宋_GB2312"/>
          <w:kern w:val="10"/>
          <w:sz w:val="32"/>
          <w:szCs w:val="32"/>
          <w:lang w:val="en-US" w:eastAsia="zh-CN"/>
        </w:rPr>
        <w:t>一是持续深化行政执法体制改革。贯彻落实党中央关于着力破解基层“小马拉大车”难题的决策部署，全面建立街镇履职事项清单。推动行业管理部门和综合执法机构之间协同，压实各方责任，做好管理与执法衔接。二是深入推进行政执法质量提升与协同衔接。按照</w:t>
      </w:r>
      <w:r>
        <w:rPr>
          <w:rFonts w:ascii="仿宋_GB2312" w:hAnsi="仿宋_GB2312" w:eastAsia="仿宋_GB2312" w:cs="仿宋_GB2312"/>
          <w:b w:val="0"/>
          <w:i w:val="0"/>
          <w:color w:val="000000"/>
          <w:sz w:val="32"/>
          <w:szCs w:val="32"/>
        </w:rPr>
        <w:t>《丰台区提升行政执法质量三年行动计划（2023—202</w:t>
      </w:r>
      <w:r>
        <w:rPr>
          <w:rFonts w:hint="eastAsia" w:ascii="仿宋_GB2312" w:hAnsi="仿宋_GB2312" w:eastAsia="仿宋_GB2312" w:cs="仿宋_GB2312"/>
          <w:b w:val="0"/>
          <w:i w:val="0"/>
          <w:color w:val="000000"/>
          <w:sz w:val="32"/>
          <w:szCs w:val="32"/>
          <w:lang w:val="en-US" w:eastAsia="zh-CN"/>
        </w:rPr>
        <w:t>5</w:t>
      </w:r>
      <w:r>
        <w:rPr>
          <w:rFonts w:ascii="仿宋_GB2312" w:hAnsi="仿宋_GB2312" w:eastAsia="仿宋_GB2312" w:cs="仿宋_GB2312"/>
          <w:b w:val="0"/>
          <w:i w:val="0"/>
          <w:color w:val="000000"/>
          <w:sz w:val="32"/>
          <w:szCs w:val="32"/>
        </w:rPr>
        <w:t>年）》要求</w:t>
      </w:r>
      <w:r>
        <w:rPr>
          <w:rFonts w:hint="eastAsia" w:ascii="仿宋_GB2312" w:hAnsi="仿宋_GB2312" w:eastAsia="仿宋_GB2312" w:cs="仿宋_GB2312"/>
          <w:b w:val="0"/>
          <w:i w:val="0"/>
          <w:color w:val="000000"/>
          <w:sz w:val="32"/>
          <w:szCs w:val="32"/>
          <w:lang w:eastAsia="zh-CN"/>
        </w:rPr>
        <w:t>，规范开展执法工作，加强执法队伍建设。</w:t>
      </w:r>
      <w:r>
        <w:rPr>
          <w:rFonts w:hint="eastAsia" w:ascii="仿宋_GB2312" w:hAnsi="仿宋_GB2312" w:eastAsia="仿宋_GB2312" w:cs="仿宋_GB2312"/>
          <w:b w:val="0"/>
          <w:i w:val="0"/>
          <w:color w:val="000000"/>
          <w:sz w:val="32"/>
          <w:szCs w:val="32"/>
          <w:lang w:val="en-US" w:eastAsia="zh-CN"/>
        </w:rPr>
        <w:t>严格落实《丰台</w:t>
      </w:r>
      <w:r>
        <w:rPr>
          <w:rFonts w:hint="eastAsia" w:ascii="仿宋_GB2312" w:hAnsi="仿宋_GB2312" w:eastAsia="仿宋_GB2312" w:cs="仿宋_GB2312"/>
          <w:kern w:val="10"/>
          <w:sz w:val="32"/>
          <w:szCs w:val="32"/>
          <w:lang w:val="en-US" w:eastAsia="zh-CN"/>
        </w:rPr>
        <w:t>区关于加强执法、司法协同配合推动行刑反向衔接的工作意见》，推动行政执法与刑事司法全链条衔接工作扎实开展。三是严格规范涉企行政检查。开展规范基层行政执法专项治理，严格规范行政检查主体、程序和行为，按时公示信息，强化行政检查源头管控和执法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10"/>
          <w:sz w:val="32"/>
          <w:szCs w:val="32"/>
          <w:lang w:val="en-US" w:eastAsia="zh-CN"/>
        </w:rPr>
      </w:pPr>
      <w:r>
        <w:rPr>
          <w:rFonts w:hint="eastAsia" w:ascii="楷体_GB2312" w:hAnsi="楷体_GB2312" w:eastAsia="楷体_GB2312" w:cs="楷体_GB2312"/>
          <w:kern w:val="10"/>
          <w:sz w:val="32"/>
          <w:szCs w:val="32"/>
          <w:lang w:val="en-US" w:eastAsia="zh-CN"/>
        </w:rPr>
        <w:t>（五）完善突发事件应对制度机制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10"/>
          <w:sz w:val="32"/>
          <w:szCs w:val="32"/>
          <w:lang w:val="en-US" w:eastAsia="zh-CN"/>
        </w:rPr>
      </w:pPr>
      <w:r>
        <w:rPr>
          <w:rFonts w:hint="eastAsia" w:ascii="仿宋_GB2312" w:hAnsi="仿宋_GB2312" w:eastAsia="仿宋_GB2312" w:cs="仿宋_GB2312"/>
          <w:kern w:val="10"/>
          <w:sz w:val="32"/>
          <w:szCs w:val="32"/>
          <w:lang w:val="en-US" w:eastAsia="zh-CN"/>
        </w:rPr>
        <w:t>一是坚持运用法治思维和法治方式应对突发事件，严格依照《突发事件应对法》等法律法规实施处置措施健全应急管理制度体系。二是健全突发事件应对、危险化学品安全管理、防灾减灾救灾等制度体系。三是提高突发事件应对规范化水平，</w:t>
      </w:r>
      <w:r>
        <w:rPr>
          <w:rFonts w:ascii="仿宋_GB2312" w:hAnsi="仿宋_GB2312" w:eastAsia="仿宋_GB2312" w:cs="仿宋_GB2312"/>
          <w:b w:val="0"/>
          <w:i w:val="0"/>
          <w:color w:val="000000"/>
          <w:sz w:val="32"/>
          <w:szCs w:val="32"/>
        </w:rPr>
        <w:t>切实提升依法预防突发事件、先期处置和快速反应能力。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10"/>
          <w:sz w:val="32"/>
          <w:szCs w:val="32"/>
          <w:lang w:val="en-US" w:eastAsia="zh-CN"/>
        </w:rPr>
      </w:pPr>
      <w:r>
        <w:rPr>
          <w:rFonts w:hint="eastAsia" w:ascii="楷体_GB2312" w:hAnsi="楷体_GB2312" w:eastAsia="楷体_GB2312" w:cs="楷体_GB2312"/>
          <w:kern w:val="10"/>
          <w:sz w:val="32"/>
          <w:szCs w:val="32"/>
          <w:lang w:val="en-US" w:eastAsia="zh-CN"/>
        </w:rPr>
        <w:t>（六）强化内外监督工作合力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10"/>
          <w:sz w:val="32"/>
          <w:szCs w:val="32"/>
          <w:lang w:val="en-US" w:eastAsia="zh-CN"/>
        </w:rPr>
      </w:pPr>
      <w:r>
        <w:rPr>
          <w:rFonts w:hint="eastAsia" w:ascii="仿宋_GB2312" w:hAnsi="仿宋_GB2312" w:eastAsia="仿宋_GB2312" w:cs="仿宋_GB2312"/>
          <w:kern w:val="10"/>
          <w:sz w:val="32"/>
          <w:szCs w:val="32"/>
          <w:lang w:val="en-US" w:eastAsia="zh-CN"/>
        </w:rPr>
        <w:t>一是主动接受人大监督和政协民主监督。严格落实并持续规范代表建议、政协提案办理制度，坚持沟通机制，从严规范办理程序，高质量办理议案建议提案。二是加强财政监督。将事前绩效评估、事中绩效运行监控、事后绩效评价结果应用到预算管理中，推进财政预算和绩效管理一体化建设。压实政府采购主体责任。三是全面履行审计监督职责。</w:t>
      </w:r>
      <w:r>
        <w:rPr>
          <w:rFonts w:ascii="仿宋_GB2312" w:hAnsi="仿宋_GB2312" w:eastAsia="仿宋_GB2312" w:cs="仿宋_GB2312"/>
          <w:b w:val="0"/>
          <w:i w:val="0"/>
          <w:color w:val="000000"/>
          <w:sz w:val="32"/>
          <w:szCs w:val="32"/>
        </w:rPr>
        <w:t>依法接受审计监督，</w:t>
      </w:r>
      <w:r>
        <w:rPr>
          <w:rFonts w:hint="eastAsia" w:ascii="仿宋_GB2312" w:hAnsi="仿宋_GB2312" w:eastAsia="仿宋_GB2312" w:cs="仿宋_GB2312"/>
          <w:kern w:val="10"/>
          <w:sz w:val="32"/>
          <w:szCs w:val="32"/>
          <w:lang w:val="en-US" w:eastAsia="zh-CN"/>
        </w:rPr>
        <w:t>配合开展重点项目审计监督、领导干部经济责任审计和自然资源资产离任审计。强化审计成果运用，切实抓好审计整改工作。四是有效发挥统计监督职能作用。深入学习贯彻《中华人民共和国统计法》，将防范和惩治统计造假、弄虚作假纳入依法履职责任范围，进一步提升统计工作能力和统计数据质量。五是加强行政执法协调监督，充分利用各类监督渠道，深挖行政检查中可能存在的问题，完善内部执法规范。六是自觉接受司法和纪检监察监督。支持法院依法受理和审理行政案件，强化“关键少数”引领作用，进一步加大行政机关负责人出庭应诉力度，实现“应出尽出”。强化信息共享、源头预防、非诉调处、诉前协调等方面的良性互动。尊重并执行法院生效裁判，认真落实司法建议、检察建议，支持和配合检察机关开展行政诉讼监督和行政公益诉讼。自觉接受、配合纪检监察机关开展监督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10"/>
          <w:sz w:val="32"/>
          <w:szCs w:val="32"/>
          <w:lang w:val="en-US" w:eastAsia="zh-CN"/>
        </w:rPr>
      </w:pPr>
      <w:r>
        <w:rPr>
          <w:rFonts w:hint="eastAsia" w:ascii="楷体_GB2312" w:hAnsi="楷体_GB2312" w:eastAsia="楷体_GB2312" w:cs="楷体_GB2312"/>
          <w:kern w:val="10"/>
          <w:sz w:val="32"/>
          <w:szCs w:val="32"/>
          <w:lang w:val="en-US" w:eastAsia="zh-CN"/>
        </w:rPr>
        <w:t>（七）健全矛盾纠纷行政预防化解体系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10"/>
          <w:sz w:val="32"/>
          <w:szCs w:val="32"/>
          <w:lang w:val="en-US" w:eastAsia="zh-CN"/>
        </w:rPr>
      </w:pPr>
      <w:r>
        <w:rPr>
          <w:rFonts w:hint="eastAsia" w:ascii="仿宋_GB2312" w:hAnsi="仿宋_GB2312" w:eastAsia="仿宋_GB2312" w:cs="仿宋_GB2312"/>
          <w:kern w:val="10"/>
          <w:sz w:val="32"/>
          <w:szCs w:val="32"/>
          <w:lang w:val="en-US" w:eastAsia="zh-CN"/>
        </w:rPr>
        <w:t>一是推进行政复议化解行政争议主渠道建设。全面贯彻行政复议法及实施条例，围绕行政复议法实施一周年开展系列宣传活动。认真落实行政复议意见书、建议书的有关要求。二是深入推进信访工作法治化。深入贯彻落实《信访工作条例》，坚持按照信访工作法治化“路线图”和工作指南依法分类处理信访问题，不断提高信访事项受理办理质效。综合运用各种手段破解疑难复杂问题，化解积案。坚持和发展新时代“枫桥经验”，做实源头预防和前端化解。三是深化行政调解工作，进一步深化以人民调解为基础，各类调解优势互补、有机衔接、协调联动的工作格局。四是推进公共法律服务均衡发展。以法治副校长、送法进校园、假期法治小课堂等形式多样的青少年法治宣传教育和校园法治文化活动，全面加强青少年法治宣传教育。充分利用国家安全日、国际禁毒日、三八妇女节、“3·15”、“12·4”国家宪法日等重要时间节点大力宣传相关领域的法律法规，完成“八五”普法总结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10"/>
          <w:sz w:val="32"/>
          <w:szCs w:val="32"/>
          <w:lang w:val="en-US" w:eastAsia="zh-CN"/>
        </w:rPr>
      </w:pPr>
      <w:r>
        <w:rPr>
          <w:rFonts w:hint="eastAsia" w:ascii="楷体_GB2312" w:hAnsi="楷体_GB2312" w:eastAsia="楷体_GB2312" w:cs="楷体_GB2312"/>
          <w:kern w:val="10"/>
          <w:sz w:val="32"/>
          <w:szCs w:val="32"/>
          <w:lang w:val="en-US" w:eastAsia="zh-CN"/>
        </w:rPr>
        <w:t>（八）加强对法治政府建设的落实推进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10"/>
          <w:sz w:val="32"/>
          <w:szCs w:val="32"/>
          <w:lang w:val="en-US" w:eastAsia="zh-CN"/>
        </w:rPr>
      </w:pPr>
      <w:r>
        <w:rPr>
          <w:rFonts w:hint="eastAsia" w:ascii="仿宋_GB2312" w:hAnsi="仿宋_GB2312" w:eastAsia="仿宋_GB2312" w:cs="仿宋_GB2312"/>
          <w:kern w:val="10"/>
          <w:sz w:val="32"/>
          <w:szCs w:val="32"/>
          <w:lang w:val="en-US" w:eastAsia="zh-CN"/>
        </w:rPr>
        <w:t>一是配合开展第四批全国法治政府建设示范区创建工作。按照依法行政考核指标体系，加强日常管理，强化考核结果运用。二是配合做好《全市司法所规范化建设三年行动方案（2022-2024年）》检查验收工作，落实好司法所建设主体责任，强化司法所设施建设、人员配备和业务培训，促进司法所工作水平提升，夯实法治建设基层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1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10"/>
          <w:sz w:val="32"/>
          <w:szCs w:val="32"/>
          <w:lang w:val="en-US" w:eastAsia="zh-CN"/>
        </w:rPr>
      </w:pPr>
      <w:r>
        <w:rPr>
          <w:rFonts w:hint="eastAsia" w:ascii="黑体" w:hAnsi="黑体" w:eastAsia="黑体" w:cs="黑体"/>
          <w:kern w:val="10"/>
          <w:sz w:val="32"/>
          <w:szCs w:val="32"/>
          <w:lang w:val="en-US" w:eastAsia="zh-CN"/>
        </w:rPr>
        <w:t>二、法治政府建设存在的问题与不足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10"/>
          <w:sz w:val="32"/>
          <w:szCs w:val="32"/>
          <w:lang w:val="en-US" w:eastAsia="zh-CN"/>
        </w:rPr>
      </w:pPr>
      <w:r>
        <w:rPr>
          <w:rFonts w:hint="eastAsia" w:ascii="楷体_GB2312" w:hAnsi="楷体_GB2312" w:eastAsia="楷体_GB2312" w:cs="楷体_GB2312"/>
          <w:kern w:val="10"/>
          <w:sz w:val="32"/>
          <w:szCs w:val="32"/>
          <w:lang w:val="en-US" w:eastAsia="zh-CN"/>
        </w:rPr>
        <w:t>（一）2025年存在的问题与不足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10"/>
          <w:sz w:val="32"/>
          <w:szCs w:val="32"/>
          <w:lang w:val="en-US" w:eastAsia="zh-CN"/>
        </w:rPr>
      </w:pPr>
      <w:r>
        <w:rPr>
          <w:rFonts w:hint="default" w:ascii="仿宋_GB2312" w:hAnsi="仿宋_GB2312" w:eastAsia="仿宋_GB2312" w:cs="仿宋_GB2312"/>
          <w:kern w:val="10"/>
          <w:sz w:val="32"/>
          <w:szCs w:val="32"/>
          <w:lang w:val="en-US" w:eastAsia="zh-CN"/>
        </w:rPr>
        <w:t>在区委、区政府的正确领导下，宛平街道在法治政府建设工作方面虽然取得了一定的成绩，做出了一定的贡献，但我们也清醒地看到存在的问题和不足</w:t>
      </w:r>
      <w:r>
        <w:rPr>
          <w:rFonts w:hint="eastAsia" w:ascii="仿宋_GB2312" w:hAnsi="仿宋_GB2312" w:eastAsia="仿宋_GB2312" w:cs="仿宋_GB2312"/>
          <w:kern w:val="10"/>
          <w:sz w:val="32"/>
          <w:szCs w:val="32"/>
          <w:lang w:val="en-US" w:eastAsia="zh-CN"/>
        </w:rPr>
        <w:t>，一是</w:t>
      </w:r>
      <w:r>
        <w:rPr>
          <w:rFonts w:hint="default" w:ascii="仿宋_GB2312" w:hAnsi="仿宋_GB2312" w:eastAsia="仿宋_GB2312" w:cs="仿宋_GB2312"/>
          <w:kern w:val="10"/>
          <w:sz w:val="32"/>
          <w:szCs w:val="32"/>
          <w:lang w:val="en-US" w:eastAsia="zh-CN"/>
        </w:rPr>
        <w:t>法治建设工作创新力度还不够。现行依法治理和普法的传统思路和模式，难以有效满足广大群众对法治的需求，打造的创新亮点还不多；二是</w:t>
      </w:r>
      <w:r>
        <w:rPr>
          <w:rFonts w:hint="eastAsia" w:ascii="仿宋_GB2312" w:hAnsi="仿宋_GB2312" w:eastAsia="仿宋_GB2312" w:cs="仿宋_GB2312"/>
          <w:kern w:val="10"/>
          <w:sz w:val="32"/>
          <w:szCs w:val="32"/>
          <w:lang w:val="en-US" w:eastAsia="zh-CN"/>
        </w:rPr>
        <w:t>对区域法治资源的利用程度有待提高</w:t>
      </w:r>
      <w:r>
        <w:rPr>
          <w:rFonts w:hint="default" w:ascii="仿宋_GB2312" w:hAnsi="仿宋_GB2312" w:eastAsia="仿宋_GB2312" w:cs="仿宋_GB2312"/>
          <w:kern w:val="1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10"/>
          <w:sz w:val="32"/>
          <w:szCs w:val="32"/>
          <w:lang w:val="en-US" w:eastAsia="zh-CN"/>
        </w:rPr>
      </w:pPr>
      <w:r>
        <w:rPr>
          <w:rFonts w:hint="eastAsia" w:ascii="楷体_GB2312" w:hAnsi="楷体_GB2312" w:eastAsia="楷体_GB2312" w:cs="楷体_GB2312"/>
          <w:kern w:val="10"/>
          <w:sz w:val="32"/>
          <w:szCs w:val="32"/>
          <w:lang w:val="en-US" w:eastAsia="zh-CN"/>
        </w:rPr>
        <w:t>（二）2024年度问题与不足整改情况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10"/>
          <w:sz w:val="32"/>
          <w:szCs w:val="32"/>
          <w:lang w:val="en-US" w:eastAsia="zh-CN"/>
        </w:rPr>
      </w:pPr>
      <w:r>
        <w:rPr>
          <w:rFonts w:hint="eastAsia" w:ascii="仿宋_GB2312" w:hAnsi="仿宋_GB2312" w:eastAsia="仿宋_GB2312" w:cs="仿宋_GB2312"/>
          <w:kern w:val="10"/>
          <w:sz w:val="32"/>
          <w:szCs w:val="32"/>
          <w:lang w:val="en-US" w:eastAsia="zh-CN"/>
        </w:rPr>
        <w:t>1.法治建设工作培训力度不够。针对此问题，街道结合接诉即办等工作实际需求，组织专题培训，通过业务知识精讲、典型案例分析，着力提升干部尤其是新入职干部的法治意识。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10"/>
          <w:sz w:val="32"/>
          <w:szCs w:val="32"/>
          <w:lang w:val="en-US" w:eastAsia="zh-CN"/>
        </w:rPr>
      </w:pPr>
      <w:r>
        <w:rPr>
          <w:rFonts w:hint="eastAsia" w:ascii="仿宋_GB2312" w:hAnsi="仿宋_GB2312" w:eastAsia="仿宋_GB2312" w:cs="仿宋_GB2312"/>
          <w:kern w:val="10"/>
          <w:sz w:val="32"/>
          <w:szCs w:val="32"/>
          <w:lang w:val="en-US" w:eastAsia="zh-CN"/>
        </w:rPr>
        <w:t>2.各部室法治政府建设工作水平不够均衡。针对此问题，街道通过深化法治政府建设各项</w:t>
      </w:r>
      <w:r>
        <w:rPr>
          <w:rFonts w:hint="default" w:ascii="仿宋_GB2312" w:hAnsi="仿宋_GB2312" w:eastAsia="仿宋_GB2312" w:cs="仿宋_GB2312"/>
          <w:kern w:val="10"/>
          <w:sz w:val="32"/>
          <w:szCs w:val="32"/>
          <w:lang w:val="en-US" w:eastAsia="zh-CN"/>
        </w:rPr>
        <w:t>工作要点</w:t>
      </w:r>
      <w:r>
        <w:rPr>
          <w:rFonts w:hint="eastAsia" w:ascii="仿宋_GB2312" w:hAnsi="仿宋_GB2312" w:eastAsia="仿宋_GB2312" w:cs="仿宋_GB2312"/>
          <w:kern w:val="10"/>
          <w:sz w:val="32"/>
          <w:szCs w:val="32"/>
          <w:lang w:val="en-US" w:eastAsia="zh-CN"/>
        </w:rPr>
        <w:t>学习，加强各部室之间的经验交流，推广先进做法，有效地带动了各部室法治政府建设均衡发展。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10"/>
          <w:sz w:val="32"/>
          <w:szCs w:val="32"/>
          <w:lang w:val="en-US" w:eastAsia="zh-CN"/>
        </w:rPr>
      </w:pPr>
      <w:r>
        <w:rPr>
          <w:rFonts w:hint="eastAsia" w:ascii="仿宋_GB2312" w:hAnsi="仿宋_GB2312" w:eastAsia="仿宋_GB2312" w:cs="仿宋_GB2312"/>
          <w:kern w:val="10"/>
          <w:sz w:val="32"/>
          <w:szCs w:val="32"/>
          <w:lang w:val="en-US" w:eastAsia="zh-CN"/>
        </w:rPr>
        <w:t>3.未能较好地平衡依法行政和兼顾效率。针对此问题，街道持续加强法治意识和法律法规教育，组织一线工作人员积极参加技能培训，有效提升了干部依法履职能力。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10"/>
          <w:sz w:val="32"/>
          <w:szCs w:val="32"/>
          <w:lang w:val="en-US" w:eastAsia="zh-CN"/>
        </w:rPr>
      </w:pPr>
      <w:r>
        <w:rPr>
          <w:rFonts w:hint="eastAsia" w:ascii="仿宋_GB2312" w:hAnsi="仿宋_GB2312" w:eastAsia="仿宋_GB2312" w:cs="仿宋_GB2312"/>
          <w:kern w:val="10"/>
          <w:sz w:val="32"/>
          <w:szCs w:val="32"/>
          <w:lang w:val="en-US" w:eastAsia="zh-CN"/>
        </w:rPr>
        <w:t>4.学习宣传习近平法治思想还需要进一步深入。针对此问题，街道组织各部室负责人参加主任办公会会前学法，扩大学法覆盖面；同时通过开展理论中心组书记专题讲法、支部学习、个人自学等多层级、多方面的学习活动，全面学习宣传习近平法治思想，有效提升了干部的法治意识和法律素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1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10"/>
          <w:sz w:val="32"/>
          <w:szCs w:val="32"/>
          <w:lang w:val="en-US" w:eastAsia="zh-CN"/>
        </w:rPr>
      </w:pPr>
      <w:r>
        <w:rPr>
          <w:rFonts w:hint="eastAsia" w:ascii="黑体" w:hAnsi="黑体" w:eastAsia="黑体" w:cs="黑体"/>
          <w:kern w:val="10"/>
          <w:sz w:val="32"/>
          <w:szCs w:val="32"/>
          <w:lang w:val="en-US" w:eastAsia="zh-CN"/>
        </w:rPr>
        <w:t>三、2025年党政主要负责人履行推进法治政府建设第一责任人职责情况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10"/>
          <w:sz w:val="32"/>
          <w:szCs w:val="32"/>
          <w:lang w:val="en-US" w:eastAsia="zh-CN"/>
        </w:rPr>
      </w:pPr>
      <w:r>
        <w:rPr>
          <w:rFonts w:hint="default" w:ascii="仿宋_GB2312" w:hAnsi="仿宋_GB2312" w:eastAsia="仿宋_GB2312" w:cs="仿宋_GB2312"/>
          <w:kern w:val="10"/>
          <w:sz w:val="32"/>
          <w:szCs w:val="32"/>
          <w:lang w:val="en-US" w:eastAsia="zh-CN"/>
        </w:rPr>
        <w:t>按照中共中央办公厅、国务院办公厅《党政主要负责人履行推进法治建设第一责任人职责规定》、中央全面依法治国委员会《关于党政主要负责人履行推进法治建设第一责任人职责情况列入年终述职内容工作的意见》、北京市委全面依法治市委员会《关于党政主要负责人履行推进法治建设第一责任人职责情况列入年终述职内容工作的实施方案》精神和《丰台区关于党政主要负责人履行推进法治建设第一责任人职责情况列入年终述职内容工作的实施办法》要求，结合街道实际，我街道制定了《中共丰台区委宛平街道工委党政主要负责人推进法治建设第一责任人职责清单》并进行了具体责任分解。制订了本街道法治政府建设年度工作要点，认真开展了对习近平法治思想的学习宣传和贯彻落实工作，单位主要领导切实履行法治建设第一责任人的职责，坚持将法治工作与重点工作任务共同部署，研究法治宣传计划，为相关工作提供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1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kern w:val="10"/>
          <w:sz w:val="32"/>
          <w:szCs w:val="32"/>
          <w:lang w:val="en-US" w:eastAsia="zh-CN"/>
        </w:rPr>
      </w:pPr>
      <w:r>
        <w:rPr>
          <w:rFonts w:hint="eastAsia" w:ascii="黑体" w:hAnsi="黑体" w:eastAsia="黑体" w:cs="黑体"/>
          <w:b w:val="0"/>
          <w:bCs w:val="0"/>
          <w:kern w:val="10"/>
          <w:sz w:val="32"/>
          <w:szCs w:val="32"/>
          <w:lang w:val="en-US" w:eastAsia="zh-CN"/>
        </w:rPr>
        <w:t>四、2026年法治政府建设工作初步安排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10"/>
          <w:sz w:val="32"/>
          <w:szCs w:val="32"/>
          <w:lang w:val="en-US" w:eastAsia="zh-CN"/>
        </w:rPr>
      </w:pPr>
      <w:r>
        <w:rPr>
          <w:rFonts w:hint="eastAsia" w:ascii="仿宋_GB2312" w:hAnsi="仿宋_GB2312" w:eastAsia="仿宋_GB2312" w:cs="仿宋_GB2312"/>
          <w:kern w:val="10"/>
          <w:sz w:val="32"/>
          <w:szCs w:val="32"/>
          <w:lang w:val="en-US" w:eastAsia="zh-CN"/>
        </w:rPr>
        <w:t>2026年，街道将深入贯彻落实学习贯彻习近平新时代中国特色社会主义思想主题教育精神，围绕区委区政府重点工作和地区全年任务紧抓落实。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10"/>
          <w:sz w:val="32"/>
          <w:szCs w:val="32"/>
          <w:lang w:val="en-US" w:eastAsia="zh-CN"/>
        </w:rPr>
      </w:pPr>
      <w:r>
        <w:rPr>
          <w:rFonts w:hint="default" w:ascii="仿宋_GB2312" w:hAnsi="仿宋_GB2312" w:eastAsia="仿宋_GB2312" w:cs="仿宋_GB2312"/>
          <w:kern w:val="10"/>
          <w:sz w:val="32"/>
          <w:szCs w:val="32"/>
          <w:lang w:val="en-US" w:eastAsia="zh-CN"/>
        </w:rPr>
        <w:t>一是</w:t>
      </w:r>
      <w:r>
        <w:rPr>
          <w:rFonts w:hint="eastAsia" w:ascii="仿宋_GB2312" w:hAnsi="仿宋_GB2312" w:eastAsia="仿宋_GB2312" w:cs="仿宋_GB2312"/>
          <w:kern w:val="10"/>
          <w:sz w:val="32"/>
          <w:szCs w:val="32"/>
          <w:lang w:val="en-US" w:eastAsia="zh-CN"/>
        </w:rPr>
        <w:t>聚焦</w:t>
      </w:r>
      <w:r>
        <w:rPr>
          <w:rFonts w:hint="default" w:ascii="仿宋_GB2312" w:hAnsi="仿宋_GB2312" w:eastAsia="仿宋_GB2312" w:cs="仿宋_GB2312"/>
          <w:kern w:val="10"/>
          <w:sz w:val="32"/>
          <w:szCs w:val="32"/>
          <w:lang w:val="en-US" w:eastAsia="zh-CN"/>
        </w:rPr>
        <w:t>“抓党建”</w:t>
      </w:r>
      <w:r>
        <w:rPr>
          <w:rFonts w:hint="eastAsia" w:ascii="仿宋_GB2312" w:hAnsi="仿宋_GB2312" w:eastAsia="仿宋_GB2312" w:cs="仿宋_GB2312"/>
          <w:kern w:val="10"/>
          <w:sz w:val="32"/>
          <w:szCs w:val="32"/>
          <w:lang w:val="en-US" w:eastAsia="zh-CN"/>
        </w:rPr>
        <w:t>,强化政治引领，筑牢组织根基</w:t>
      </w:r>
      <w:r>
        <w:rPr>
          <w:rFonts w:hint="default" w:ascii="仿宋_GB2312" w:hAnsi="仿宋_GB2312" w:eastAsia="仿宋_GB2312" w:cs="仿宋_GB2312"/>
          <w:kern w:val="10"/>
          <w:sz w:val="32"/>
          <w:szCs w:val="32"/>
          <w:lang w:val="en-US" w:eastAsia="zh-CN"/>
        </w:rPr>
        <w:t>。落实“一岗双责”，抓好关键少数，纵深推进全面从严治党。</w:t>
      </w:r>
      <w:r>
        <w:rPr>
          <w:rFonts w:hint="eastAsia" w:ascii="仿宋_GB2312" w:hAnsi="仿宋_GB2312" w:eastAsia="仿宋_GB2312" w:cs="仿宋_GB2312"/>
          <w:kern w:val="2"/>
          <w:sz w:val="32"/>
          <w:szCs w:val="32"/>
          <w:lang w:val="en-US" w:eastAsia="zh-CN" w:bidi="ar-SA"/>
        </w:rPr>
        <w:t>建强</w:t>
      </w:r>
      <w:r>
        <w:rPr>
          <w:rFonts w:hint="default" w:ascii="仿宋_GB2312" w:hAnsi="仿宋_GB2312" w:eastAsia="仿宋_GB2312" w:cs="仿宋_GB2312"/>
          <w:kern w:val="10"/>
          <w:sz w:val="32"/>
          <w:szCs w:val="32"/>
          <w:lang w:val="en-US" w:eastAsia="zh-CN"/>
        </w:rPr>
        <w:t>“长辛先锋 红色宛平”党建工作品牌，积极开展基层党组织服务群众项目，高标准完成社区（村）换届选举。深化拓展“学子回家 街校（院）联盟”合作效能，聚力构建产学研用协同创新体系。二是</w:t>
      </w:r>
      <w:r>
        <w:rPr>
          <w:rFonts w:hint="eastAsia" w:ascii="仿宋_GB2312" w:hAnsi="仿宋_GB2312" w:eastAsia="仿宋_GB2312" w:cs="仿宋_GB2312"/>
          <w:kern w:val="10"/>
          <w:sz w:val="32"/>
          <w:szCs w:val="32"/>
          <w:lang w:val="en-US" w:eastAsia="zh-CN"/>
        </w:rPr>
        <w:t>聚焦</w:t>
      </w:r>
      <w:r>
        <w:rPr>
          <w:rFonts w:hint="default" w:ascii="仿宋_GB2312" w:hAnsi="仿宋_GB2312" w:eastAsia="仿宋_GB2312" w:cs="仿宋_GB2312"/>
          <w:kern w:val="10"/>
          <w:sz w:val="32"/>
          <w:szCs w:val="32"/>
          <w:lang w:val="en-US" w:eastAsia="zh-CN"/>
        </w:rPr>
        <w:t>“保重大”</w:t>
      </w:r>
      <w:r>
        <w:rPr>
          <w:rFonts w:hint="eastAsia" w:ascii="仿宋_GB2312" w:hAnsi="仿宋_GB2312" w:eastAsia="仿宋_GB2312" w:cs="仿宋_GB2312"/>
          <w:kern w:val="10"/>
          <w:sz w:val="32"/>
          <w:szCs w:val="32"/>
          <w:lang w:val="en-US" w:eastAsia="zh-CN"/>
        </w:rPr>
        <w:t>，扛牢政治责任，守好安全底线</w:t>
      </w:r>
      <w:r>
        <w:rPr>
          <w:rFonts w:hint="default" w:ascii="仿宋_GB2312" w:hAnsi="仿宋_GB2312" w:eastAsia="仿宋_GB2312" w:cs="仿宋_GB2312"/>
          <w:kern w:val="10"/>
          <w:sz w:val="32"/>
          <w:szCs w:val="32"/>
          <w:lang w:val="en-US" w:eastAsia="zh-CN"/>
        </w:rPr>
        <w:t>。始终把高标准服务保障重大活动作为首要政治任务，持续提升宛平城及周边环境秩序，发挥辐射带动效应进一步形成精品街区。守牢安全生产和消防安全基准线，强化维稳消隐，织密汛期“安全网”，有效防范化解各类矛盾，不断巩固辖区安全形势。三是聚焦“强治理”，紧盯七有五性，深化精细赋能。充分发挥“书记一点半”调度模式和街-社（村）-物（产）联动体系作用，深化接诉即办“先锋办”机制，着力未诉先办，抓好物业管理、安全稳定、民生服务等重点工作。强化宗旨意识，不断提高城市精细化治理水平，持续提升群众的获得感、幸福感和安全感。四是聚焦“促发展”，激发内生动力，推动提质升级。牢牢抓住“两园一河”联动发展机遇，以桥、城、馆、园为重点，串联永定河文化历史资源和河畔公园群生态资源，盘活集体经济助力乡村振兴，持续打造“一河一极两带动”街区发展格局，积极推动辖区实现经济社会高质量发展，稳步实现“永定河畔 幸福宛平”首善街区建设目标。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1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1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kern w:val="10"/>
          <w:sz w:val="32"/>
          <w:szCs w:val="32"/>
          <w:lang w:val="en-US" w:eastAsia="zh-CN"/>
        </w:rPr>
      </w:pPr>
      <w:r>
        <w:rPr>
          <w:rFonts w:hint="eastAsia" w:ascii="仿宋_GB2312" w:hAnsi="仿宋_GB2312" w:eastAsia="仿宋_GB2312" w:cs="仿宋_GB2312"/>
          <w:kern w:val="10"/>
          <w:sz w:val="32"/>
          <w:szCs w:val="32"/>
          <w:lang w:val="en-US" w:eastAsia="zh-CN"/>
        </w:rPr>
        <w:t>宛平街道办事处</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仿宋_GB2312" w:hAnsi="仿宋_GB2312" w:eastAsia="仿宋_GB2312" w:cs="仿宋_GB2312"/>
          <w:kern w:val="10"/>
          <w:sz w:val="32"/>
          <w:szCs w:val="32"/>
          <w:lang w:val="en-US" w:eastAsia="zh-CN"/>
        </w:rPr>
      </w:pPr>
      <w:r>
        <w:rPr>
          <w:rFonts w:hint="eastAsia" w:ascii="仿宋_GB2312" w:hAnsi="仿宋_GB2312" w:eastAsia="仿宋_GB2312" w:cs="仿宋_GB2312"/>
          <w:kern w:val="10"/>
          <w:sz w:val="32"/>
          <w:szCs w:val="32"/>
          <w:lang w:val="en-US" w:eastAsia="zh-CN"/>
        </w:rPr>
        <w:t>2026年1月9日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F7346C"/>
    <w:rsid w:val="19A96EAB"/>
    <w:rsid w:val="1E0330B0"/>
    <w:rsid w:val="20692163"/>
    <w:rsid w:val="27C024C2"/>
    <w:rsid w:val="339B528C"/>
    <w:rsid w:val="394373F9"/>
    <w:rsid w:val="50D44A33"/>
    <w:rsid w:val="50EC78B5"/>
    <w:rsid w:val="6156115C"/>
    <w:rsid w:val="61C46183"/>
    <w:rsid w:val="63174E0B"/>
    <w:rsid w:val="6BA241E7"/>
    <w:rsid w:val="710F2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style01"/>
    <w:basedOn w:val="3"/>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2026-01-04T02:23:00Z</dcterms:created>
  <dc:creator>123</dc:creator>
  <cp:lastModifiedBy>123</cp:lastModifiedBy>
  <cp:lastPrinted>2026-01-09T07:49:55Z</cp:lastPrinted>
  <dcterms:modified xsi:type="dcterms:W3CDTF">2026-01-09T08:32:45Z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