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bidi w:val="0"/>
        <w:spacing w:line="960" w:lineRule="exact"/>
        <w:jc w:val="both"/>
        <w:rPr>
          <w:rFonts w:ascii="方正小标宋简体" w:hAnsi="华文中宋" w:eastAsia="方正小标宋简体"/>
          <w:color w:val="FF0000"/>
          <w:spacing w:val="60"/>
          <w:w w:val="80"/>
          <w:position w:val="6"/>
          <w:sz w:val="84"/>
          <w:szCs w:val="84"/>
        </w:rPr>
      </w:pPr>
      <w:bookmarkStart w:id="0" w:name="_GoBack"/>
      <w:bookmarkEnd w:id="0"/>
      <w:r>
        <w:rPr>
          <w:rFonts w:hint="eastAsia" w:ascii="方正小标宋简体" w:hAnsi="华文中宋" w:eastAsia="方正小标宋简体"/>
          <w:color w:val="FF0000"/>
          <w:spacing w:val="60"/>
          <w:w w:val="80"/>
          <w:position w:val="6"/>
          <w:sz w:val="84"/>
          <w:szCs w:val="84"/>
        </w:rPr>
        <w:t>北京市丰台区农业农村局</w:t>
      </w:r>
    </w:p>
    <w:p>
      <w:pPr>
        <w:pStyle w:val="3"/>
        <w:keepNext w:val="0"/>
        <w:keepLines w:val="0"/>
        <w:pageBreakBefore w:val="0"/>
        <w:widowControl w:val="0"/>
        <w:kinsoku/>
        <w:wordWrap/>
        <w:overflowPunct/>
        <w:topLinePunct w:val="0"/>
        <w:bidi w:val="0"/>
        <w:spacing w:line="560" w:lineRule="exact"/>
        <w:jc w:val="both"/>
        <w:rPr>
          <w:rFonts w:ascii="仿宋_GB2312" w:eastAsia="仿宋_GB2312"/>
          <w:kern w:val="0"/>
          <w:szCs w:val="32"/>
        </w:rPr>
      </w:pPr>
    </w:p>
    <w:p>
      <w:pPr>
        <w:pStyle w:val="3"/>
        <w:keepNext w:val="0"/>
        <w:keepLines w:val="0"/>
        <w:pageBreakBefore w:val="0"/>
        <w:widowControl w:val="0"/>
        <w:kinsoku/>
        <w:wordWrap/>
        <w:overflowPunct/>
        <w:topLinePunct w:val="0"/>
        <w:bidi w:val="0"/>
        <w:spacing w:line="560" w:lineRule="exact"/>
        <w:jc w:val="both"/>
        <w:rPr>
          <w:rFonts w:ascii="仿宋_GB2312" w:eastAsia="仿宋_GB2312"/>
          <w:kern w:val="0"/>
          <w:szCs w:val="32"/>
        </w:rPr>
      </w:pPr>
      <w:r>
        <w:rPr>
          <w:rFonts w:hint="eastAsia" w:ascii="仿宋_GB2312" w:hAnsi="华文中宋" w:eastAsia="仿宋_GB2312"/>
          <w:kern w:val="0"/>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ge">
                  <wp:posOffset>1728470</wp:posOffset>
                </wp:positionV>
                <wp:extent cx="6120130" cy="0"/>
                <wp:effectExtent l="0" t="0" r="0" b="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7780">
                          <a:solidFill>
                            <a:srgbClr val="FF0000"/>
                          </a:solidFill>
                          <a:round/>
                        </a:ln>
                      </wps:spPr>
                      <wps:bodyPr/>
                    </wps:wsp>
                  </a:graphicData>
                </a:graphic>
              </wp:anchor>
            </w:drawing>
          </mc:Choice>
          <mc:Fallback>
            <w:pict>
              <v:line id="Line 6" o:spid="_x0000_s1026" o:spt="20" style="position:absolute;left:0pt;margin-top:136.1pt;height:0pt;width:481.9pt;mso-position-horizontal:center;mso-position-vertical-relative:page;z-index:251658240;mso-width-relative:page;mso-height-relative:page;" filled="f" stroked="t" coordsize="21600,21600" o:gfxdata="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EFOCdcA&#10;AAAIAQAADwAAAAAAAAABACAAAAAiAAAAZHJzL2Rvd25yZXYueG1sUEsBAhQAFAAAAAgAh07iQJ6L&#10;C72uAQAAUgMAAA4AAAAAAAAAAQAgAAAAJgEAAGRycy9lMm9Eb2MueG1sUEsFBgAAAAAGAAYAWQEA&#10;AEYFAAAAAA==&#10;">
                <v:fill on="f" focussize="0,0"/>
                <v:stroke weight="1.4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仿宋_GB2312" w:hAnsi="Calibri" w:eastAsia="仿宋_GB2312" w:cs="仿宋_GB2312"/>
          <w:b w:val="0"/>
          <w:bCs w:val="0"/>
          <w:kern w:val="0"/>
          <w:sz w:val="32"/>
          <w:szCs w:val="32"/>
          <w:lang w:val="en-US" w:eastAsia="zh-CN" w:bidi="ar-SA"/>
        </w:rPr>
      </w:pPr>
      <w:r>
        <w:rPr>
          <w:rFonts w:hint="eastAsia" w:ascii="方正小标宋简体" w:hAnsi="宋体" w:eastAsia="方正小标宋简体" w:cs="宋体"/>
          <w:kern w:val="0"/>
          <w:sz w:val="44"/>
          <w:szCs w:val="44"/>
          <w:lang w:val="en-US" w:eastAsia="zh-CN"/>
        </w:rPr>
        <w:t>丰台区农业农村局2022</w:t>
      </w:r>
      <w:r>
        <w:rPr>
          <w:rFonts w:hint="eastAsia" w:ascii="方正小标宋简体" w:hAnsi="Calibri" w:eastAsia="方正小标宋简体"/>
          <w:kern w:val="2"/>
          <w:sz w:val="44"/>
          <w:szCs w:val="44"/>
          <w:lang w:eastAsia="zh-CN"/>
        </w:rPr>
        <w:t>年法治政府建设</w:t>
      </w:r>
      <w:r>
        <w:rPr>
          <w:rFonts w:hint="eastAsia" w:ascii="方正小标宋简体" w:eastAsia="方正小标宋简体"/>
          <w:kern w:val="2"/>
          <w:sz w:val="44"/>
          <w:szCs w:val="44"/>
          <w:lang w:eastAsia="zh-CN"/>
        </w:rPr>
        <w:t>年度情况</w:t>
      </w:r>
      <w:r>
        <w:rPr>
          <w:rFonts w:hint="eastAsia" w:ascii="方正小标宋简体" w:hAnsi="Calibri" w:eastAsia="方正小标宋简体"/>
          <w:kern w:val="2"/>
          <w:sz w:val="44"/>
          <w:szCs w:val="44"/>
          <w:lang w:eastAsia="zh-CN"/>
        </w:rPr>
        <w:t>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Calibri" w:eastAsia="仿宋_GB2312" w:cs="仿宋_GB2312"/>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Calibri" w:eastAsia="仿宋_GB2312" w:cs="仿宋_GB2312"/>
          <w:b w:val="0"/>
          <w:bCs w:val="0"/>
          <w:kern w:val="0"/>
          <w:sz w:val="32"/>
          <w:szCs w:val="32"/>
          <w:lang w:val="en-US" w:eastAsia="zh-CN" w:bidi="ar-SA"/>
        </w:rPr>
      </w:pPr>
      <w:r>
        <w:rPr>
          <w:rFonts w:hint="eastAsia" w:ascii="仿宋_GB2312" w:hAnsi="Calibri" w:eastAsia="仿宋_GB2312" w:cs="仿宋_GB2312"/>
          <w:b w:val="0"/>
          <w:bCs w:val="0"/>
          <w:kern w:val="0"/>
          <w:sz w:val="32"/>
          <w:szCs w:val="32"/>
          <w:lang w:val="en-US" w:eastAsia="zh-CN" w:bidi="ar-SA"/>
        </w:rPr>
        <w:t>202</w:t>
      </w:r>
      <w:r>
        <w:rPr>
          <w:rFonts w:hint="eastAsia" w:ascii="仿宋_GB2312" w:eastAsia="仿宋_GB2312" w:cs="仿宋_GB2312"/>
          <w:b w:val="0"/>
          <w:bCs w:val="0"/>
          <w:kern w:val="0"/>
          <w:sz w:val="32"/>
          <w:szCs w:val="32"/>
          <w:lang w:val="en-US" w:eastAsia="zh-CN" w:bidi="ar-SA"/>
        </w:rPr>
        <w:t>2</w:t>
      </w:r>
      <w:r>
        <w:rPr>
          <w:rFonts w:hint="eastAsia" w:ascii="仿宋_GB2312" w:hAnsi="Calibri" w:eastAsia="仿宋_GB2312" w:cs="仿宋_GB2312"/>
          <w:b w:val="0"/>
          <w:bCs w:val="0"/>
          <w:kern w:val="0"/>
          <w:sz w:val="32"/>
          <w:szCs w:val="32"/>
          <w:lang w:val="en-US" w:eastAsia="zh-CN" w:bidi="ar-SA"/>
        </w:rPr>
        <w:t>年我局深入贯彻落实区委、区政府、市农业农村局有关行政执法相关工作精神，以保障农业生产安全、农产品质量安全深化放管服、优化营商环境为目标，认真履行农业行政执法工作职责，全局行政执法工作稳步开展，现将我局202</w:t>
      </w:r>
      <w:r>
        <w:rPr>
          <w:rFonts w:hint="eastAsia" w:ascii="仿宋_GB2312" w:eastAsia="仿宋_GB2312" w:cs="仿宋_GB2312"/>
          <w:b w:val="0"/>
          <w:bCs w:val="0"/>
          <w:kern w:val="0"/>
          <w:sz w:val="32"/>
          <w:szCs w:val="32"/>
          <w:lang w:val="en-US" w:eastAsia="zh-CN" w:bidi="ar-SA"/>
        </w:rPr>
        <w:t>2</w:t>
      </w:r>
      <w:r>
        <w:rPr>
          <w:rFonts w:hint="eastAsia" w:ascii="仿宋_GB2312" w:hAnsi="Calibri" w:eastAsia="仿宋_GB2312" w:cs="仿宋_GB2312"/>
          <w:b w:val="0"/>
          <w:bCs w:val="0"/>
          <w:kern w:val="0"/>
          <w:sz w:val="32"/>
          <w:szCs w:val="32"/>
          <w:lang w:val="en-US" w:eastAsia="zh-CN" w:bidi="ar-SA"/>
        </w:rPr>
        <w:t>年法治政府建设工作情况报告如下：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w:t>
      </w:r>
      <w:r>
        <w:rPr>
          <w:rFonts w:hint="default" w:ascii="黑体" w:hAnsi="黑体" w:eastAsia="黑体" w:cs="Calibri"/>
          <w:kern w:val="2"/>
          <w:sz w:val="32"/>
          <w:szCs w:val="32"/>
          <w:lang w:val="en-US" w:eastAsia="zh-CN"/>
        </w:rPr>
        <w:t>2</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（一）加强农业领域依法行政，强化行业监管</w:t>
      </w:r>
    </w:p>
    <w:p>
      <w:pPr>
        <w:pStyle w:val="3"/>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default" w:ascii="仿宋_GB2312" w:hAnsi="Calibri" w:eastAsia="仿宋_GB2312" w:cs="仿宋_GB2312"/>
          <w:b w:val="0"/>
          <w:bCs w:val="0"/>
          <w:kern w:val="0"/>
          <w:sz w:val="32"/>
          <w:szCs w:val="32"/>
          <w:lang w:val="en-US" w:eastAsia="zh-CN" w:bidi="ar-SA"/>
        </w:rPr>
      </w:pPr>
      <w:r>
        <w:rPr>
          <w:rFonts w:hint="eastAsia" w:ascii="方正楷体_GBK" w:hAnsi="方正楷体_GBK" w:eastAsia="方正楷体_GBK" w:cs="方正楷体_GBK"/>
          <w:sz w:val="32"/>
          <w:szCs w:val="36"/>
          <w:lang w:val="en-US" w:eastAsia="zh-CN"/>
        </w:rPr>
        <w:t xml:space="preserve">    </w:t>
      </w:r>
      <w:r>
        <w:rPr>
          <w:rFonts w:hint="eastAsia" w:ascii="仿宋_GB2312" w:hAnsi="Calibri" w:eastAsia="仿宋_GB2312" w:cs="仿宋_GB2312"/>
          <w:b w:val="0"/>
          <w:bCs w:val="0"/>
          <w:kern w:val="0"/>
          <w:sz w:val="32"/>
          <w:szCs w:val="32"/>
          <w:lang w:val="en-US" w:eastAsia="zh-CN" w:bidi="ar-SA"/>
        </w:rPr>
        <w:t>丰台区农业农村局坚持“全面监管”与“重点攻坚”并举，确立了“监管不扰民”、“履职不随意”、“裁量不失度”的工作目标，通过深化落实行政检查单制度和联合检查制度、全面推行行政执法公示制度、规范行政处罚自由裁量行为、推进行政执法科技应用等方面工作举措不断增强行政执法的规范性和透明度。2022年以来，区执法大队累计开展执法检查18354次，人均检查量382件、人均办案量3.3件。累计作出行政处罚158件，罚没款295381元。其中一般程序案件69件，简易程序案件89件，无行政复议和行政诉讼情况产生。</w:t>
      </w:r>
    </w:p>
    <w:p>
      <w:pPr>
        <w:keepNext w:val="0"/>
        <w:keepLines w:val="0"/>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（二）扎实推进三项制度建设，加强信息公示</w:t>
      </w:r>
    </w:p>
    <w:p>
      <w:pPr>
        <w:pStyle w:val="3"/>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ascii="仿宋_GB2312" w:hAnsi="Calibri" w:eastAsia="仿宋_GB2312" w:cs="仿宋_GB2312"/>
          <w:b w:val="0"/>
          <w:bCs w:val="0"/>
          <w:kern w:val="0"/>
          <w:sz w:val="32"/>
          <w:szCs w:val="32"/>
          <w:lang w:val="en-US" w:eastAsia="zh-CN" w:bidi="ar-SA"/>
        </w:rPr>
      </w:pPr>
      <w:r>
        <w:rPr>
          <w:rFonts w:hint="eastAsia" w:ascii="仿宋_GB2312" w:hAnsi="Calibri" w:eastAsia="仿宋_GB2312" w:cs="仿宋_GB2312"/>
          <w:b w:val="0"/>
          <w:bCs w:val="0"/>
          <w:kern w:val="0"/>
          <w:sz w:val="32"/>
          <w:szCs w:val="32"/>
          <w:lang w:val="en-US" w:eastAsia="zh-CN" w:bidi="ar-SA"/>
        </w:rPr>
        <w:t>为确保“三项制度”工作落实到位，我局参照区司法局关于三项制度公示的工作要求，结合工作实际制定了《丰台区农业农村局关于贯彻落实&lt;北京市行政执法公示办法&gt;&lt;北京市行政执法全过程记录办法&gt;&lt;北京市重大行政执法决定法制审核办法&gt;的实施方案》，确保依法依规开展行政执法工作，提高行政执法透明度。我局按照司法局要求，及时将机构职责、基本信息、双公示抽查事项、行政处罚自由裁量基准、执法人员信息、年度执法检查计划等内容向社会公开，7个工作日之内公示行政许可、行政处罚结果，动态更新政务服务事项变化情况及办事指南，实时维护执法公示专栏，做到“主动、全面、及时、准确”。我局持续加强执法全过程记录，执法人员进行监督检查、调查取证、采取强制措施等执法活动时，主动出示执法证件，确保执法检查记录全面、过程记录完整。为进一步规范执法单位农业行政执法基本文书制作，我局成立了法制审核小组，制定了《丰台区农业农村局重大执法决定法制审核目录》，对本部门重大执法决定进行法制审核，认真查找问题，积极开展案卷评查工作，确保所有法制审核意见均纳入执法案卷且按规定填写审核意见，全面提高行政执法效能，确保“三项制度”公示工作落到实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（三）强化责任担当 以更加务实有效举措推动普法工作高质量发展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1.全面落实并制定</w:t>
      </w:r>
      <w:r>
        <w:rPr>
          <w:rFonts w:hint="eastAsia" w:ascii="仿宋_GB2312" w:hAnsi="仿宋_GB2312" w:eastAsia="仿宋_GB2312" w:cs="仿宋_GB2312"/>
          <w:b/>
          <w:bCs/>
          <w:color w:val="auto"/>
          <w:sz w:val="32"/>
          <w:szCs w:val="32"/>
        </w:rPr>
        <w:t>普法依法治理工作要点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sz w:val="32"/>
          <w:szCs w:val="32"/>
          <w:lang w:val="en-US" w:eastAsia="zh-CN"/>
        </w:rPr>
        <w:t>丰台区委农工委丰台区农业农村局深入贯彻习近平法治思想，全面落实市、区法治建设的决策部署，将习近平总书记《论坚持全面依法治国》、《习近平法治思想学习纲要》作为全体党员干部的必修读物，并列为理论学习中心组学习和党支部学习的重要内容。</w:t>
      </w:r>
      <w:r>
        <w:rPr>
          <w:rFonts w:hint="eastAsia" w:ascii="仿宋_GB2312" w:hAnsi="仿宋_GB2312" w:eastAsia="仿宋_GB2312" w:cs="仿宋_GB2312"/>
          <w:b w:val="0"/>
          <w:color w:val="000000"/>
          <w:sz w:val="32"/>
          <w:szCs w:val="32"/>
        </w:rPr>
        <w:t>将习近平法治思想作为普法宣传的首要任务，纳入本</w:t>
      </w:r>
      <w:r>
        <w:rPr>
          <w:rFonts w:hint="eastAsia" w:ascii="仿宋_GB2312" w:hAnsi="仿宋_GB2312" w:eastAsia="仿宋_GB2312" w:cs="仿宋_GB2312"/>
          <w:b w:val="0"/>
          <w:color w:val="000000"/>
          <w:sz w:val="32"/>
          <w:szCs w:val="32"/>
          <w:lang w:eastAsia="zh-CN"/>
        </w:rPr>
        <w:t>局</w:t>
      </w:r>
      <w:r>
        <w:rPr>
          <w:rFonts w:hint="eastAsia" w:ascii="仿宋_GB2312" w:hAnsi="仿宋_GB2312" w:eastAsia="仿宋_GB2312" w:cs="仿宋_GB2312"/>
          <w:b w:val="0"/>
          <w:color w:val="000000"/>
          <w:sz w:val="32"/>
          <w:szCs w:val="32"/>
        </w:rPr>
        <w:t>“八五”普法规划并推动落实</w:t>
      </w:r>
      <w:r>
        <w:rPr>
          <w:rFonts w:hint="eastAsia" w:ascii="仿宋_GB2312" w:hAnsi="仿宋_GB2312" w:eastAsia="仿宋_GB2312" w:cs="仿宋_GB2312"/>
          <w:b w:val="0"/>
          <w:color w:val="000000"/>
          <w:sz w:val="32"/>
          <w:szCs w:val="32"/>
          <w:lang w:eastAsia="zh-CN"/>
        </w:rPr>
        <w:t>。认真落实</w:t>
      </w:r>
      <w:r>
        <w:rPr>
          <w:rFonts w:hint="eastAsia" w:ascii="仿宋_GB2312" w:hAnsi="仿宋_GB2312" w:eastAsia="仿宋_GB2312" w:cs="仿宋_GB2312"/>
          <w:sz w:val="32"/>
          <w:szCs w:val="32"/>
          <w:lang w:val="en-US" w:eastAsia="zh-CN" w:bidi="ar-SA"/>
        </w:rPr>
        <w:t>区</w:t>
      </w:r>
      <w:r>
        <w:rPr>
          <w:rFonts w:hint="eastAsia" w:ascii="仿宋_GB2312" w:hAnsi="仿宋_GB2312" w:eastAsia="仿宋_GB2312" w:cs="仿宋_GB2312"/>
          <w:color w:val="auto"/>
          <w:sz w:val="32"/>
          <w:szCs w:val="32"/>
        </w:rPr>
        <w:t>守法普法协调</w:t>
      </w:r>
      <w:r>
        <w:rPr>
          <w:rFonts w:hint="eastAsia" w:ascii="仿宋_GB2312" w:hAnsi="仿宋_GB2312" w:eastAsia="仿宋_GB2312" w:cs="仿宋_GB2312"/>
          <w:color w:val="auto"/>
          <w:sz w:val="32"/>
          <w:szCs w:val="32"/>
          <w:lang w:val="en-US" w:eastAsia="zh-CN"/>
        </w:rPr>
        <w:t>小组下发的《</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丰台区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五”普法年</w:t>
      </w:r>
      <w:r>
        <w:rPr>
          <w:rFonts w:hint="eastAsia" w:ascii="仿宋_GB2312" w:hAnsi="仿宋_GB2312" w:eastAsia="仿宋_GB2312" w:cs="仿宋_GB2312"/>
          <w:b w:val="0"/>
          <w:color w:val="000000"/>
          <w:sz w:val="32"/>
          <w:szCs w:val="32"/>
        </w:rPr>
        <w:t>度考核指标</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年丰台区农业农村局普法依法治理工作要点》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b w:val="0"/>
          <w:strike w:val="0"/>
          <w:dstrike w:val="0"/>
          <w:color w:val="000000"/>
          <w:sz w:val="32"/>
          <w:szCs w:val="32"/>
          <w:lang w:val="en-US"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加强法治乡村建设</w:t>
      </w:r>
      <w:r>
        <w:rPr>
          <w:rFonts w:hint="eastAsia" w:ascii="仿宋_GB2312" w:hAnsi="仿宋_GB2312" w:eastAsia="仿宋_GB2312" w:cs="仿宋_GB2312"/>
          <w:b/>
          <w:bCs/>
          <w:color w:val="000000"/>
          <w:sz w:val="32"/>
          <w:szCs w:val="32"/>
          <w:highlight w:val="none"/>
          <w:lang w:val="en-US" w:eastAsia="zh-CN"/>
        </w:rPr>
        <w:t xml:space="preserve"> 助力全面推进乡村振兴。</w:t>
      </w:r>
      <w:r>
        <w:rPr>
          <w:rFonts w:hint="eastAsia" w:ascii="仿宋_GB2312" w:hAnsi="仿宋_GB2312" w:eastAsia="仿宋_GB2312" w:cs="仿宋_GB2312"/>
          <w:b/>
          <w:bCs/>
          <w:sz w:val="32"/>
          <w:szCs w:val="32"/>
          <w:lang w:val="en-US" w:eastAsia="zh-CN"/>
        </w:rPr>
        <w:t>一是圆满完成</w:t>
      </w:r>
      <w:r>
        <w:rPr>
          <w:rFonts w:hint="eastAsia" w:ascii="仿宋_GB2312" w:hAnsi="仿宋_GB2312" w:eastAsia="仿宋_GB2312" w:cs="仿宋_GB2312"/>
          <w:b/>
          <w:bCs/>
          <w:color w:val="000000"/>
          <w:sz w:val="32"/>
          <w:szCs w:val="32"/>
          <w:lang w:eastAsia="zh-CN"/>
        </w:rPr>
        <w:t>培育农村学法用法示范户工作。</w:t>
      </w:r>
      <w:r>
        <w:rPr>
          <w:rFonts w:hint="eastAsia" w:ascii="仿宋_GB2312" w:hAnsi="仿宋_GB2312" w:eastAsia="仿宋_GB2312" w:cs="仿宋_GB2312"/>
          <w:b w:val="0"/>
          <w:color w:val="000000"/>
          <w:sz w:val="32"/>
          <w:szCs w:val="32"/>
          <w:highlight w:val="none"/>
          <w:lang w:eastAsia="zh-CN"/>
        </w:rPr>
        <w:t>我局和区司法局在</w:t>
      </w:r>
      <w:r>
        <w:rPr>
          <w:rFonts w:hint="eastAsia" w:ascii="仿宋_GB2312" w:hAnsi="仿宋_GB2312" w:eastAsia="仿宋_GB2312" w:cs="仿宋_GB2312"/>
          <w:b w:val="0"/>
          <w:color w:val="000000"/>
          <w:sz w:val="32"/>
          <w:szCs w:val="32"/>
          <w:highlight w:val="none"/>
          <w:lang w:val="en-US" w:eastAsia="zh-CN"/>
        </w:rPr>
        <w:t>6月份</w:t>
      </w:r>
      <w:r>
        <w:rPr>
          <w:rFonts w:hint="eastAsia" w:ascii="仿宋_GB2312" w:hAnsi="仿宋_GB2312" w:eastAsia="仿宋_GB2312" w:cs="仿宋_GB2312"/>
          <w:b w:val="0"/>
          <w:color w:val="000000"/>
          <w:sz w:val="32"/>
          <w:szCs w:val="32"/>
          <w:highlight w:val="none"/>
          <w:lang w:eastAsia="zh-CN"/>
        </w:rPr>
        <w:t>联合印发了《丰台区培育农村学法用法示范户实施方案》，我局</w:t>
      </w:r>
      <w:r>
        <w:rPr>
          <w:rFonts w:hint="eastAsia" w:ascii="仿宋_GB2312" w:hAnsi="仿宋_GB2312" w:eastAsia="仿宋_GB2312" w:cs="仿宋_GB2312"/>
          <w:sz w:val="32"/>
          <w:szCs w:val="32"/>
          <w:lang w:eastAsia="zh-CN"/>
        </w:rPr>
        <w:t>积极组织开展学法用法示范户认定工作，</w:t>
      </w:r>
      <w:r>
        <w:rPr>
          <w:rFonts w:hint="eastAsia" w:ascii="仿宋_GB2312" w:hAnsi="仿宋_GB2312" w:eastAsia="仿宋_GB2312" w:cs="仿宋_GB2312"/>
          <w:color w:val="000000"/>
          <w:sz w:val="32"/>
          <w:szCs w:val="32"/>
        </w:rPr>
        <w:t>目前已有</w:t>
      </w:r>
      <w:r>
        <w:rPr>
          <w:rFonts w:ascii="仿宋_GB2312" w:hAnsi="仿宋_GB2312" w:eastAsia="仿宋_GB2312" w:cs="仿宋_GB2312"/>
          <w:color w:val="000000"/>
          <w:sz w:val="32"/>
          <w:szCs w:val="32"/>
        </w:rPr>
        <w:t>4</w:t>
      </w:r>
      <w:r>
        <w:rPr>
          <w:rFonts w:hint="eastAsia" w:cs="仿宋_GB2312"/>
          <w:color w:val="000000"/>
          <w:sz w:val="32"/>
          <w:szCs w:val="32"/>
          <w:lang w:val="en-US" w:eastAsia="zh-CN"/>
        </w:rPr>
        <w:t>1</w:t>
      </w:r>
      <w:r>
        <w:rPr>
          <w:rFonts w:hint="eastAsia" w:ascii="仿宋_GB2312" w:hAnsi="仿宋_GB2312" w:eastAsia="仿宋_GB2312" w:cs="仿宋_GB2312"/>
          <w:color w:val="000000"/>
          <w:sz w:val="32"/>
          <w:szCs w:val="32"/>
        </w:rPr>
        <w:t>个村，共5</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户学法用法示范户，超额完成</w:t>
      </w:r>
      <w:r>
        <w:rPr>
          <w:rFonts w:hint="eastAsia" w:ascii="仿宋_GB2312" w:hAnsi="仿宋_GB2312" w:eastAsia="仿宋_GB2312" w:cs="仿宋_GB2312"/>
          <w:color w:val="000000"/>
          <w:sz w:val="32"/>
          <w:szCs w:val="32"/>
          <w:lang w:eastAsia="zh-CN"/>
        </w:rPr>
        <w:t>今</w:t>
      </w:r>
      <w:r>
        <w:rPr>
          <w:rFonts w:hint="eastAsia" w:ascii="仿宋_GB2312" w:hAnsi="仿宋_GB2312" w:eastAsia="仿宋_GB2312" w:cs="仿宋_GB2312"/>
          <w:color w:val="000000"/>
          <w:sz w:val="32"/>
          <w:szCs w:val="32"/>
        </w:rPr>
        <w:t>年任务</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eastAsia="zh-CN"/>
        </w:rPr>
        <w:t>二是多举措</w:t>
      </w:r>
      <w:r>
        <w:rPr>
          <w:rFonts w:hint="eastAsia" w:ascii="仿宋_GB2312" w:hAnsi="仿宋_GB2312" w:eastAsia="仿宋_GB2312" w:cs="仿宋_GB2312"/>
          <w:b/>
          <w:bCs/>
          <w:strike w:val="0"/>
          <w:dstrike w:val="0"/>
          <w:color w:val="000000"/>
          <w:sz w:val="32"/>
          <w:szCs w:val="32"/>
          <w:lang w:val="en-US" w:eastAsia="zh-CN"/>
        </w:rPr>
        <w:t>开展普法释法活动。</w:t>
      </w:r>
      <w:r>
        <w:rPr>
          <w:rFonts w:hint="eastAsia" w:cs="仿宋_GB2312"/>
          <w:b w:val="0"/>
          <w:bCs w:val="0"/>
          <w:strike w:val="0"/>
          <w:dstrike w:val="0"/>
          <w:color w:val="000000"/>
          <w:sz w:val="32"/>
          <w:szCs w:val="32"/>
          <w:lang w:val="en-US" w:eastAsia="zh-CN"/>
        </w:rPr>
        <w:t>我局</w:t>
      </w:r>
      <w:r>
        <w:rPr>
          <w:rFonts w:hint="eastAsia" w:ascii="仿宋_GB2312" w:hAnsi="仿宋_GB2312" w:eastAsia="仿宋_GB2312" w:cs="仿宋_GB2312"/>
          <w:sz w:val="32"/>
          <w:szCs w:val="32"/>
        </w:rPr>
        <w:t>以“3.15消费者维权周”、</w:t>
      </w:r>
      <w:r>
        <w:rPr>
          <w:rFonts w:hint="eastAsia" w:ascii="仿宋_GB2312" w:hAnsi="仿宋_GB2312" w:eastAsia="仿宋_GB2312" w:cs="仿宋_GB2312"/>
          <w:sz w:val="32"/>
          <w:szCs w:val="32"/>
          <w:lang w:eastAsia="zh-CN"/>
        </w:rPr>
        <w:t>“12·4”国家宪法日</w:t>
      </w:r>
      <w:r>
        <w:rPr>
          <w:rFonts w:hint="eastAsia" w:ascii="仿宋_GB2312" w:hAnsi="仿宋_GB2312" w:eastAsia="仿宋_GB2312" w:cs="仿宋_GB2312"/>
          <w:sz w:val="32"/>
          <w:szCs w:val="32"/>
        </w:rPr>
        <w:t>等为契机开展了“3.15联合执法宣传”“12.4主题宣传活动”</w:t>
      </w:r>
      <w:r>
        <w:rPr>
          <w:rFonts w:hint="eastAsia" w:ascii="仿宋_GB2312" w:hAnsi="仿宋_GB2312" w:eastAsia="仿宋_GB2312" w:cs="仿宋_GB2312"/>
          <w:sz w:val="32"/>
          <w:szCs w:val="32"/>
          <w:lang w:eastAsia="zh-CN"/>
        </w:rPr>
        <w:t>、丰台区农村学法用法示范户培训活动、</w:t>
      </w:r>
      <w:r>
        <w:rPr>
          <w:rFonts w:hint="eastAsia" w:ascii="仿宋_GB2312" w:hAnsi="仿宋_GB2312" w:eastAsia="仿宋_GB2312" w:cs="仿宋_GB2312"/>
          <w:sz w:val="32"/>
          <w:szCs w:val="32"/>
        </w:rPr>
        <w:t>渔业安全生产宣传</w:t>
      </w:r>
      <w:r>
        <w:rPr>
          <w:rFonts w:hint="eastAsia" w:ascii="仿宋_GB2312" w:hAnsi="仿宋_GB2312" w:eastAsia="仿宋_GB2312" w:cs="仿宋_GB2312"/>
          <w:sz w:val="32"/>
          <w:szCs w:val="32"/>
          <w:lang w:eastAsia="zh-CN"/>
        </w:rPr>
        <w:t>、</w:t>
      </w:r>
      <w:r>
        <w:rPr>
          <w:rFonts w:hint="eastAsia" w:ascii="仿宋_GB2312" w:hAnsi="楷体" w:eastAsia="仿宋_GB2312"/>
          <w:b w:val="0"/>
          <w:bCs/>
          <w:strike w:val="0"/>
          <w:dstrike w:val="0"/>
          <w:sz w:val="32"/>
          <w:lang w:val="en-US" w:eastAsia="zh-CN"/>
        </w:rPr>
        <w:t>农资打假、放心农资进乡村等系列普法宣传及卫生杀虫剂、兽药经营等专项宣传活动。</w:t>
      </w:r>
      <w:r>
        <w:rPr>
          <w:rFonts w:hint="eastAsia" w:ascii="仿宋_GB2312" w:hAnsi="楷体" w:eastAsia="仿宋_GB2312"/>
          <w:b/>
          <w:bCs w:val="0"/>
          <w:strike w:val="0"/>
          <w:dstrike w:val="0"/>
          <w:sz w:val="32"/>
          <w:lang w:val="en-US" w:eastAsia="zh-CN"/>
        </w:rPr>
        <w:t>三是</w:t>
      </w:r>
      <w:r>
        <w:rPr>
          <w:rFonts w:hint="eastAsia" w:cs="仿宋_GB2312"/>
          <w:b/>
          <w:bCs/>
          <w:kern w:val="0"/>
          <w:sz w:val="32"/>
          <w:szCs w:val="32"/>
          <w:lang w:val="en-US" w:eastAsia="zh-CN" w:bidi="ar-SA"/>
        </w:rPr>
        <w:t>开展“法律进乡村”活动。</w:t>
      </w:r>
      <w:r>
        <w:rPr>
          <w:rFonts w:hint="eastAsia" w:ascii="仿宋_GB2312" w:hAnsi="楷体" w:eastAsia="仿宋_GB2312" w:cstheme="minorBidi"/>
          <w:bCs/>
          <w:i w:val="0"/>
          <w:caps w:val="0"/>
          <w:strike w:val="0"/>
          <w:dstrike w:val="0"/>
          <w:spacing w:val="0"/>
          <w:sz w:val="32"/>
          <w:szCs w:val="22"/>
          <w:shd w:val="clear"/>
        </w:rPr>
        <w:t>在日常检查过程中</w:t>
      </w:r>
      <w:r>
        <w:rPr>
          <w:rFonts w:hint="eastAsia" w:ascii="仿宋_GB2312" w:hAnsi="楷体" w:eastAsia="仿宋_GB2312" w:cstheme="minorBidi"/>
          <w:bCs/>
          <w:i w:val="0"/>
          <w:caps w:val="0"/>
          <w:strike w:val="0"/>
          <w:dstrike w:val="0"/>
          <w:spacing w:val="0"/>
          <w:sz w:val="32"/>
          <w:szCs w:val="22"/>
          <w:shd w:val="clear"/>
          <w:lang w:eastAsia="zh-CN"/>
        </w:rPr>
        <w:t>进行</w:t>
      </w:r>
      <w:r>
        <w:rPr>
          <w:rFonts w:hint="eastAsia" w:ascii="仿宋_GB2312" w:hAnsi="楷体" w:eastAsia="仿宋_GB2312" w:cstheme="minorBidi"/>
          <w:bCs/>
          <w:i w:val="0"/>
          <w:caps w:val="0"/>
          <w:strike w:val="0"/>
          <w:dstrike w:val="0"/>
          <w:spacing w:val="0"/>
          <w:sz w:val="32"/>
          <w:szCs w:val="22"/>
          <w:shd w:val="clear"/>
        </w:rPr>
        <w:t>现场普法</w:t>
      </w:r>
      <w:r>
        <w:rPr>
          <w:rFonts w:hint="eastAsia" w:ascii="仿宋_GB2312" w:hAnsi="楷体" w:eastAsia="仿宋_GB2312" w:cstheme="minorBidi"/>
          <w:bCs/>
          <w:i w:val="0"/>
          <w:caps w:val="0"/>
          <w:strike w:val="0"/>
          <w:dstrike w:val="0"/>
          <w:spacing w:val="0"/>
          <w:sz w:val="32"/>
          <w:szCs w:val="22"/>
          <w:shd w:val="clear"/>
          <w:lang w:eastAsia="zh-CN"/>
        </w:rPr>
        <w:t>，</w:t>
      </w:r>
      <w:r>
        <w:rPr>
          <w:rFonts w:hint="eastAsia" w:ascii="仿宋_GB2312" w:hAnsi="仿宋_GB2312" w:eastAsia="仿宋_GB2312" w:cs="仿宋_GB2312"/>
          <w:b w:val="0"/>
          <w:strike w:val="0"/>
          <w:dstrike w:val="0"/>
          <w:kern w:val="0"/>
          <w:sz w:val="32"/>
          <w:szCs w:val="32"/>
          <w:lang w:val="en-US" w:eastAsia="zh-CN" w:bidi="ar-SA"/>
        </w:rPr>
        <w:t>不断推动普法宣传工作走深走实，不断</w:t>
      </w:r>
      <w:r>
        <w:rPr>
          <w:rFonts w:hint="eastAsia" w:ascii="仿宋_GB2312" w:hAnsi="仿宋_GB2312" w:eastAsia="仿宋_GB2312" w:cs="仿宋_GB2312"/>
          <w:b w:val="0"/>
          <w:strike w:val="0"/>
          <w:dstrike w:val="0"/>
          <w:color w:val="000000"/>
          <w:sz w:val="32"/>
          <w:szCs w:val="32"/>
          <w:lang w:val="en-US" w:eastAsia="zh-CN"/>
        </w:rPr>
        <w:t>增强乡村干部和城乡居民群众的法治观念，为实施乡村振兴转略营造良好的法治环境。</w:t>
      </w:r>
    </w:p>
    <w:p>
      <w:pPr>
        <w:pStyle w:val="2"/>
        <w:keepNext w:val="0"/>
        <w:keepLines w:val="0"/>
        <w:pageBreakBefore w:val="0"/>
        <w:widowControl w:val="0"/>
        <w:kinsoku/>
        <w:wordWrap/>
        <w:overflowPunct/>
        <w:topLinePunct w:val="0"/>
        <w:autoSpaceDE/>
        <w:autoSpaceDN/>
        <w:bidi w:val="0"/>
        <w:spacing w:line="560" w:lineRule="exact"/>
        <w:ind w:left="0" w:leftChars="0" w:right="0" w:firstLine="643" w:firstLineChars="200"/>
        <w:jc w:val="both"/>
        <w:textAlignment w:val="auto"/>
        <w:rPr>
          <w:rFonts w:hint="eastAsia"/>
          <w:highlight w:val="none"/>
          <w:lang w:eastAsia="zh-CN"/>
        </w:rPr>
      </w:pPr>
      <w:r>
        <w:rPr>
          <w:rFonts w:hint="eastAsia" w:ascii="仿宋_GB2312" w:hAnsi="仿宋_GB2312" w:eastAsia="仿宋_GB2312" w:cs="仿宋_GB2312"/>
          <w:b/>
          <w:bCs/>
          <w:strike w:val="0"/>
          <w:dstrike w:val="0"/>
          <w:color w:val="000000"/>
          <w:sz w:val="32"/>
          <w:szCs w:val="32"/>
          <w:lang w:val="en-US" w:eastAsia="zh-CN"/>
        </w:rPr>
        <w:t>3.</w:t>
      </w:r>
      <w:r>
        <w:rPr>
          <w:rFonts w:hint="eastAsia" w:ascii="仿宋_GB2312" w:hAnsi="仿宋_GB2312" w:eastAsia="仿宋_GB2312" w:cs="仿宋_GB2312"/>
          <w:b/>
          <w:bCs/>
          <w:color w:val="000000"/>
          <w:sz w:val="32"/>
          <w:szCs w:val="32"/>
          <w:lang w:eastAsia="zh-CN"/>
        </w:rPr>
        <w:t>创新农村法治文化阵地建设</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sz w:val="32"/>
          <w:szCs w:val="32"/>
          <w:highlight w:val="none"/>
          <w:lang w:eastAsia="zh-CN"/>
        </w:rPr>
        <w:t>积极推动“一系统一品牌”创建工作。</w:t>
      </w:r>
      <w:r>
        <w:rPr>
          <w:rFonts w:hint="eastAsia" w:ascii="仿宋_GB2312" w:hAnsi="仿宋_GB2312" w:eastAsia="仿宋_GB2312" w:cs="仿宋_GB2312"/>
          <w:color w:val="000000"/>
          <w:sz w:val="32"/>
          <w:szCs w:val="32"/>
          <w:lang w:val="en-US" w:eastAsia="zh-CN"/>
        </w:rPr>
        <w:t>结合我局近几年开展的</w:t>
      </w:r>
      <w:r>
        <w:rPr>
          <w:rFonts w:hint="eastAsia" w:ascii="仿宋_GB2312" w:hAnsi="楷体" w:eastAsia="仿宋_GB2312"/>
          <w:b w:val="0"/>
          <w:bCs/>
          <w:sz w:val="32"/>
          <w:lang w:val="en-US" w:eastAsia="zh-CN"/>
        </w:rPr>
        <w:t>“听党话、感党恩、跟党走”宣传教育活动</w:t>
      </w:r>
      <w:r>
        <w:rPr>
          <w:rFonts w:hint="eastAsia" w:ascii="仿宋_GB2312" w:hAnsi="仿宋_GB2312" w:eastAsia="仿宋_GB2312" w:cs="仿宋_GB2312"/>
          <w:b w:val="0"/>
          <w:bCs/>
          <w:color w:val="000000"/>
          <w:sz w:val="32"/>
          <w:szCs w:val="32"/>
          <w:lang w:val="en-US" w:eastAsia="zh-CN"/>
        </w:rPr>
        <w:t>工作，以品牌创</w:t>
      </w:r>
      <w:r>
        <w:rPr>
          <w:rFonts w:hint="eastAsia" w:ascii="仿宋_GB2312" w:hAnsi="仿宋_GB2312" w:eastAsia="仿宋_GB2312" w:cs="仿宋_GB2312"/>
          <w:color w:val="000000"/>
          <w:sz w:val="32"/>
          <w:szCs w:val="32"/>
          <w:lang w:val="en-US" w:eastAsia="zh-CN"/>
        </w:rPr>
        <w:t>建促进具体工作开展，积极推动“一系统一品牌”创建工作。</w:t>
      </w:r>
      <w:r>
        <w:rPr>
          <w:rFonts w:hint="eastAsia" w:ascii="仿宋_GB2312" w:hAnsi="楷体" w:eastAsia="仿宋_GB2312"/>
          <w:b/>
          <w:bCs w:val="0"/>
          <w:sz w:val="32"/>
          <w:lang w:eastAsia="zh-CN"/>
        </w:rPr>
        <w:t>一是</w:t>
      </w:r>
      <w:r>
        <w:rPr>
          <w:rFonts w:hint="eastAsia" w:ascii="仿宋_GB2312" w:hAnsi="仿宋_GB2312" w:eastAsia="仿宋_GB2312" w:cs="仿宋_GB2312"/>
          <w:color w:val="000000"/>
          <w:sz w:val="32"/>
          <w:szCs w:val="32"/>
          <w:lang w:val="en-US" w:eastAsia="zh-CN"/>
        </w:rPr>
        <w:t>组织各涉农街镇</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b w:val="0"/>
          <w:bCs w:val="0"/>
          <w:sz w:val="32"/>
          <w:szCs w:val="32"/>
          <w:lang w:eastAsia="zh-CN"/>
        </w:rPr>
        <w:t>以“跑在春天里 喜迎二十大”为主题的</w:t>
      </w:r>
      <w:r>
        <w:rPr>
          <w:rFonts w:hint="eastAsia" w:ascii="仿宋_GB2312" w:hAnsi="仿宋_GB2312" w:eastAsia="仿宋_GB2312" w:cs="仿宋_GB2312"/>
          <w:color w:val="000000"/>
          <w:sz w:val="32"/>
          <w:szCs w:val="32"/>
        </w:rPr>
        <w:t>第二届“美丽乡村健康跑”</w:t>
      </w:r>
      <w:r>
        <w:rPr>
          <w:rFonts w:hint="eastAsia" w:ascii="仿宋_GB2312" w:hAnsi="仿宋_GB2312" w:eastAsia="仿宋_GB2312" w:cs="仿宋_GB2312"/>
          <w:color w:val="000000"/>
          <w:sz w:val="32"/>
          <w:szCs w:val="32"/>
          <w:lang w:eastAsia="zh-CN"/>
        </w:rPr>
        <w:t>活动</w:t>
      </w:r>
      <w:r>
        <w:rPr>
          <w:rFonts w:hint="eastAsia" w:ascii="仿宋_GB2312" w:hAnsi="仿宋_GB2312" w:eastAsia="仿宋_GB2312" w:cs="仿宋_GB2312"/>
          <w:b w:val="0"/>
          <w:bCs w:val="0"/>
          <w:sz w:val="32"/>
          <w:szCs w:val="32"/>
          <w:lang w:eastAsia="zh-CN"/>
        </w:rPr>
        <w:t>，将活动与普法宣传相结合，</w:t>
      </w:r>
      <w:r>
        <w:rPr>
          <w:rFonts w:hint="eastAsia" w:ascii="仿宋_GB2312" w:hAnsi="仿宋_GB2312" w:eastAsia="仿宋_GB2312" w:cs="仿宋_GB2312"/>
          <w:color w:val="000000"/>
          <w:sz w:val="32"/>
          <w:szCs w:val="32"/>
          <w:lang w:val="en-US" w:eastAsia="zh-CN"/>
        </w:rPr>
        <w:t>共收集11个街镇报送的微视频，总计23个。经过</w:t>
      </w:r>
      <w:r>
        <w:rPr>
          <w:rFonts w:hint="eastAsia" w:ascii="仿宋_GB2312" w:hAnsi="仿宋_GB2312" w:eastAsia="仿宋_GB2312" w:cs="仿宋_GB2312"/>
          <w:sz w:val="32"/>
          <w:szCs w:val="32"/>
          <w:lang w:val="en-US" w:eastAsia="zh-CN"/>
        </w:rPr>
        <w:t>北京市第二届“美丽乡村健康跑”组委会专家评审，右安门街道报送的“绿色奔跑 阳光启航”获得最佳奖和王佐镇报送的“飞翔吧王佐 奔跑吧健康”获得优秀奖。</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围绕迎接宣传贯彻党的二十大，聚焦“听党话 感党恩 跟党走”主题，开展宣讲活动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融入普法内容。</w:t>
      </w:r>
      <w:r>
        <w:rPr>
          <w:rFonts w:hint="eastAsia" w:ascii="仿宋_GB2312" w:hAnsi="仿宋_GB2312" w:eastAsia="仿宋_GB2312" w:cs="仿宋_GB2312"/>
          <w:sz w:val="32"/>
          <w:szCs w:val="32"/>
        </w:rPr>
        <w:t>在各涉农街镇</w:t>
      </w:r>
      <w:r>
        <w:rPr>
          <w:rFonts w:hint="eastAsia" w:ascii="仿宋_GB2312" w:hAnsi="仿宋_GB2312" w:eastAsia="仿宋_GB2312" w:cs="仿宋_GB2312"/>
          <w:sz w:val="32"/>
          <w:szCs w:val="40"/>
        </w:rPr>
        <w:t>共</w:t>
      </w:r>
      <w:r>
        <w:rPr>
          <w:rFonts w:hint="eastAsia" w:ascii="仿宋_GB2312" w:hAnsi="仿宋_GB2312" w:eastAsia="仿宋_GB2312" w:cs="仿宋_GB2312"/>
          <w:sz w:val="32"/>
          <w:szCs w:val="32"/>
        </w:rPr>
        <w:t>收集稿件20余份，从中筛选出4篇优秀稿件，并由区委宣传部进行稿件修改及宣讲培训后，进行视频录制，在公众号进行展播。组织各涉农街镇进行线上观看，共有</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000余人次村“两委”干部、党员、群众等观看宣讲。</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highlight w:val="none"/>
        </w:rPr>
        <w:t>创新开展“强国复兴有我”群众性主题宣传教育活动，进一步推动乡村文化振兴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培育文明乡风，</w:t>
      </w:r>
      <w:r>
        <w:rPr>
          <w:rFonts w:hint="eastAsia" w:ascii="仿宋_GB2312" w:hAnsi="仿宋_GB2312" w:eastAsia="仿宋_GB2312" w:cs="仿宋_GB2312"/>
          <w:sz w:val="32"/>
          <w:szCs w:val="32"/>
          <w:highlight w:val="none"/>
          <w:lang w:eastAsia="zh-CN"/>
        </w:rPr>
        <w:t>制定以“</w:t>
      </w:r>
      <w:r>
        <w:rPr>
          <w:rFonts w:hint="eastAsia" w:ascii="仿宋_GB2312" w:hAnsi="仿宋_GB2312" w:eastAsia="仿宋_GB2312" w:cs="仿宋_GB2312"/>
          <w:sz w:val="32"/>
          <w:szCs w:val="32"/>
          <w:highlight w:val="none"/>
        </w:rPr>
        <w:t>乡情京韵颂盛世，凝心聚力促振兴</w:t>
      </w:r>
      <w:r>
        <w:rPr>
          <w:rFonts w:hint="eastAsia" w:ascii="仿宋_GB2312" w:hAnsi="仿宋_GB2312" w:eastAsia="仿宋_GB2312" w:cs="仿宋_GB2312"/>
          <w:sz w:val="32"/>
          <w:szCs w:val="32"/>
          <w:highlight w:val="none"/>
          <w:lang w:eastAsia="zh-CN"/>
        </w:rPr>
        <w:t>”为主题的</w:t>
      </w:r>
      <w:r>
        <w:rPr>
          <w:rFonts w:hint="eastAsia" w:ascii="仿宋_GB2312" w:hAnsi="黑体" w:eastAsia="仿宋_GB2312" w:cs="Times New Roman"/>
          <w:bCs/>
          <w:color w:val="auto"/>
          <w:sz w:val="32"/>
          <w:szCs w:val="32"/>
          <w:highlight w:val="none"/>
          <w:lang w:eastAsia="zh-CN"/>
        </w:rPr>
        <w:t>北京</w:t>
      </w:r>
      <w:r>
        <w:rPr>
          <w:rFonts w:hint="eastAsia" w:ascii="仿宋_GB2312" w:hAnsi="黑体" w:eastAsia="仿宋_GB2312" w:cs="Times New Roman"/>
          <w:bCs/>
          <w:color w:val="auto"/>
          <w:sz w:val="32"/>
          <w:szCs w:val="32"/>
          <w:highlight w:val="none"/>
        </w:rPr>
        <w:t>农民艺术节</w:t>
      </w:r>
      <w:r>
        <w:rPr>
          <w:rFonts w:hint="eastAsia" w:ascii="仿宋_GB2312" w:hAnsi="黑体" w:eastAsia="仿宋_GB2312" w:cs="Times New Roman"/>
          <w:bCs/>
          <w:color w:val="auto"/>
          <w:sz w:val="32"/>
          <w:szCs w:val="32"/>
          <w:highlight w:val="none"/>
          <w:lang w:eastAsia="zh-CN"/>
        </w:rPr>
        <w:t>、农民丰收节工作方案，结合“乡村大舞台”展演，将法治宣传教育与文艺演出相结合，让普法形式更接地气，内容更具有吸引力，促进法治意识深入人心，营造浓厚的乡村法治文化氛围，为乡村振兴、基层治理注入源源不断的法治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年法治政府建设存在的问题与不足</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我局围绕“三农”工作扎实做好法治政府建设各项工作，取得了一定的成效，但也存在一些薄弱环节。</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法治意识和法治观念有待持续强化，法治思维和法治方式有待逐步养成。</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执法体制改革有待不断深化，整体执法特别是农产品质量安全执法力度及水平有待提高。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区农业综合执法大队初设，由原来的专业执法转为综合执法，执法队伍亟待整合，执法水平有待提高。</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年党政主要负责人履行推进法治政府建设第一责任人职责情况</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局充分发挥领导班子在推进法治建设中的领导核心作用，贯彻落实党政主要负责人履行推进法治建设第一责任人职责，利用理论学习中心组学习、班子会前学法等机会认真组织开展习近平总书记全面依法治国新理念，深入学习、深刻领会、全面落实习近平总书记关于法治建设、“三农”工作的重要论述。进一步提高政治站位，树牢“四个意识”，坚定“四个自信”，以实际行动做到“两个维护”。</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（一）完善依法行政制度机制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局高度重视依法行政责任制工作的落实，坚持把依法行政责任制列入了议事日程，与全局工作同安排、同部署、同考核。成立了局依法行政工作领导小组，局主要领导任组长，分管领导任副组长，领导小组办公室设在办公室，负责局依法行政统筹协调工作，进一步健全组织领导机构。每年制定局依法行政工作要点，明确年度工作任务和职责分工。</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（二）推进依法执政，狠抓法治建设重点环节</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依法执政是“法治建设”的核心内容，是法治建设的关键和着力点。一是坚持民主集中制，健全决策机制。始终坚持民主集中制，不凭主观臆断，不搞长官意志，不搞“一言堂”，严格按照决策程序办事，力求决策科学正确。凡重大事项，都在充分调查研究、广泛征求意见的基础上，通过集体研究讨论决定。二是坚持党务公开，扩大党内民主。公布党务、政务应公示的内容，广泛接受群众监督，并主动接受群众质询,不断增强党组织工作的透明度，充分发挥党内民主、扩大党员和群众的参与权、知情权和监督权，强化党内监督，提高执政能力。三是坚持督查整改，确保落实到位。对群众关心、社会关注的与群众利益息息相关的问题进行监督，排查法治建设中的突出问题，及时提出建设性的整改意见，并督促整改到位。四是强化廉政建设，推进依法执政。坚持领导干部述职述廉制度和重大事项报告制度，严格落实党风廉政建设责任制，建立健全促廉保廉机制，加大廉政宣传。</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（三）强化落实责任，全面推进依法治体工作</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一是善于学习思考，努力提高自身素质。</w:t>
      </w:r>
      <w:r>
        <w:rPr>
          <w:rFonts w:hint="eastAsia" w:ascii="仿宋_GB2312" w:hAnsi="仿宋_GB2312" w:eastAsia="仿宋_GB2312" w:cs="仿宋_GB2312"/>
          <w:b w:val="0"/>
          <w:bCs w:val="0"/>
          <w:sz w:val="32"/>
          <w:szCs w:val="32"/>
          <w:lang w:val="en-US" w:eastAsia="zh-CN"/>
        </w:rPr>
        <w:t>坚持理论联系实际，通过多种渠道，加强自身在政治理论、业务知识、法制法规学习，努力提高个人综合素质。在法律法规学习上，注重学以致用，强调提高自己的政策理论水平和实际工作能力。在行使职能过程中、在重大事项决策上，无与法律法规相抵触的现象，研究决策形成的文件无被撤销、责令修改或停止执行的现象。</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二是切实落实责任，深入依法治体工作。</w:t>
      </w:r>
      <w:r>
        <w:rPr>
          <w:rFonts w:hint="eastAsia" w:ascii="仿宋_GB2312" w:hAnsi="仿宋_GB2312" w:eastAsia="仿宋_GB2312" w:cs="仿宋_GB2312"/>
          <w:b w:val="0"/>
          <w:bCs w:val="0"/>
          <w:sz w:val="32"/>
          <w:szCs w:val="32"/>
          <w:lang w:val="en-US" w:eastAsia="zh-CN"/>
        </w:rPr>
        <w:t>充分发挥党委在推进本单位法治建设中的领导核心作用，将法治建设纳入本单位发展总体规划和年度工作计划，与其他工作同部署、同推进、同督促。定期听取法治建设工作情况汇报，及时研究解决法治建设中的有关重大问题。严格依法依规决策，充分发挥本单位法规部门和法律顾问的作用，重大决策集体讨论决定前，严格实行合法合规性审查，提高依法决策水平。</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三是狠抓行政效能，规范行政权力运行。</w:t>
      </w:r>
      <w:r>
        <w:rPr>
          <w:rFonts w:hint="eastAsia" w:ascii="仿宋_GB2312" w:hAnsi="仿宋_GB2312" w:eastAsia="仿宋_GB2312" w:cs="仿宋_GB2312"/>
          <w:b w:val="0"/>
          <w:bCs w:val="0"/>
          <w:sz w:val="32"/>
          <w:szCs w:val="32"/>
          <w:lang w:val="en-US" w:eastAsia="zh-CN"/>
        </w:rPr>
        <w:t>根据《北京市丰台区全面依法治区规划（2021-2025 年）》（丰法委发〔2021〕6号）、《丰台区关于党政主要负责人履行推进法治建设第一责任人职责情况列入年终述职内容工作的实施办法》（丰法委发〔2021〕7号），严格做到“权力取得要依法，权力行使按流程，权力运行要公开，权力运行受监督”，进一步深化行政审批制度改革，规范审批流程，完善审批文书，加强风险点监控。强化行政权力网上公开透明运行，对所有公共服务事项和行政权力事项目录、法律依据、申请条件、申报材料、办理程序、办理时限、联系方式、投诉渠道等逐项在官方网站及时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w:t>
      </w:r>
      <w:r>
        <w:rPr>
          <w:rFonts w:hint="default" w:ascii="黑体" w:hAnsi="黑体" w:eastAsia="黑体" w:cs="黑体"/>
          <w:sz w:val="32"/>
          <w:szCs w:val="36"/>
          <w:lang w:val="en-US" w:eastAsia="zh-CN"/>
        </w:rPr>
        <w:t>3</w:t>
      </w:r>
      <w:r>
        <w:rPr>
          <w:rFonts w:hint="eastAsia" w:ascii="黑体" w:hAnsi="黑体" w:eastAsia="黑体" w:cs="黑体"/>
          <w:sz w:val="32"/>
          <w:szCs w:val="36"/>
          <w:lang w:val="en-US" w:eastAsia="zh-CN"/>
        </w:rPr>
        <w:t>年法治政府建设工作初步安排</w:t>
      </w:r>
    </w:p>
    <w:p>
      <w:pPr>
        <w:pStyle w:val="2"/>
        <w:keepNext w:val="0"/>
        <w:keepLines w:val="0"/>
        <w:pageBreakBefore w:val="0"/>
        <w:widowControl w:val="0"/>
        <w:numPr>
          <w:ilvl w:val="0"/>
          <w:numId w:val="0"/>
        </w:numPr>
        <w:kinsoku/>
        <w:wordWrap/>
        <w:overflowPunct/>
        <w:topLinePunct w:val="0"/>
        <w:bidi w:val="0"/>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sz w:val="32"/>
          <w:szCs w:val="32"/>
          <w:lang w:val="en-US" w:eastAsia="zh-CN"/>
        </w:rPr>
        <w:t>我局将深入依法行政工作，认真梳理总结各项任务指标，着重抓好以下三方面工作：一是加大执法培训力度。为提高全区农业干部以及执法人员的业务水平，将组织多期执法业务培训和普法宣传讲座；落实案卷评查工作机制；组织案件研讨分析会议等。二是依法严格开展执法工作。依法严厉打击各类涉农违法行为，精心组织农资打假专项行动，加大农产品及农资产品抽检力度，切实保障我区农业生产和农产品质量安全。三是及时更新维护北京市行政执法信息服务平台中各项数据。</w:t>
      </w: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right"/>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北京市丰台区农业农村局</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default"/>
          <w:lang w:val="en-US" w:eastAsia="zh-CN"/>
        </w:rPr>
      </w:pPr>
      <w:r>
        <w:rPr>
          <w:rFonts w:hint="eastAsia" w:ascii="FangSong_GB2312" w:hAnsi="FangSong_GB2312" w:eastAsia="FangSong_GB2312" w:cs="宋体"/>
          <w:kern w:val="2"/>
          <w:sz w:val="32"/>
          <w:szCs w:val="22"/>
          <w:lang w:val="en-US" w:eastAsia="zh-CN" w:bidi="ar-SA"/>
        </w:rPr>
        <w:t xml:space="preserve">                                       2022年12月13日</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pPr>
    </w:p>
    <w:p>
      <w:pPr>
        <w:keepNext w:val="0"/>
        <w:keepLines w:val="0"/>
        <w:pageBreakBefore w:val="0"/>
        <w:widowControl w:val="0"/>
        <w:kinsoku/>
        <w:wordWrap/>
        <w:overflowPunct/>
        <w:topLinePunct w:val="0"/>
        <w:bidi w:val="0"/>
        <w:snapToGrid w:val="0"/>
        <w:spacing w:line="560" w:lineRule="exact"/>
        <w:ind w:firstLine="640" w:firstLineChars="200"/>
        <w:jc w:val="both"/>
        <w:rPr>
          <w:rFonts w:ascii="仿宋_GB2312" w:hAnsi="仿宋" w:eastAsia="仿宋_GB2312"/>
          <w:szCs w:val="32"/>
        </w:rPr>
      </w:pPr>
    </w:p>
    <w:p>
      <w:pPr>
        <w:pStyle w:val="3"/>
        <w:keepNext w:val="0"/>
        <w:keepLines w:val="0"/>
        <w:pageBreakBefore w:val="0"/>
        <w:widowControl w:val="0"/>
        <w:kinsoku/>
        <w:wordWrap/>
        <w:overflowPunct/>
        <w:topLinePunct w:val="0"/>
        <w:bidi w:val="0"/>
        <w:spacing w:line="560" w:lineRule="exact"/>
        <w:jc w:val="both"/>
        <w:rPr>
          <w:rFonts w:ascii="仿宋_GB2312" w:hAnsi="宋体" w:eastAsia="仿宋_GB2312"/>
          <w:kern w:val="0"/>
          <w:szCs w:val="32"/>
        </w:rPr>
      </w:pPr>
    </w:p>
    <w:sectPr>
      <w:footerReference r:id="rId3" w:type="default"/>
      <w:footerReference r:id="rId4" w:type="even"/>
      <w:endnotePr>
        <w:numFmt w:val="decimal"/>
      </w:endnotePr>
      <w:pgSz w:w="11907" w:h="16840"/>
      <w:pgMar w:top="1701" w:right="1474" w:bottom="1134" w:left="1588" w:header="851" w:footer="737" w:gutter="0"/>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981" w:wrap="around" w:vAnchor="text" w:hAnchor="page" w:x="9186" w:yAlign="bottom"/>
    </w:pPr>
    <w:r>
      <w:rPr>
        <w:rStyle w:val="17"/>
        <w:rFonts w:hint="eastAsia"/>
        <w:sz w:val="28"/>
        <w:szCs w:val="28"/>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1</w:t>
    </w:r>
    <w:r>
      <w:rPr>
        <w:rFonts w:ascii="宋体" w:hAnsi="宋体"/>
        <w:sz w:val="28"/>
        <w:szCs w:val="28"/>
        <w:lang w:eastAsia="en-US"/>
      </w:rPr>
      <w:fldChar w:fldCharType="end"/>
    </w:r>
    <w:r>
      <w:rPr>
        <w:rFonts w:hint="eastAsia" w:ascii="宋体" w:hAnsi="宋体"/>
        <w:sz w:val="28"/>
        <w:szCs w:val="28"/>
      </w:rPr>
      <w:t xml:space="preserve"> </w:t>
    </w:r>
    <w:r>
      <w:rPr>
        <w:rStyle w:val="17"/>
        <w:rFonts w:hint="eastAsia"/>
        <w:sz w:val="28"/>
        <w:szCs w:val="28"/>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279" w:wrap="around" w:vAnchor="text" w:hAnchor="margin" w:xAlign="outside" w:y="5"/>
      <w:ind w:firstLine="280" w:firstLineChars="100"/>
    </w:pPr>
    <w:r>
      <w:rPr>
        <w:rStyle w:val="17"/>
        <w:rFonts w:hint="eastAsia"/>
        <w:sz w:val="28"/>
        <w:szCs w:val="28"/>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6</w:t>
    </w:r>
    <w:r>
      <w:rPr>
        <w:rFonts w:ascii="宋体" w:hAnsi="宋体"/>
        <w:sz w:val="28"/>
        <w:szCs w:val="28"/>
        <w:lang w:eastAsia="en-US"/>
      </w:rPr>
      <w:fldChar w:fldCharType="end"/>
    </w:r>
    <w:r>
      <w:rPr>
        <w:rFonts w:hint="eastAsia" w:ascii="宋体" w:hAnsi="宋体"/>
        <w:sz w:val="28"/>
        <w:szCs w:val="28"/>
      </w:rPr>
      <w:t xml:space="preserve"> </w:t>
    </w:r>
    <w:r>
      <w:rPr>
        <w:rStyle w:val="17"/>
        <w:rFonts w:hint="eastAsia"/>
        <w:sz w:val="28"/>
        <w:szCs w:val="28"/>
      </w:rPr>
      <w:t>—</w:t>
    </w:r>
  </w:p>
  <w:p>
    <w:pPr>
      <w:pStyle w:val="11"/>
      <w:ind w:right="360" w:firstLine="360"/>
      <w:rPr>
        <w:rFonts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320"/>
  <w:drawingGridVerticalSpacing w:val="280"/>
  <w:displayHorizontalDrawingGridEvery w:val="2"/>
  <w:displayVerticalDrawingGridEvery w:val="2"/>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98"/>
    <w:rsid w:val="00024B09"/>
    <w:rsid w:val="000501D0"/>
    <w:rsid w:val="00051D39"/>
    <w:rsid w:val="0006405F"/>
    <w:rsid w:val="00074F55"/>
    <w:rsid w:val="000813E9"/>
    <w:rsid w:val="0008254A"/>
    <w:rsid w:val="00090BFB"/>
    <w:rsid w:val="000949D0"/>
    <w:rsid w:val="000A516F"/>
    <w:rsid w:val="000B2C16"/>
    <w:rsid w:val="000B42F6"/>
    <w:rsid w:val="00127136"/>
    <w:rsid w:val="001431CA"/>
    <w:rsid w:val="00154914"/>
    <w:rsid w:val="001734DA"/>
    <w:rsid w:val="00174616"/>
    <w:rsid w:val="00196ABD"/>
    <w:rsid w:val="001A08F7"/>
    <w:rsid w:val="001A2EF8"/>
    <w:rsid w:val="001A3267"/>
    <w:rsid w:val="001A5AEE"/>
    <w:rsid w:val="001D3E0A"/>
    <w:rsid w:val="001D49B5"/>
    <w:rsid w:val="001D634D"/>
    <w:rsid w:val="001E7667"/>
    <w:rsid w:val="00207150"/>
    <w:rsid w:val="00212226"/>
    <w:rsid w:val="00233BA4"/>
    <w:rsid w:val="002526DD"/>
    <w:rsid w:val="002530E7"/>
    <w:rsid w:val="00285E68"/>
    <w:rsid w:val="002A3ED2"/>
    <w:rsid w:val="002D39A8"/>
    <w:rsid w:val="002E7307"/>
    <w:rsid w:val="002F6533"/>
    <w:rsid w:val="00321CF0"/>
    <w:rsid w:val="00323D2B"/>
    <w:rsid w:val="0034716C"/>
    <w:rsid w:val="00366EDF"/>
    <w:rsid w:val="00396A79"/>
    <w:rsid w:val="003A0E9D"/>
    <w:rsid w:val="003A1637"/>
    <w:rsid w:val="003A722D"/>
    <w:rsid w:val="003B34D1"/>
    <w:rsid w:val="003D198E"/>
    <w:rsid w:val="003D4CA2"/>
    <w:rsid w:val="003F5646"/>
    <w:rsid w:val="003F7DF5"/>
    <w:rsid w:val="00434709"/>
    <w:rsid w:val="00443936"/>
    <w:rsid w:val="00444BA6"/>
    <w:rsid w:val="00455CC0"/>
    <w:rsid w:val="0046285A"/>
    <w:rsid w:val="0049670C"/>
    <w:rsid w:val="004A596F"/>
    <w:rsid w:val="004B548D"/>
    <w:rsid w:val="004C6448"/>
    <w:rsid w:val="004D7E3E"/>
    <w:rsid w:val="004F15C5"/>
    <w:rsid w:val="005058F9"/>
    <w:rsid w:val="00536B93"/>
    <w:rsid w:val="0054593D"/>
    <w:rsid w:val="005765F6"/>
    <w:rsid w:val="005B72B2"/>
    <w:rsid w:val="005C4885"/>
    <w:rsid w:val="005C6CFF"/>
    <w:rsid w:val="005D3EA6"/>
    <w:rsid w:val="00616C17"/>
    <w:rsid w:val="0063014B"/>
    <w:rsid w:val="0063063A"/>
    <w:rsid w:val="0066547E"/>
    <w:rsid w:val="00673424"/>
    <w:rsid w:val="006A0D17"/>
    <w:rsid w:val="006A7812"/>
    <w:rsid w:val="006B1B1B"/>
    <w:rsid w:val="006E5C33"/>
    <w:rsid w:val="006E78D6"/>
    <w:rsid w:val="00721B0B"/>
    <w:rsid w:val="0073336E"/>
    <w:rsid w:val="007602DE"/>
    <w:rsid w:val="00764616"/>
    <w:rsid w:val="00783D63"/>
    <w:rsid w:val="007C161E"/>
    <w:rsid w:val="007D1197"/>
    <w:rsid w:val="008163B5"/>
    <w:rsid w:val="008166B1"/>
    <w:rsid w:val="00834B75"/>
    <w:rsid w:val="008446D2"/>
    <w:rsid w:val="00852737"/>
    <w:rsid w:val="00865538"/>
    <w:rsid w:val="008956A3"/>
    <w:rsid w:val="008957C9"/>
    <w:rsid w:val="008A58DB"/>
    <w:rsid w:val="008C2DF1"/>
    <w:rsid w:val="008D4198"/>
    <w:rsid w:val="008D5B3D"/>
    <w:rsid w:val="008E7388"/>
    <w:rsid w:val="008F422C"/>
    <w:rsid w:val="008F4244"/>
    <w:rsid w:val="009001F4"/>
    <w:rsid w:val="00901458"/>
    <w:rsid w:val="009322DB"/>
    <w:rsid w:val="00944B2B"/>
    <w:rsid w:val="00947776"/>
    <w:rsid w:val="009647D5"/>
    <w:rsid w:val="00971C09"/>
    <w:rsid w:val="009A6CB9"/>
    <w:rsid w:val="009F42BD"/>
    <w:rsid w:val="009F670F"/>
    <w:rsid w:val="00A019E7"/>
    <w:rsid w:val="00A163E5"/>
    <w:rsid w:val="00A410D8"/>
    <w:rsid w:val="00A5449E"/>
    <w:rsid w:val="00A57B70"/>
    <w:rsid w:val="00A80ED4"/>
    <w:rsid w:val="00AA2BE5"/>
    <w:rsid w:val="00AD0D0C"/>
    <w:rsid w:val="00AE1D52"/>
    <w:rsid w:val="00B066C1"/>
    <w:rsid w:val="00B15275"/>
    <w:rsid w:val="00B22678"/>
    <w:rsid w:val="00B2282A"/>
    <w:rsid w:val="00B349A6"/>
    <w:rsid w:val="00B37C80"/>
    <w:rsid w:val="00B759DA"/>
    <w:rsid w:val="00B820D3"/>
    <w:rsid w:val="00B924D4"/>
    <w:rsid w:val="00B934DE"/>
    <w:rsid w:val="00BA02BE"/>
    <w:rsid w:val="00BD47F1"/>
    <w:rsid w:val="00C36229"/>
    <w:rsid w:val="00C36788"/>
    <w:rsid w:val="00C4794A"/>
    <w:rsid w:val="00C521F9"/>
    <w:rsid w:val="00C64206"/>
    <w:rsid w:val="00C76F0A"/>
    <w:rsid w:val="00C77F3F"/>
    <w:rsid w:val="00CA540C"/>
    <w:rsid w:val="00CA7BA2"/>
    <w:rsid w:val="00CC2565"/>
    <w:rsid w:val="00CD42AD"/>
    <w:rsid w:val="00CE424C"/>
    <w:rsid w:val="00CE76D8"/>
    <w:rsid w:val="00D01B3C"/>
    <w:rsid w:val="00D52DE4"/>
    <w:rsid w:val="00D57483"/>
    <w:rsid w:val="00D668C8"/>
    <w:rsid w:val="00D974E0"/>
    <w:rsid w:val="00DB296C"/>
    <w:rsid w:val="00DB4E32"/>
    <w:rsid w:val="00DD4CA8"/>
    <w:rsid w:val="00DF12DF"/>
    <w:rsid w:val="00E028C3"/>
    <w:rsid w:val="00E148FF"/>
    <w:rsid w:val="00E27A08"/>
    <w:rsid w:val="00E32F9E"/>
    <w:rsid w:val="00E4033D"/>
    <w:rsid w:val="00E65195"/>
    <w:rsid w:val="00E7208C"/>
    <w:rsid w:val="00E81EDD"/>
    <w:rsid w:val="00E922D5"/>
    <w:rsid w:val="00EB16EB"/>
    <w:rsid w:val="00EF20B1"/>
    <w:rsid w:val="00F23604"/>
    <w:rsid w:val="00F518B1"/>
    <w:rsid w:val="00F5468D"/>
    <w:rsid w:val="00F54C64"/>
    <w:rsid w:val="00F73305"/>
    <w:rsid w:val="00FA19DA"/>
    <w:rsid w:val="00FC0420"/>
    <w:rsid w:val="00FD09AC"/>
    <w:rsid w:val="00FD38AC"/>
    <w:rsid w:val="00FE0892"/>
    <w:rsid w:val="00FE2993"/>
    <w:rsid w:val="00FE6E62"/>
    <w:rsid w:val="00FF4093"/>
    <w:rsid w:val="00FF674C"/>
    <w:rsid w:val="26F41B3C"/>
    <w:rsid w:val="29A23C84"/>
    <w:rsid w:val="301A49A1"/>
    <w:rsid w:val="38B332F1"/>
    <w:rsid w:val="3BB65327"/>
    <w:rsid w:val="41A625B4"/>
    <w:rsid w:val="437F4FD8"/>
    <w:rsid w:val="44307BEA"/>
    <w:rsid w:val="46005E6D"/>
    <w:rsid w:val="6268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kern w:val="2"/>
      <w:sz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jc w:val="center"/>
    </w:pPr>
  </w:style>
  <w:style w:type="paragraph" w:styleId="4">
    <w:name w:val="Body Text 2"/>
    <w:basedOn w:val="1"/>
    <w:qFormat/>
    <w:uiPriority w:val="0"/>
    <w:pPr>
      <w:spacing w:line="360" w:lineRule="auto"/>
      <w:ind w:firstLine="200" w:firstLineChars="200"/>
    </w:pPr>
    <w:rPr>
      <w:rFonts w:eastAsia="楷体_GB2312"/>
      <w:sz w:val="32"/>
    </w:rPr>
  </w:style>
  <w:style w:type="paragraph" w:styleId="5">
    <w:name w:val="Body Text Indent"/>
    <w:basedOn w:val="1"/>
    <w:qFormat/>
    <w:uiPriority w:val="0"/>
    <w:pPr>
      <w:ind w:firstLine="645"/>
    </w:pPr>
    <w:rPr>
      <w:rFonts w:ascii="楷体_GB2312" w:eastAsia="楷体_GB2312"/>
    </w:rPr>
  </w:style>
  <w:style w:type="paragraph" w:styleId="6">
    <w:name w:val="Block Text"/>
    <w:basedOn w:val="1"/>
    <w:qFormat/>
    <w:uiPriority w:val="0"/>
    <w:pPr>
      <w:ind w:left="-224" w:right="-205" w:firstLine="210"/>
      <w:jc w:val="center"/>
    </w:pPr>
    <w:rPr>
      <w:rFonts w:ascii="黑体" w:eastAsia="黑体"/>
      <w:sz w:val="36"/>
    </w:rPr>
  </w:style>
  <w:style w:type="paragraph" w:styleId="7">
    <w:name w:val="Plain Text"/>
    <w:basedOn w:val="1"/>
    <w:qFormat/>
    <w:uiPriority w:val="0"/>
    <w:pPr>
      <w:autoSpaceDE/>
      <w:autoSpaceDN/>
      <w:adjustRightInd/>
      <w:textAlignment w:val="auto"/>
    </w:pPr>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pacing w:line="600" w:lineRule="exact"/>
      <w:ind w:firstLine="600"/>
    </w:pPr>
    <w:rPr>
      <w:rFonts w:ascii="楷体_GB2312" w:eastAsia="楷体_GB231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qFormat/>
    <w:uiPriority w:val="0"/>
    <w:pPr>
      <w:pBdr>
        <w:bottom w:val="single" w:color="auto" w:sz="6" w:space="1"/>
      </w:pBdr>
      <w:tabs>
        <w:tab w:val="center" w:pos="4153"/>
        <w:tab w:val="right" w:pos="8306"/>
      </w:tabs>
      <w:jc w:val="center"/>
    </w:pPr>
    <w:rPr>
      <w:sz w:val="18"/>
    </w:rPr>
  </w:style>
  <w:style w:type="paragraph" w:styleId="13">
    <w:name w:val="Body Text Indent 3"/>
    <w:basedOn w:val="1"/>
    <w:qFormat/>
    <w:uiPriority w:val="0"/>
    <w:pPr>
      <w:autoSpaceDE/>
      <w:autoSpaceDN/>
      <w:adjustRightInd/>
      <w:ind w:firstLine="630"/>
      <w:textAlignment w:val="auto"/>
    </w:pPr>
    <w:rPr>
      <w:rFonts w:eastAsia="楷体_GB2312"/>
      <w:b/>
    </w:rPr>
  </w:style>
  <w:style w:type="paragraph" w:styleId="14">
    <w:name w:val="Normal (Web)"/>
    <w:basedOn w:val="1"/>
    <w:unhideWhenUsed/>
    <w:qFormat/>
    <w:uiPriority w:val="99"/>
    <w:pPr>
      <w:widowControl/>
      <w:autoSpaceDE/>
      <w:autoSpaceDN/>
      <w:adjustRightInd/>
      <w:spacing w:before="100" w:beforeAutospacing="1" w:after="100" w:afterAutospacing="1"/>
      <w:jc w:val="left"/>
      <w:textAlignment w:val="auto"/>
    </w:pPr>
    <w:rPr>
      <w:kern w:val="0"/>
      <w:sz w:val="24"/>
      <w:szCs w:val="24"/>
    </w:rPr>
  </w:style>
  <w:style w:type="character" w:styleId="17">
    <w:name w:val="page number"/>
    <w:qFormat/>
    <w:uiPriority w:val="0"/>
    <w:rPr>
      <w:sz w:val="20"/>
    </w:rPr>
  </w:style>
  <w:style w:type="paragraph" w:customStyle="1" w:styleId="18">
    <w:name w:val="Char"/>
    <w:basedOn w:val="1"/>
    <w:qFormat/>
    <w:uiPriority w:val="0"/>
    <w:pPr>
      <w:widowControl/>
      <w:autoSpaceDE/>
      <w:autoSpaceDN/>
      <w:adjustRightInd/>
      <w:spacing w:after="160" w:line="240" w:lineRule="exact"/>
      <w:jc w:val="left"/>
      <w:textAlignment w:val="auto"/>
    </w:pPr>
    <w:rPr>
      <w:sz w:val="21"/>
    </w:rPr>
  </w:style>
  <w:style w:type="paragraph" w:customStyle="1" w:styleId="19">
    <w:name w:val="p0"/>
    <w:basedOn w:val="1"/>
    <w:qFormat/>
    <w:uiPriority w:val="0"/>
    <w:pPr>
      <w:widowControl/>
      <w:autoSpaceDE/>
      <w:autoSpaceDN/>
      <w:adjustRightInd/>
      <w:textAlignment w:val="auto"/>
    </w:pPr>
    <w:rPr>
      <w:rFonts w:ascii="Calibri" w:hAnsi="Calibri" w:cs="Calibri"/>
      <w:kern w:val="0"/>
      <w:sz w:val="21"/>
      <w:szCs w:val="21"/>
    </w:rPr>
  </w:style>
  <w:style w:type="paragraph" w:customStyle="1" w:styleId="20">
    <w:name w:val="p16"/>
    <w:basedOn w:val="1"/>
    <w:qFormat/>
    <w:uiPriority w:val="0"/>
    <w:pPr>
      <w:widowControl/>
      <w:autoSpaceDE/>
      <w:autoSpaceDN/>
      <w:adjustRightInd/>
      <w:textAlignment w:val="auto"/>
    </w:pPr>
    <w:rPr>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92;&#19994;&#20892;&#26449;&#23616;&#26080;&#32418;&#3244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农业农村局无红线.dotx</Template>
  <Company>Lenovo</Company>
  <Pages>6</Pages>
  <Words>493</Words>
  <Characters>2814</Characters>
  <Lines>23</Lines>
  <Paragraphs>6</Paragraphs>
  <TotalTime>5</TotalTime>
  <ScaleCrop>false</ScaleCrop>
  <LinksUpToDate>false</LinksUpToDate>
  <CharactersWithSpaces>3301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2019-12-06T01:27:00Z</dcterms:created>
  <dc:creator>农工委管理员</dc:creator>
  <cp:lastModifiedBy>lJ</cp:lastModifiedBy>
  <cp:lastPrinted>2010-09-14T07:28:00Z</cp:lastPrinted>
  <dcterms:modified xsi:type="dcterms:W3CDTF">2025-06-13T02:40:58Z</dcterms:modified>
  <dc:title>丰台区区级领导班子和领导干部“三讲”教育“回头看”工作实施方案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