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bidi w:val="0"/>
        <w:spacing w:line="960" w:lineRule="exact"/>
        <w:jc w:val="both"/>
        <w:rPr>
          <w:rFonts w:ascii="方正小标宋简体" w:hAnsi="华文中宋" w:eastAsia="方正小标宋简体"/>
          <w:color w:val="FF0000"/>
          <w:spacing w:val="60"/>
          <w:w w:val="80"/>
          <w:position w:val="6"/>
          <w:sz w:val="84"/>
          <w:szCs w:val="84"/>
        </w:rPr>
      </w:pPr>
      <w:bookmarkStart w:id="0" w:name="_GoBack"/>
      <w:bookmarkEnd w:id="0"/>
      <w:r>
        <w:rPr>
          <w:rFonts w:hint="eastAsia" w:ascii="方正小标宋简体" w:hAnsi="华文中宋" w:eastAsia="方正小标宋简体"/>
          <w:color w:val="FF0000"/>
          <w:spacing w:val="60"/>
          <w:w w:val="80"/>
          <w:position w:val="6"/>
          <w:sz w:val="84"/>
          <w:szCs w:val="84"/>
        </w:rPr>
        <w:t>北京市丰台区农业农村局</w:t>
      </w:r>
    </w:p>
    <w:p>
      <w:pPr>
        <w:pStyle w:val="3"/>
        <w:keepNext w:val="0"/>
        <w:keepLines w:val="0"/>
        <w:pageBreakBefore w:val="0"/>
        <w:widowControl w:val="0"/>
        <w:kinsoku/>
        <w:wordWrap/>
        <w:overflowPunct/>
        <w:topLinePunct w:val="0"/>
        <w:bidi w:val="0"/>
        <w:spacing w:line="560" w:lineRule="exact"/>
        <w:jc w:val="both"/>
        <w:rPr>
          <w:rFonts w:ascii="仿宋_GB2312" w:eastAsia="仿宋_GB2312"/>
          <w:kern w:val="0"/>
          <w:szCs w:val="32"/>
        </w:rPr>
      </w:pPr>
      <w:r>
        <w:rPr>
          <w:rFonts w:hint="eastAsia" w:ascii="仿宋_GB2312" w:hAnsi="华文中宋" w:eastAsia="仿宋_GB2312"/>
          <w:kern w:val="0"/>
          <w:szCs w:val="32"/>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ge">
                  <wp:posOffset>1728470</wp:posOffset>
                </wp:positionV>
                <wp:extent cx="6120130" cy="0"/>
                <wp:effectExtent l="0" t="0" r="0" b="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7780">
                          <a:solidFill>
                            <a:srgbClr val="FF0000"/>
                          </a:solidFill>
                          <a:round/>
                        </a:ln>
                      </wps:spPr>
                      <wps:bodyPr/>
                    </wps:wsp>
                  </a:graphicData>
                </a:graphic>
              </wp:anchor>
            </w:drawing>
          </mc:Choice>
          <mc:Fallback>
            <w:pict>
              <v:line id="Line 6" o:spid="_x0000_s1026" o:spt="20" style="position:absolute;left:0pt;margin-top:136.1pt;height:0pt;width:481.9pt;mso-position-horizontal:center;mso-position-vertical-relative:page;z-index:251658240;mso-width-relative:page;mso-height-relative:page;" filled="f" stroked="t" coordsize="21600,21600" o:gfxdata="UEsDBAoAAAAAAIdO4kAAAAAAAAAAAAAAAAAEAAAAZHJzL1BLAwQUAAAACACHTuJAJEFOCdcAAAAI&#10;AQAADwAAAGRycy9kb3ducmV2LnhtbE2PTUvEMBCG74L/IYzgzU1boWq36R4Kogh7sNuD3rLNbFq2&#10;mZQm+6G/3hEE9zjzDu88T7k6u1EccQ6DJwXpIgGB1HkzkFXQbp7vHkGEqMno0RMq+MIAq+r6qtSF&#10;8Sd6x2MTreASCoVW0Mc4FVKGrkenw8JPSJzt/Ox05HG20sz6xOVulFmS5NLpgfhDryese+z2zcEp&#10;+PxYv9l002Y739p1yOv65fu1Uer2Jk2WICKe4/8x/OIzOlTMtPUHMkGMClgkKsgesgwEx0/5PZts&#10;/zayKuWlQPUDUEsDBBQAAAAIAIdO4kCeiwu9rgEAAFIDAAAOAAAAZHJzL2Uyb0RvYy54bWytU82O&#10;2yAQvlfqOyDujZ2tlF1ZcfaQVfaStpF2+wATwDZaYBCQ2Hn7DuSnu+2tqg/IeGY+vh+8fJysYUcV&#10;okbX8vms5kw5gVK7vuU/XzdfHjiLCZwEg061/KQif1x9/rQcfaPucEAjVWAE4mIz+pYPKfmmqqIY&#10;lIU4Q68cFTsMFhJtQ1/JACOhW1Pd1fWiGjFIH1CoGOnr07nIVwW/65RIP7ouqsRMy4lbKmso6z6v&#10;1WoJTR/AD1pcaMA/sLCgHR16g3qCBOwQ9F9QVouAEbs0E2gr7DotVNFAaub1H2peBvCqaCFzor/Z&#10;FP8frPh+3AWmJWXHmQNLEW21U2yRnRl9bKhh7XYhaxOTe/FbFG+ROVwP4HpVGL6ePI3N80T1YSRv&#10;oif8/fgNJfXAIWGxaeqCzZBkAJtKGqdbGmpKTNDHxZws+UqhiWutguY66ENMzwotyy8tN8S5AMNx&#10;G1MmAs21JZ/jcKONKWEbx0Zie3//UJeJiEbLXM19MfT7tQnsCHRfNpuaniKLKu/bAh6cPJ9i3EV1&#10;Fnq2bI/ytAtXNyi4QudyyfLNeL8v079/hd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EFOCdcA&#10;AAAIAQAADwAAAAAAAAABACAAAAAiAAAAZHJzL2Rvd25yZXYueG1sUEsBAhQAFAAAAAgAh07iQJ6L&#10;C72uAQAAUgMAAA4AAAAAAAAAAQAgAAAAJgEAAGRycy9lMm9Eb2MueG1sUEsFBgAAAAAGAAYAWQEA&#10;AEYFAAAAAA==&#10;">
                <v:fill on="f" focussize="0,0"/>
                <v:stroke weight="1.4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560" w:lineRule="exact"/>
        <w:ind w:left="0" w:leftChars="0" w:right="0"/>
        <w:jc w:val="center"/>
        <w:textAlignment w:val="auto"/>
        <w:rPr>
          <w:rFonts w:hint="eastAsia" w:ascii="仿宋_GB2312" w:hAnsi="Calibri" w:eastAsia="仿宋_GB2312" w:cs="仿宋_GB2312"/>
          <w:b w:val="0"/>
          <w:bCs w:val="0"/>
          <w:kern w:val="0"/>
          <w:sz w:val="32"/>
          <w:szCs w:val="32"/>
          <w:lang w:val="en-US" w:eastAsia="zh-CN" w:bidi="ar-SA"/>
        </w:rPr>
      </w:pPr>
      <w:r>
        <w:rPr>
          <w:rFonts w:hint="eastAsia" w:ascii="方正小标宋简体" w:hAnsi="宋体" w:eastAsia="方正小标宋简体" w:cs="宋体"/>
          <w:kern w:val="0"/>
          <w:sz w:val="44"/>
          <w:szCs w:val="44"/>
          <w:lang w:val="en-US" w:eastAsia="zh-CN"/>
        </w:rPr>
        <w:t>丰台区农业农村局2023</w:t>
      </w:r>
      <w:r>
        <w:rPr>
          <w:rFonts w:hint="eastAsia" w:ascii="方正小标宋简体" w:hAnsi="Calibri" w:eastAsia="方正小标宋简体"/>
          <w:kern w:val="2"/>
          <w:sz w:val="44"/>
          <w:szCs w:val="44"/>
          <w:lang w:eastAsia="zh-CN"/>
        </w:rPr>
        <w:t>年法治政府建设</w:t>
      </w:r>
      <w:r>
        <w:rPr>
          <w:rFonts w:hint="eastAsia" w:ascii="方正小标宋简体" w:eastAsia="方正小标宋简体"/>
          <w:kern w:val="2"/>
          <w:sz w:val="44"/>
          <w:szCs w:val="44"/>
          <w:lang w:eastAsia="zh-CN"/>
        </w:rPr>
        <w:t>年度情况</w:t>
      </w:r>
      <w:r>
        <w:rPr>
          <w:rFonts w:hint="eastAsia" w:ascii="方正小标宋简体" w:hAnsi="Calibri" w:eastAsia="方正小标宋简体"/>
          <w:kern w:val="2"/>
          <w:sz w:val="44"/>
          <w:szCs w:val="44"/>
          <w:lang w:eastAsia="zh-CN"/>
        </w:rPr>
        <w:t>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Calibri" w:eastAsia="仿宋_GB2312" w:cs="仿宋_GB2312"/>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Calibri" w:eastAsia="仿宋_GB2312" w:cs="仿宋_GB2312"/>
          <w:b w:val="0"/>
          <w:bCs w:val="0"/>
          <w:kern w:val="0"/>
          <w:sz w:val="32"/>
          <w:szCs w:val="32"/>
          <w:lang w:val="en-US" w:eastAsia="zh-CN" w:bidi="ar-SA"/>
        </w:rPr>
      </w:pPr>
      <w:r>
        <w:rPr>
          <w:rFonts w:hint="eastAsia" w:ascii="仿宋_GB2312" w:hAnsi="Calibri" w:eastAsia="仿宋_GB2312" w:cs="仿宋_GB2312"/>
          <w:b w:val="0"/>
          <w:bCs w:val="0"/>
          <w:kern w:val="0"/>
          <w:sz w:val="32"/>
          <w:szCs w:val="32"/>
          <w:lang w:val="en-US" w:eastAsia="zh-CN" w:bidi="ar-SA"/>
        </w:rPr>
        <w:t>202</w:t>
      </w:r>
      <w:r>
        <w:rPr>
          <w:rFonts w:hint="eastAsia" w:ascii="仿宋_GB2312" w:eastAsia="仿宋_GB2312" w:cs="仿宋_GB2312"/>
          <w:b w:val="0"/>
          <w:bCs w:val="0"/>
          <w:kern w:val="0"/>
          <w:sz w:val="32"/>
          <w:szCs w:val="32"/>
          <w:lang w:val="en-US" w:eastAsia="zh-CN" w:bidi="ar-SA"/>
        </w:rPr>
        <w:t>3</w:t>
      </w:r>
      <w:r>
        <w:rPr>
          <w:rFonts w:hint="eastAsia" w:ascii="仿宋_GB2312" w:hAnsi="Calibri" w:eastAsia="仿宋_GB2312" w:cs="仿宋_GB2312"/>
          <w:b w:val="0"/>
          <w:bCs w:val="0"/>
          <w:kern w:val="0"/>
          <w:sz w:val="32"/>
          <w:szCs w:val="32"/>
          <w:lang w:val="en-US" w:eastAsia="zh-CN" w:bidi="ar-SA"/>
        </w:rPr>
        <w:t>年我局深入贯彻落实区委、区政府、市农业农村局有关行政执法相关工作精神，以保障农业生产安全、农产品质量安全深化放管服、优化营商环境为目标，认真履行农业行政执法工作职责，全局行政执法工作稳步开展，现将我局202</w:t>
      </w:r>
      <w:r>
        <w:rPr>
          <w:rFonts w:hint="eastAsia" w:ascii="仿宋_GB2312" w:eastAsia="仿宋_GB2312" w:cs="仿宋_GB2312"/>
          <w:b w:val="0"/>
          <w:bCs w:val="0"/>
          <w:kern w:val="0"/>
          <w:sz w:val="32"/>
          <w:szCs w:val="32"/>
          <w:lang w:val="en-US" w:eastAsia="zh-CN" w:bidi="ar-SA"/>
        </w:rPr>
        <w:t>3</w:t>
      </w:r>
      <w:r>
        <w:rPr>
          <w:rFonts w:hint="eastAsia" w:ascii="仿宋_GB2312" w:hAnsi="Calibri" w:eastAsia="仿宋_GB2312" w:cs="仿宋_GB2312"/>
          <w:b w:val="0"/>
          <w:bCs w:val="0"/>
          <w:kern w:val="0"/>
          <w:sz w:val="32"/>
          <w:szCs w:val="32"/>
          <w:lang w:val="en-US" w:eastAsia="zh-CN" w:bidi="ar-SA"/>
        </w:rPr>
        <w:t>年法治政府建设工作情况报告如下：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一、20</w:t>
      </w:r>
      <w:r>
        <w:rPr>
          <w:rFonts w:hint="eastAsia" w:ascii="黑体" w:hAnsi="黑体" w:eastAsia="黑体" w:cs="Calibri"/>
          <w:kern w:val="2"/>
          <w:sz w:val="32"/>
          <w:szCs w:val="32"/>
          <w:lang w:val="en-US" w:eastAsia="zh-CN"/>
        </w:rPr>
        <w:t>23</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（一）规范农业领域执法，全面提升案件质量</w:t>
      </w:r>
    </w:p>
    <w:p>
      <w:pPr>
        <w:pStyle w:val="3"/>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ascii="仿宋_GB2312" w:hAnsi="Calibri" w:eastAsia="仿宋_GB2312" w:cs="仿宋_GB2312"/>
          <w:b w:val="0"/>
          <w:bCs w:val="0"/>
          <w:kern w:val="0"/>
          <w:sz w:val="32"/>
          <w:szCs w:val="32"/>
          <w:lang w:val="en-US" w:eastAsia="zh-CN" w:bidi="ar-SA"/>
        </w:rPr>
      </w:pPr>
      <w:r>
        <w:rPr>
          <w:rFonts w:hint="eastAsia" w:ascii="方正楷体_GBK" w:hAnsi="方正楷体_GBK" w:eastAsia="方正楷体_GBK" w:cs="方正楷体_GBK"/>
          <w:sz w:val="32"/>
          <w:szCs w:val="36"/>
          <w:lang w:val="en-US" w:eastAsia="zh-CN"/>
        </w:rPr>
        <w:t xml:space="preserve">    </w:t>
      </w:r>
      <w:r>
        <w:rPr>
          <w:rFonts w:hint="eastAsia" w:ascii="仿宋_GB2312" w:hAnsi="Calibri" w:eastAsia="仿宋_GB2312" w:cs="Calibri"/>
          <w:kern w:val="0"/>
          <w:sz w:val="32"/>
          <w:szCs w:val="32"/>
          <w:lang w:val="en-US" w:eastAsia="zh-CN" w:bidi="ar-SA"/>
        </w:rPr>
        <w:t>严格贯彻落实《中华人民共和国行政处罚法》</w:t>
      </w:r>
      <w:r>
        <w:rPr>
          <w:rFonts w:hint="eastAsia" w:ascii="仿宋_GB2312" w:eastAsia="仿宋_GB2312" w:cs="Calibri"/>
          <w:kern w:val="0"/>
          <w:sz w:val="32"/>
          <w:szCs w:val="32"/>
          <w:lang w:val="en-US" w:eastAsia="zh-CN" w:bidi="ar-SA"/>
        </w:rPr>
        <w:t>、</w:t>
      </w:r>
      <w:r>
        <w:rPr>
          <w:rFonts w:hint="eastAsia" w:ascii="仿宋_GB2312" w:hAnsi="Calibri" w:eastAsia="仿宋_GB2312" w:cs="Calibri"/>
          <w:kern w:val="0"/>
          <w:sz w:val="32"/>
          <w:szCs w:val="32"/>
          <w:lang w:val="en-US" w:eastAsia="zh-CN" w:bidi="ar-SA"/>
        </w:rPr>
        <w:t>《农业行政处罚程序规定》</w:t>
      </w:r>
      <w:r>
        <w:rPr>
          <w:rFonts w:hint="eastAsia" w:ascii="仿宋_GB2312" w:eastAsia="仿宋_GB2312" w:cs="Calibri"/>
          <w:kern w:val="0"/>
          <w:sz w:val="32"/>
          <w:szCs w:val="32"/>
          <w:lang w:val="en-US" w:eastAsia="zh-CN" w:bidi="ar-SA"/>
        </w:rPr>
        <w:t>等法律法规，对执法办案流程进行反复完善打磨，强化执法风险评估防控，制发《丰台区案件审核意见书》117份。加强与兄弟单位的交流沟通，强化联合执法，</w:t>
      </w:r>
      <w:r>
        <w:rPr>
          <w:rFonts w:hint="eastAsia" w:ascii="仿宋_GB2312" w:eastAsia="仿宋_GB2312"/>
          <w:bCs/>
          <w:sz w:val="32"/>
          <w:szCs w:val="32"/>
          <w:lang w:eastAsia="zh-CN"/>
        </w:rPr>
        <w:t>今年以来</w:t>
      </w:r>
      <w:r>
        <w:rPr>
          <w:rFonts w:hint="eastAsia" w:ascii="仿宋_GB2312" w:eastAsia="仿宋_GB2312"/>
          <w:bCs/>
          <w:sz w:val="32"/>
          <w:szCs w:val="32"/>
        </w:rPr>
        <w:t>共开展联合执法</w:t>
      </w:r>
      <w:r>
        <w:rPr>
          <w:rFonts w:hint="eastAsia" w:ascii="仿宋_GB2312" w:eastAsia="仿宋_GB2312"/>
          <w:bCs/>
          <w:sz w:val="32"/>
          <w:szCs w:val="32"/>
          <w:highlight w:val="none"/>
        </w:rPr>
        <w:t>1</w:t>
      </w:r>
      <w:r>
        <w:rPr>
          <w:rFonts w:hint="eastAsia" w:ascii="仿宋_GB2312" w:eastAsia="仿宋_GB2312"/>
          <w:bCs/>
          <w:sz w:val="32"/>
          <w:szCs w:val="32"/>
          <w:highlight w:val="none"/>
          <w:lang w:eastAsia="zh-CN"/>
        </w:rPr>
        <w:t>1</w:t>
      </w:r>
      <w:r>
        <w:rPr>
          <w:rFonts w:hint="eastAsia" w:ascii="仿宋_GB2312" w:eastAsia="仿宋_GB2312"/>
          <w:bCs/>
          <w:sz w:val="32"/>
          <w:szCs w:val="32"/>
          <w:highlight w:val="none"/>
        </w:rPr>
        <w:t>个次，出动执法人员</w:t>
      </w:r>
      <w:r>
        <w:rPr>
          <w:rFonts w:hint="eastAsia" w:ascii="仿宋_GB2312" w:eastAsia="仿宋_GB2312"/>
          <w:bCs/>
          <w:sz w:val="32"/>
          <w:szCs w:val="32"/>
          <w:highlight w:val="none"/>
          <w:lang w:eastAsia="zh-CN"/>
        </w:rPr>
        <w:t>5</w:t>
      </w:r>
      <w:r>
        <w:rPr>
          <w:rFonts w:hint="eastAsia" w:ascii="仿宋_GB2312" w:eastAsia="仿宋_GB2312"/>
          <w:bCs/>
          <w:sz w:val="32"/>
          <w:szCs w:val="32"/>
          <w:highlight w:val="none"/>
          <w:lang w:val="en-US" w:eastAsia="zh-CN"/>
        </w:rPr>
        <w:t>0余</w:t>
      </w:r>
      <w:r>
        <w:rPr>
          <w:rFonts w:hint="eastAsia" w:ascii="仿宋_GB2312" w:eastAsia="仿宋_GB2312"/>
          <w:bCs/>
          <w:sz w:val="32"/>
          <w:szCs w:val="32"/>
          <w:highlight w:val="none"/>
        </w:rPr>
        <w:t>人次，查处涉嫌违法行为5起并依法</w:t>
      </w:r>
      <w:r>
        <w:rPr>
          <w:rFonts w:hint="eastAsia" w:ascii="仿宋_GB2312" w:eastAsia="仿宋_GB2312"/>
          <w:bCs/>
          <w:sz w:val="32"/>
          <w:szCs w:val="32"/>
        </w:rPr>
        <w:t>进行了立案调查，依托行刑衔接机制转办非法捕鱼案件</w:t>
      </w:r>
      <w:r>
        <w:rPr>
          <w:rFonts w:hint="eastAsia" w:ascii="仿宋_GB2312" w:eastAsia="仿宋_GB2312"/>
          <w:bCs/>
          <w:sz w:val="32"/>
          <w:szCs w:val="32"/>
          <w:lang w:val="en-US" w:eastAsia="zh-CN"/>
        </w:rPr>
        <w:t>2</w:t>
      </w:r>
      <w:r>
        <w:rPr>
          <w:rFonts w:hint="eastAsia" w:ascii="仿宋_GB2312" w:eastAsia="仿宋_GB2312"/>
          <w:bCs/>
          <w:sz w:val="32"/>
          <w:szCs w:val="32"/>
        </w:rPr>
        <w:t>件</w:t>
      </w:r>
      <w:r>
        <w:rPr>
          <w:rFonts w:hint="eastAsia" w:ascii="仿宋_GB2312" w:eastAsia="仿宋_GB2312"/>
          <w:bCs/>
          <w:sz w:val="32"/>
          <w:szCs w:val="32"/>
          <w:lang w:eastAsia="zh-CN"/>
        </w:rPr>
        <w:t>。开展农机隐患排查专项治理行动、护航春耕保障三秋专项行动等，制定农村村民住宅用地执法检查工作方案，完善联合执法机制；为加强野生动植物保护，开展了“2023绿剑行动”和“2023清风行动”。</w:t>
      </w:r>
      <w:r>
        <w:rPr>
          <w:rFonts w:hint="eastAsia" w:ascii="仿宋_GB2312" w:hAnsi="Calibri" w:eastAsia="仿宋_GB2312" w:cs="仿宋_GB2312"/>
          <w:b w:val="0"/>
          <w:bCs w:val="0"/>
          <w:kern w:val="0"/>
          <w:sz w:val="32"/>
          <w:szCs w:val="32"/>
          <w:lang w:val="en-US" w:eastAsia="zh-CN" w:bidi="ar-SA"/>
        </w:rPr>
        <w:t>2023年以来，区执法大队累计出动17293人次，开展农业农村领域执法检查5097个次，立案123起，罚没244700.47元，</w:t>
      </w:r>
      <w:r>
        <w:rPr>
          <w:rFonts w:hint="eastAsia" w:ascii="仿宋_GB2312" w:hAnsi="仿宋_GB2312" w:eastAsia="仿宋_GB2312" w:cs="仿宋_GB2312"/>
          <w:sz w:val="32"/>
          <w:szCs w:val="32"/>
        </w:rPr>
        <w:t>办案内容由单一领域向多个行业领域转变</w:t>
      </w:r>
      <w:r>
        <w:rPr>
          <w:rFonts w:hint="eastAsia" w:ascii="仿宋_GB2312" w:hAnsi="仿宋_GB2312" w:eastAsia="仿宋_GB2312" w:cs="仿宋_GB2312"/>
          <w:sz w:val="32"/>
          <w:szCs w:val="32"/>
          <w:lang w:eastAsia="zh-CN"/>
        </w:rPr>
        <w:t>，案件质量显著提升。</w:t>
      </w:r>
    </w:p>
    <w:p>
      <w:pPr>
        <w:keepNext w:val="0"/>
        <w:keepLines w:val="0"/>
        <w:pageBreakBefore w:val="0"/>
        <w:widowControl w:val="0"/>
        <w:numPr>
          <w:ilvl w:val="0"/>
          <w:numId w:val="0"/>
        </w:numPr>
        <w:kinsoku/>
        <w:wordWrap/>
        <w:overflowPunct/>
        <w:topLinePunct w:val="0"/>
        <w:autoSpaceDE/>
        <w:autoSpaceDN/>
        <w:bidi w:val="0"/>
        <w:spacing w:line="56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（二）扎实推进三项制度建设，加强信息公示</w:t>
      </w:r>
    </w:p>
    <w:p>
      <w:pPr>
        <w:pStyle w:val="3"/>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eastAsia"/>
          <w:highlight w:val="none"/>
          <w:lang w:eastAsia="zh-CN"/>
        </w:rPr>
      </w:pPr>
      <w:r>
        <w:rPr>
          <w:rFonts w:hint="eastAsia" w:ascii="仿宋_GB2312" w:hAnsi="Calibri" w:eastAsia="仿宋_GB2312" w:cs="仿宋_GB2312"/>
          <w:b w:val="0"/>
          <w:bCs w:val="0"/>
          <w:kern w:val="0"/>
          <w:sz w:val="32"/>
          <w:szCs w:val="32"/>
          <w:lang w:val="en-US" w:eastAsia="zh-CN" w:bidi="ar-SA"/>
        </w:rPr>
        <w:t>为扎实推进“三项制度”落实到位，我局制定了《丰台区农业农村局关于贯彻落实&lt;北京市行政执法公示办法&gt;&lt;北京市行政执法全过程记录办法&gt;&lt;北京市重大行政执法决定法制审核办法&gt;的实施方案》，确保依法依规开展行政执法工作。按照司法局要求，动态更新政务服务事项变化情况及办事指南，实时维护执法公示专栏，做到“主动、全面、及时、准确”。我局在执法过程中全面贯彻“监管不扰民”、“履职不随意”、“裁量不失度”的工作原则，深化落实行政检查单制度和联合检查制度、全面推行行政执法公示制度、规范行政处罚自由裁量行为，持续加强执法全过程记录，确保执法检查记录全面、过程记录完整。为进一步规范执法单位农业行政执法基本文书制作，我局成立了法制审核小组，制定了《丰台区农业农村局重大执法决定法制审核目录》，对本部门重大执法决定进行法制审核，认真查找问题，积极开展案卷评查工作，确保所有法制审核意见均纳入执法案卷且按规定填写审核意见，全面提高行政执法效能，确保“三项制度”公示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二、2023年法治政府建设存在的问题与不足</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局围绕“三农”工作扎实做好法治政府建设各项工作，取得了一定的成效，但也存在一些薄弱环节。一是行政执法中网络监管手段仍处探索阶段，经验技术不足，监管手段相对滞后。二是法治宣传力度有待加强，普法宣传方式较为单一。</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三、2023年党政主要负责人履行推进法治政府建设第一责任人职责情况</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局充分发挥领导班子在推进法治建设中的领导核心作用，贯彻落实党政主要负责人履行推进法治建设第一责任人职责，利用理论学习中心组学习、班子会前学法等机会认真组织开展习近平总书记全面依法治国新理念，深入学习、深刻领会、全面落实习近平总书记关于法治建设、“三农”工作的重要论述。进一步提高政治站位，树牢“四个意识”，坚定“四个自信”，以实际行动做到“两个维护”。</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（一）完善依法行政制度机制</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局高度重视依法行政责任制工作的落实，坚持把依法行政责任制列入了议事日程，与全局工作同安排、同部署、同考核。成立了局依法行政工作领导小组，局主要领导任组长，分管领导任副组长，领导小组办公室设在办公室，负责局依法行政统筹协调工作，进一步健全组织领导机构。每年制定局依法行政工作要点，明确年度工作任务和职责分工。</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（二）推进依法执政，狠抓法治建设重点环节</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依法执政是“法治建设”的核心内容，是法治建设的关键和着力点。一是坚持民主集中制，健全决策机制。始终坚持民主集中制，不凭主观臆断，不搞长官意志，不搞“一言堂”，严格按照决策程序办事，力求决策科学正确。凡重大事项，都在充分调查研究、广泛征求意见的基础上，通过集体研究讨论决定。二是坚持党务公开，扩大党内民主。公布党务、政务应公示的内容，广泛接受群众监督，并主动接受群众质询,不断增强党组织工作的透明度，充分发挥党内民主、扩大党员和群众的参与权、知情权和监督权，强化党内监督，提高执政能力。三是坚持督查整改，确保落实到位。对群众关心、社会关注的与群众利益息息相关的问题进行监督，排查法治建设中的突出问题，及时提出建设性的整改意见，并督促整改到位。四是强化廉政建设，推进依法执政。坚持领导干部述职述廉制度和重大事项报告制度，严格落实党风廉政建设责任制，建立健全促廉保廉机制，加大廉政宣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sz w:val="32"/>
          <w:szCs w:val="32"/>
          <w:lang w:val="en-US" w:eastAsia="zh-CN"/>
        </w:rPr>
        <w:t>强化责任担当 以更加务实有效举措推动普法工作高质量发展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1.全面落实并制定</w:t>
      </w:r>
      <w:r>
        <w:rPr>
          <w:rFonts w:hint="eastAsia" w:ascii="仿宋_GB2312" w:hAnsi="仿宋_GB2312" w:eastAsia="仿宋_GB2312" w:cs="仿宋_GB2312"/>
          <w:b/>
          <w:bCs/>
          <w:color w:val="auto"/>
          <w:sz w:val="32"/>
          <w:szCs w:val="32"/>
        </w:rPr>
        <w:t>普法依法治理工作要点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sz w:val="32"/>
          <w:szCs w:val="32"/>
          <w:lang w:val="en-US" w:eastAsia="zh-CN"/>
        </w:rPr>
        <w:t>丰台区委农工委丰台区农业农村局深入贯彻习近平法治思想，全面落实市、区法治建设的决策部署，将习近平总书记《论坚持全面依法治国》、《习近平法治思想学习纲要》作为全体党员干部的必修读物，并列为理论学习中心组学习和党支部学习的重要内容。</w:t>
      </w:r>
      <w:r>
        <w:rPr>
          <w:rFonts w:hint="eastAsia" w:ascii="仿宋_GB2312" w:hAnsi="仿宋_GB2312" w:eastAsia="仿宋_GB2312" w:cs="仿宋_GB2312"/>
          <w:b w:val="0"/>
          <w:color w:val="000000"/>
          <w:sz w:val="32"/>
          <w:szCs w:val="32"/>
        </w:rPr>
        <w:t>将习近平法治思想作为普法宣传的首要任务，纳入本</w:t>
      </w:r>
      <w:r>
        <w:rPr>
          <w:rFonts w:hint="eastAsia" w:ascii="仿宋_GB2312" w:hAnsi="仿宋_GB2312" w:eastAsia="仿宋_GB2312" w:cs="仿宋_GB2312"/>
          <w:b w:val="0"/>
          <w:color w:val="000000"/>
          <w:sz w:val="32"/>
          <w:szCs w:val="32"/>
          <w:lang w:eastAsia="zh-CN"/>
        </w:rPr>
        <w:t>局</w:t>
      </w:r>
      <w:r>
        <w:rPr>
          <w:rFonts w:hint="eastAsia" w:ascii="仿宋_GB2312" w:hAnsi="仿宋_GB2312" w:eastAsia="仿宋_GB2312" w:cs="仿宋_GB2312"/>
          <w:b w:val="0"/>
          <w:color w:val="000000"/>
          <w:sz w:val="32"/>
          <w:szCs w:val="32"/>
        </w:rPr>
        <w:t>“八五”普法规划并推动落实</w:t>
      </w:r>
      <w:r>
        <w:rPr>
          <w:rFonts w:hint="eastAsia" w:ascii="仿宋_GB2312" w:hAnsi="仿宋_GB2312" w:eastAsia="仿宋_GB2312" w:cs="仿宋_GB2312"/>
          <w:b w:val="0"/>
          <w:color w:val="000000"/>
          <w:sz w:val="32"/>
          <w:szCs w:val="32"/>
          <w:lang w:eastAsia="zh-CN"/>
        </w:rPr>
        <w:t>。认真落实</w:t>
      </w:r>
      <w:r>
        <w:rPr>
          <w:rFonts w:hint="eastAsia" w:ascii="仿宋_GB2312" w:hAnsi="仿宋_GB2312" w:eastAsia="仿宋_GB2312" w:cs="仿宋_GB2312"/>
          <w:sz w:val="32"/>
          <w:szCs w:val="32"/>
          <w:lang w:val="en-US" w:eastAsia="zh-CN" w:bidi="ar-SA"/>
        </w:rPr>
        <w:t>区</w:t>
      </w:r>
      <w:r>
        <w:rPr>
          <w:rFonts w:hint="eastAsia" w:ascii="仿宋_GB2312" w:hAnsi="仿宋_GB2312" w:eastAsia="仿宋_GB2312" w:cs="仿宋_GB2312"/>
          <w:color w:val="auto"/>
          <w:sz w:val="32"/>
          <w:szCs w:val="32"/>
        </w:rPr>
        <w:t>守法普法协调</w:t>
      </w:r>
      <w:r>
        <w:rPr>
          <w:rFonts w:hint="eastAsia" w:ascii="仿宋_GB2312" w:hAnsi="仿宋_GB2312" w:eastAsia="仿宋_GB2312" w:cs="仿宋_GB2312"/>
          <w:color w:val="auto"/>
          <w:sz w:val="32"/>
          <w:szCs w:val="32"/>
          <w:lang w:val="en-US" w:eastAsia="zh-CN"/>
        </w:rPr>
        <w:t>小组下发的《</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丰台区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五”普法年</w:t>
      </w:r>
      <w:r>
        <w:rPr>
          <w:rFonts w:hint="eastAsia" w:ascii="仿宋_GB2312" w:hAnsi="仿宋_GB2312" w:eastAsia="仿宋_GB2312" w:cs="仿宋_GB2312"/>
          <w:b w:val="0"/>
          <w:color w:val="000000"/>
          <w:sz w:val="32"/>
          <w:szCs w:val="32"/>
        </w:rPr>
        <w:t>度考核指标</w:t>
      </w:r>
      <w:r>
        <w:rPr>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年丰台区农业农村局普法依法治理工作要点》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2.党政负责人开展法治宣讲活动。</w:t>
      </w:r>
      <w:r>
        <w:rPr>
          <w:rFonts w:hint="eastAsia" w:ascii="仿宋_GB2312" w:hAnsi="仿宋_GB2312" w:eastAsia="仿宋_GB2312" w:cs="仿宋_GB2312"/>
          <w:b/>
          <w:bCs/>
          <w:color w:val="000000"/>
          <w:kern w:val="2"/>
          <w:sz w:val="32"/>
          <w:szCs w:val="32"/>
          <w:highlight w:val="none"/>
          <w:lang w:val="en-US" w:eastAsia="zh-CN" w:bidi="ar-SA"/>
        </w:rPr>
        <w:t>一是</w:t>
      </w:r>
      <w:r>
        <w:rPr>
          <w:rFonts w:hint="eastAsia" w:ascii="仿宋_GB2312" w:hAnsi="仿宋_GB2312" w:eastAsia="仿宋_GB2312" w:cs="仿宋_GB2312"/>
          <w:b w:val="0"/>
          <w:bCs w:val="0"/>
          <w:color w:val="000000"/>
          <w:kern w:val="2"/>
          <w:sz w:val="32"/>
          <w:szCs w:val="32"/>
          <w:highlight w:val="none"/>
          <w:lang w:val="en-US" w:eastAsia="zh-CN" w:bidi="ar-SA"/>
        </w:rPr>
        <w:t>积极开展学习宣传贯彻党的二十大精神活动，作为丰台区学习贯彻党的二十大精神宣讲团成员，</w:t>
      </w:r>
      <w:r>
        <w:rPr>
          <w:rFonts w:hint="eastAsia" w:ascii="仿宋_GB2312" w:hAnsi="仿宋_GB2312" w:eastAsia="仿宋_GB2312" w:cs="仿宋_GB2312"/>
          <w:kern w:val="2"/>
          <w:sz w:val="32"/>
          <w:szCs w:val="32"/>
          <w:lang w:val="en-US" w:eastAsia="zh-CN" w:bidi="ar-SA"/>
        </w:rPr>
        <w:t>区委宣讲团成员、区委农工委书记、区农业农村局局长陈阳同志在</w:t>
      </w:r>
      <w:r>
        <w:rPr>
          <w:rFonts w:hint="eastAsia" w:ascii="仿宋_GB2312" w:hAnsi="仿宋_GB2312" w:eastAsia="仿宋_GB2312" w:cs="仿宋_GB2312"/>
          <w:b w:val="0"/>
          <w:bCs w:val="0"/>
          <w:color w:val="000000"/>
          <w:kern w:val="2"/>
          <w:sz w:val="32"/>
          <w:szCs w:val="32"/>
          <w:highlight w:val="none"/>
          <w:lang w:val="en-US" w:eastAsia="zh-CN" w:bidi="ar-SA"/>
        </w:rPr>
        <w:t>东高地街</w:t>
      </w:r>
      <w:r>
        <w:rPr>
          <w:rFonts w:hint="eastAsia" w:ascii="仿宋_GB2312" w:hAnsi="仿宋_GB2312" w:eastAsia="仿宋_GB2312" w:cs="仿宋_GB2312"/>
          <w:kern w:val="2"/>
          <w:sz w:val="32"/>
          <w:szCs w:val="32"/>
          <w:lang w:val="en-US" w:eastAsia="zh-CN" w:bidi="ar-SA"/>
        </w:rPr>
        <w:t>道办事处会议室，围绕深入学习贯彻党的二十大精神为主题，从深刻理解和把握过去五年工作与新时代十年伟大变革的重大意义等方面作专题报告。</w:t>
      </w:r>
      <w:r>
        <w:rPr>
          <w:rFonts w:hint="eastAsia" w:ascii="仿宋_GB2312" w:hAnsi="仿宋_GB2312" w:eastAsia="仿宋_GB2312" w:cs="仿宋_GB2312"/>
          <w:b/>
          <w:bCs/>
          <w:sz w:val="32"/>
          <w:szCs w:val="32"/>
          <w:lang w:val="zh-CN"/>
        </w:rPr>
        <w:t>二是</w:t>
      </w:r>
      <w:r>
        <w:rPr>
          <w:rFonts w:hint="eastAsia" w:ascii="仿宋_GB2312" w:hAnsi="仿宋_GB2312" w:eastAsia="仿宋_GB2312" w:cs="仿宋_GB2312"/>
          <w:b w:val="0"/>
          <w:bCs w:val="0"/>
          <w:i w:val="0"/>
          <w:caps w:val="0"/>
          <w:color w:val="auto"/>
          <w:spacing w:val="15"/>
          <w:sz w:val="32"/>
          <w:szCs w:val="32"/>
          <w:shd w:val="clear" w:color="auto" w:fill="FFFFFF"/>
        </w:rPr>
        <w:t>以“初心如磐 使命在肩</w:t>
      </w:r>
      <w:r>
        <w:rPr>
          <w:rFonts w:hint="eastAsia" w:ascii="仿宋_GB2312" w:hAnsi="仿宋_GB2312" w:eastAsia="仿宋_GB2312" w:cs="仿宋_GB2312"/>
          <w:b w:val="0"/>
          <w:bCs w:val="0"/>
          <w:i w:val="0"/>
          <w:caps w:val="0"/>
          <w:color w:val="auto"/>
          <w:spacing w:val="15"/>
          <w:sz w:val="32"/>
          <w:szCs w:val="32"/>
          <w:shd w:val="clear" w:color="auto" w:fill="FFFFFF"/>
          <w:lang w:val="en-US" w:eastAsia="zh-CN"/>
        </w:rPr>
        <w:t xml:space="preserve"> </w:t>
      </w:r>
      <w:r>
        <w:rPr>
          <w:rFonts w:hint="eastAsia" w:ascii="仿宋_GB2312" w:hAnsi="仿宋_GB2312" w:eastAsia="仿宋_GB2312" w:cs="仿宋_GB2312"/>
          <w:b w:val="0"/>
          <w:bCs w:val="0"/>
          <w:i w:val="0"/>
          <w:caps w:val="0"/>
          <w:color w:val="auto"/>
          <w:spacing w:val="15"/>
          <w:sz w:val="32"/>
          <w:szCs w:val="32"/>
          <w:shd w:val="clear" w:color="auto" w:fill="FFFFFF"/>
        </w:rPr>
        <w:t>奋力开创农业农村高质量发展新局面”为题</w:t>
      </w:r>
      <w:r>
        <w:rPr>
          <w:rFonts w:hint="eastAsia" w:ascii="仿宋_GB2312" w:hAnsi="仿宋_GB2312" w:eastAsia="仿宋_GB2312" w:cs="仿宋_GB2312"/>
          <w:b w:val="0"/>
          <w:bCs w:val="0"/>
          <w:i w:val="0"/>
          <w:caps w:val="0"/>
          <w:color w:val="auto"/>
          <w:spacing w:val="15"/>
          <w:sz w:val="32"/>
          <w:szCs w:val="32"/>
          <w:shd w:val="clear" w:color="auto" w:fill="FFFFFF"/>
          <w:lang w:eastAsia="zh-CN"/>
        </w:rPr>
        <w:t>，</w:t>
      </w:r>
      <w:r>
        <w:rPr>
          <w:rFonts w:hint="eastAsia" w:ascii="仿宋_GB2312" w:hAnsi="仿宋_GB2312" w:eastAsia="仿宋_GB2312" w:cs="仿宋_GB2312"/>
          <w:b w:val="0"/>
          <w:bCs w:val="0"/>
          <w:i w:val="0"/>
          <w:caps w:val="0"/>
          <w:color w:val="auto"/>
          <w:spacing w:val="15"/>
          <w:sz w:val="32"/>
          <w:szCs w:val="32"/>
          <w:shd w:val="clear" w:color="auto" w:fill="FFFFFF"/>
        </w:rPr>
        <w:t>深入解读</w:t>
      </w:r>
      <w:r>
        <w:rPr>
          <w:rFonts w:hint="eastAsia" w:ascii="仿宋_GB2312" w:hAnsi="仿宋_GB2312" w:eastAsia="仿宋_GB2312" w:cs="仿宋_GB2312"/>
          <w:b w:val="0"/>
          <w:bCs w:val="0"/>
          <w:i w:val="0"/>
          <w:caps w:val="0"/>
          <w:color w:val="auto"/>
          <w:spacing w:val="15"/>
          <w:sz w:val="32"/>
          <w:szCs w:val="32"/>
          <w:shd w:val="clear" w:color="auto" w:fill="FFFFFF"/>
          <w:lang w:val="en-US" w:eastAsia="zh-CN"/>
        </w:rPr>
        <w:t>了区委全会</w:t>
      </w:r>
      <w:r>
        <w:rPr>
          <w:rFonts w:hint="eastAsia" w:ascii="仿宋_GB2312" w:hAnsi="仿宋_GB2312" w:eastAsia="仿宋_GB2312" w:cs="仿宋_GB2312"/>
          <w:b w:val="0"/>
          <w:bCs w:val="0"/>
          <w:i w:val="0"/>
          <w:caps w:val="0"/>
          <w:color w:val="auto"/>
          <w:spacing w:val="15"/>
          <w:sz w:val="32"/>
          <w:szCs w:val="32"/>
          <w:shd w:val="clear" w:color="auto" w:fill="FFFFFF"/>
        </w:rPr>
        <w:t>精神</w:t>
      </w:r>
      <w:r>
        <w:rPr>
          <w:rFonts w:hint="eastAsia" w:ascii="仿宋_GB2312" w:hAnsi="仿宋_GB2312" w:eastAsia="仿宋_GB2312" w:cs="仿宋_GB2312"/>
          <w:b w:val="0"/>
          <w:bCs w:val="0"/>
          <w:i w:val="0"/>
          <w:caps w:val="0"/>
          <w:color w:val="auto"/>
          <w:spacing w:val="15"/>
          <w:sz w:val="32"/>
          <w:szCs w:val="32"/>
          <w:shd w:val="clear" w:color="auto" w:fill="FFFFFF"/>
          <w:lang w:val="en-US" w:eastAsia="zh-CN"/>
        </w:rPr>
        <w:t>及工作要求</w:t>
      </w:r>
      <w:r>
        <w:rPr>
          <w:rFonts w:hint="eastAsia" w:ascii="仿宋_GB2312" w:hAnsi="仿宋_GB2312" w:eastAsia="仿宋_GB2312" w:cs="仿宋_GB2312"/>
          <w:b w:val="0"/>
          <w:bCs w:val="0"/>
          <w:i w:val="0"/>
          <w:caps w:val="0"/>
          <w:color w:val="auto"/>
          <w:spacing w:val="15"/>
          <w:sz w:val="32"/>
          <w:szCs w:val="32"/>
          <w:shd w:val="clear" w:color="auto" w:fill="FFFFFF"/>
        </w:rPr>
        <w:t>，详细</w:t>
      </w:r>
      <w:r>
        <w:rPr>
          <w:rFonts w:hint="eastAsia" w:ascii="仿宋_GB2312" w:hAnsi="仿宋_GB2312" w:eastAsia="仿宋_GB2312" w:cs="仿宋_GB2312"/>
          <w:b w:val="0"/>
          <w:bCs w:val="0"/>
          <w:i w:val="0"/>
          <w:caps w:val="0"/>
          <w:color w:val="auto"/>
          <w:spacing w:val="15"/>
          <w:sz w:val="32"/>
          <w:szCs w:val="32"/>
          <w:shd w:val="clear" w:color="auto" w:fill="FFFFFF"/>
          <w:lang w:val="en-US" w:eastAsia="zh-CN"/>
        </w:rPr>
        <w:t>分析了以“合作发展”赋能丰台“倍增追赶”的高质量跨越式发展道路和实施路径</w:t>
      </w:r>
      <w:r>
        <w:rPr>
          <w:rFonts w:hint="eastAsia" w:ascii="仿宋_GB2312" w:hAnsi="仿宋_GB2312" w:eastAsia="仿宋_GB2312" w:cs="仿宋_GB2312"/>
          <w:b w:val="0"/>
          <w:bCs w:val="0"/>
          <w:i w:val="0"/>
          <w:caps w:val="0"/>
          <w:color w:val="auto"/>
          <w:spacing w:val="15"/>
          <w:sz w:val="32"/>
          <w:szCs w:val="32"/>
          <w:shd w:val="clear" w:color="auto" w:fill="FFFFFF"/>
        </w:rPr>
        <w:t>，给</w:t>
      </w:r>
      <w:r>
        <w:rPr>
          <w:rFonts w:hint="eastAsia" w:ascii="仿宋_GB2312" w:hAnsi="仿宋_GB2312" w:eastAsia="仿宋_GB2312" w:cs="仿宋_GB2312"/>
          <w:b w:val="0"/>
          <w:bCs w:val="0"/>
          <w:i w:val="0"/>
          <w:caps w:val="0"/>
          <w:color w:val="auto"/>
          <w:spacing w:val="15"/>
          <w:sz w:val="32"/>
          <w:szCs w:val="32"/>
          <w:shd w:val="clear" w:color="auto" w:fill="FFFFFF"/>
          <w:lang w:eastAsia="zh-CN"/>
        </w:rPr>
        <w:t>局系统</w:t>
      </w:r>
      <w:r>
        <w:rPr>
          <w:rFonts w:hint="eastAsia" w:ascii="仿宋_GB2312" w:hAnsi="仿宋_GB2312" w:eastAsia="仿宋_GB2312" w:cs="仿宋_GB2312"/>
          <w:b w:val="0"/>
          <w:bCs w:val="0"/>
          <w:i w:val="0"/>
          <w:caps w:val="0"/>
          <w:color w:val="auto"/>
          <w:spacing w:val="15"/>
          <w:sz w:val="32"/>
          <w:szCs w:val="32"/>
          <w:shd w:val="clear" w:color="auto" w:fill="FFFFFF"/>
        </w:rPr>
        <w:t>党员干部上了一堂带着泥土气息的生动党课</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加强法治乡村建设</w:t>
      </w:r>
      <w:r>
        <w:rPr>
          <w:rFonts w:hint="eastAsia" w:ascii="仿宋_GB2312" w:hAnsi="仿宋_GB2312" w:eastAsia="仿宋_GB2312" w:cs="仿宋_GB2312"/>
          <w:b/>
          <w:bCs/>
          <w:color w:val="000000"/>
          <w:sz w:val="32"/>
          <w:szCs w:val="32"/>
          <w:highlight w:val="none"/>
          <w:lang w:val="en-US" w:eastAsia="zh-CN"/>
        </w:rPr>
        <w:t xml:space="preserve"> 助力全面推进乡村振兴。</w:t>
      </w:r>
      <w:r>
        <w:rPr>
          <w:rFonts w:hint="eastAsia" w:ascii="仿宋_GB2312" w:hAnsi="仿宋_GB2312" w:eastAsia="仿宋_GB2312" w:cs="仿宋_GB2312"/>
          <w:b/>
          <w:bCs/>
          <w:sz w:val="32"/>
          <w:szCs w:val="32"/>
          <w:lang w:val="en-US" w:eastAsia="zh-CN"/>
        </w:rPr>
        <w:t>一是超额完成</w:t>
      </w:r>
      <w:r>
        <w:rPr>
          <w:rFonts w:hint="eastAsia" w:ascii="仿宋_GB2312" w:hAnsi="仿宋_GB2312" w:eastAsia="仿宋_GB2312" w:cs="仿宋_GB2312"/>
          <w:b/>
          <w:bCs/>
          <w:color w:val="000000"/>
          <w:sz w:val="32"/>
          <w:szCs w:val="32"/>
          <w:lang w:eastAsia="zh-CN"/>
        </w:rPr>
        <w:t>培育农村学法用法示范户工作任务指标。</w:t>
      </w:r>
      <w:r>
        <w:rPr>
          <w:rFonts w:hint="eastAsia" w:ascii="仿宋_GB2312" w:hAnsi="仿宋_GB2312" w:eastAsia="仿宋_GB2312" w:cs="仿宋_GB2312"/>
          <w:b w:val="0"/>
          <w:bCs w:val="0"/>
          <w:color w:val="000000"/>
          <w:sz w:val="32"/>
          <w:szCs w:val="32"/>
          <w:lang w:eastAsia="zh-CN"/>
        </w:rPr>
        <w:t>根据</w:t>
      </w:r>
      <w:r>
        <w:rPr>
          <w:rFonts w:hint="eastAsia" w:ascii="仿宋_GB2312" w:hAnsi="仿宋_GB2312" w:eastAsia="仿宋_GB2312" w:cs="仿宋_GB2312"/>
          <w:sz w:val="32"/>
          <w:szCs w:val="32"/>
          <w:lang w:eastAsia="zh-CN"/>
        </w:rPr>
        <w:t>我局和丰台区司法局联合印发的《丰台区培育农村学法用法示范户实施方案》（丰政农发〔2022〕10 号）</w:t>
      </w:r>
      <w:r>
        <w:rPr>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b w:val="0"/>
          <w:bCs w:val="0"/>
          <w:color w:val="000000"/>
          <w:sz w:val="32"/>
          <w:szCs w:val="32"/>
          <w:lang w:eastAsia="zh-CN"/>
        </w:rPr>
        <w:t>我区</w:t>
      </w:r>
      <w:r>
        <w:rPr>
          <w:rFonts w:hint="eastAsia" w:ascii="仿宋_GB2312" w:hAnsi="仿宋_GB2312" w:eastAsia="仿宋_GB2312" w:cs="仿宋_GB2312"/>
          <w:b w:val="0"/>
          <w:bCs w:val="0"/>
          <w:color w:val="000000"/>
          <w:sz w:val="32"/>
          <w:szCs w:val="32"/>
          <w:highlight w:val="none"/>
          <w:lang w:val="en-US" w:eastAsia="zh-CN"/>
        </w:rPr>
        <w:t>2022年-2025年需完成全部56个行政村的培育工作。截止到2023年，完成49个行政村59户农村学法用法示范户认定工作，超额完成任务指标。</w:t>
      </w:r>
      <w:r>
        <w:rPr>
          <w:rFonts w:hint="eastAsia" w:ascii="仿宋_GB2312" w:hAnsi="仿宋_GB2312" w:eastAsia="仿宋_GB2312" w:cs="仿宋_GB2312"/>
          <w:b/>
          <w:bCs/>
          <w:color w:val="000000"/>
          <w:sz w:val="32"/>
          <w:szCs w:val="32"/>
          <w:highlight w:val="none"/>
          <w:lang w:eastAsia="zh-CN"/>
        </w:rPr>
        <w:t>二是</w:t>
      </w:r>
      <w:r>
        <w:rPr>
          <w:rFonts w:hint="eastAsia" w:ascii="仿宋_GB2312" w:hAnsi="仿宋_GB2312" w:eastAsia="仿宋_GB2312" w:cs="仿宋_GB2312"/>
          <w:b/>
          <w:bCs/>
          <w:kern w:val="0"/>
          <w:sz w:val="32"/>
          <w:szCs w:val="32"/>
          <w:lang w:val="en-US" w:eastAsia="zh-CN" w:bidi="ar-SA"/>
        </w:rPr>
        <w:t>积极开展“法律进乡村”活动。</w:t>
      </w:r>
      <w:r>
        <w:rPr>
          <w:rFonts w:hint="eastAsia" w:ascii="仿宋_GB2312" w:hAnsi="仿宋_GB2312" w:eastAsia="仿宋_GB2312" w:cs="仿宋_GB2312"/>
          <w:b w:val="0"/>
          <w:strike w:val="0"/>
          <w:dstrike w:val="0"/>
          <w:color w:val="000000"/>
          <w:sz w:val="32"/>
          <w:szCs w:val="32"/>
          <w:lang w:val="en-US" w:eastAsia="zh-CN"/>
        </w:rPr>
        <w:t>紧紧围绕农村群众关心的涉法问题和网络热点问题，通过</w:t>
      </w:r>
      <w:r>
        <w:rPr>
          <w:rFonts w:hint="eastAsia" w:ascii="仿宋_GB2312" w:hAnsi="仿宋_GB2312" w:eastAsia="仿宋_GB2312" w:cs="仿宋_GB2312"/>
          <w:b w:val="0"/>
          <w:bCs/>
          <w:sz w:val="32"/>
          <w:lang w:val="en-US" w:eastAsia="zh-CN"/>
        </w:rPr>
        <w:t>“听党话、感党恩、跟党走”宣传教育活动；</w:t>
      </w:r>
      <w:r>
        <w:rPr>
          <w:rFonts w:hint="eastAsia" w:ascii="仿宋_GB2312" w:hAnsi="仿宋_GB2312" w:eastAsia="仿宋_GB2312" w:cs="仿宋_GB2312"/>
          <w:color w:val="000000"/>
          <w:sz w:val="32"/>
          <w:szCs w:val="32"/>
        </w:rPr>
        <w:t>“美丽乡村健康跑”</w:t>
      </w:r>
      <w:r>
        <w:rPr>
          <w:rFonts w:hint="eastAsia" w:ascii="仿宋_GB2312" w:hAnsi="仿宋_GB2312" w:eastAsia="仿宋_GB2312" w:cs="仿宋_GB2312"/>
          <w:color w:val="000000"/>
          <w:sz w:val="32"/>
          <w:szCs w:val="32"/>
          <w:lang w:eastAsia="zh-CN"/>
        </w:rPr>
        <w:t>活动；</w:t>
      </w:r>
      <w:r>
        <w:rPr>
          <w:rFonts w:hint="eastAsia" w:ascii="仿宋_GB2312" w:hAnsi="仿宋_GB2312" w:eastAsia="仿宋_GB2312" w:cs="仿宋_GB2312"/>
          <w:color w:val="000000"/>
          <w:sz w:val="32"/>
          <w:szCs w:val="32"/>
          <w:lang w:val="en-US" w:eastAsia="zh-CN"/>
        </w:rPr>
        <w:t>“惊蛰”、“立冬”节气宣传活动；</w:t>
      </w:r>
      <w:r>
        <w:rPr>
          <w:rFonts w:hint="eastAsia" w:ascii="仿宋_GB2312" w:hAnsi="仿宋_GB2312" w:eastAsia="仿宋_GB2312" w:cs="仿宋_GB2312"/>
          <w:color w:val="000000"/>
          <w:sz w:val="32"/>
          <w:szCs w:val="32"/>
          <w:lang w:eastAsia="zh-CN"/>
        </w:rPr>
        <w:t>丰台区第</w:t>
      </w:r>
      <w:r>
        <w:rPr>
          <w:rFonts w:hint="eastAsia" w:ascii="仿宋_GB2312" w:hAnsi="仿宋_GB2312" w:eastAsia="仿宋_GB2312" w:cs="仿宋_GB2312"/>
          <w:color w:val="000000"/>
          <w:sz w:val="32"/>
          <w:szCs w:val="32"/>
          <w:lang w:val="en-US" w:eastAsia="zh-CN"/>
        </w:rPr>
        <w:t>34届</w:t>
      </w:r>
      <w:r>
        <w:rPr>
          <w:rFonts w:hint="eastAsia" w:ascii="仿宋_GB2312" w:hAnsi="仿宋_GB2312" w:eastAsia="仿宋_GB2312" w:cs="仿宋_GB2312"/>
          <w:bCs/>
          <w:color w:val="auto"/>
          <w:sz w:val="32"/>
          <w:szCs w:val="32"/>
          <w:highlight w:val="none"/>
          <w:lang w:eastAsia="zh-CN"/>
        </w:rPr>
        <w:t>北京</w:t>
      </w:r>
      <w:r>
        <w:rPr>
          <w:rFonts w:hint="eastAsia" w:ascii="仿宋_GB2312" w:hAnsi="仿宋_GB2312" w:eastAsia="仿宋_GB2312" w:cs="仿宋_GB2312"/>
          <w:bCs/>
          <w:color w:val="auto"/>
          <w:sz w:val="32"/>
          <w:szCs w:val="32"/>
          <w:highlight w:val="none"/>
        </w:rPr>
        <w:t>农民艺术节</w:t>
      </w:r>
      <w:r>
        <w:rPr>
          <w:rFonts w:hint="eastAsia" w:ascii="仿宋_GB2312" w:hAnsi="仿宋_GB2312" w:eastAsia="仿宋_GB2312" w:cs="仿宋_GB2312"/>
          <w:bCs/>
          <w:color w:val="auto"/>
          <w:sz w:val="32"/>
          <w:szCs w:val="32"/>
          <w:highlight w:val="none"/>
          <w:lang w:eastAsia="zh-CN"/>
        </w:rPr>
        <w:t>“乡村大舞台”展演活动等，将法治宣传教育与文艺演出相结合，让普法形式更接地气，</w:t>
      </w:r>
      <w:r>
        <w:rPr>
          <w:rFonts w:hint="eastAsia" w:ascii="仿宋_GB2312" w:hAnsi="仿宋_GB2312" w:eastAsia="仿宋_GB2312" w:cs="仿宋_GB2312"/>
          <w:b w:val="0"/>
          <w:strike w:val="0"/>
          <w:dstrike w:val="0"/>
          <w:color w:val="000000"/>
          <w:sz w:val="32"/>
          <w:szCs w:val="32"/>
          <w:lang w:val="en-US" w:eastAsia="zh-CN"/>
        </w:rPr>
        <w:t>深入田间地头、进乡村、进涉农企业广泛讲解法律法规和典型教育案例，进行权威法律解读，开展普法释法活动，</w:t>
      </w:r>
      <w:r>
        <w:rPr>
          <w:rFonts w:hint="eastAsia" w:ascii="仿宋_GB2312" w:hAnsi="仿宋_GB2312" w:eastAsia="仿宋_GB2312" w:cs="仿宋_GB2312"/>
          <w:bCs/>
          <w:color w:val="auto"/>
          <w:sz w:val="32"/>
          <w:szCs w:val="32"/>
          <w:highlight w:val="none"/>
          <w:lang w:eastAsia="zh-CN"/>
        </w:rPr>
        <w:t>促进法治意识深入人心，营造浓厚的乡村法治文化氛围，</w:t>
      </w:r>
      <w:r>
        <w:rPr>
          <w:rFonts w:hint="eastAsia" w:ascii="仿宋_GB2312" w:hAnsi="仿宋_GB2312" w:eastAsia="仿宋_GB2312" w:cs="仿宋_GB2312"/>
          <w:b w:val="0"/>
          <w:strike w:val="0"/>
          <w:dstrike w:val="0"/>
          <w:color w:val="000000"/>
          <w:sz w:val="32"/>
          <w:szCs w:val="32"/>
          <w:lang w:val="en-US" w:eastAsia="zh-CN"/>
        </w:rPr>
        <w:t>为实施乡村振兴战略营造良好的法治环境。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四、2024年法治政府建设工作初步安排</w:t>
      </w:r>
    </w:p>
    <w:p>
      <w:pPr>
        <w:pStyle w:val="2"/>
        <w:keepNext w:val="0"/>
        <w:keepLines w:val="0"/>
        <w:pageBreakBefore w:val="0"/>
        <w:widowControl w:val="0"/>
        <w:numPr>
          <w:ilvl w:val="0"/>
          <w:numId w:val="0"/>
        </w:numPr>
        <w:kinsoku/>
        <w:wordWrap/>
        <w:overflowPunct/>
        <w:topLinePunct w:val="0"/>
        <w:bidi w:val="0"/>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sz w:val="32"/>
          <w:szCs w:val="32"/>
          <w:lang w:val="en-US" w:eastAsia="zh-CN"/>
        </w:rPr>
        <w:t>我局将深入依法行政工作，认真梳理总结各项任务指标，着重抓好以下三方面工作：一是加大执法培训力度，定期开展执法业务、新技术培训，组织落实案卷评查及组织案件研讨分析会议。二是依法严格开展执法工作。依法严厉打击各类涉农违法行为，精心组织各类专项行动。三是</w:t>
      </w:r>
      <w:r>
        <w:rPr>
          <w:rFonts w:hint="eastAsia" w:ascii="仿宋_GB2312" w:hAnsi="仿宋_GB2312" w:eastAsia="仿宋_GB2312" w:cs="仿宋_GB2312"/>
          <w:b w:val="0"/>
          <w:bCs/>
          <w:sz w:val="32"/>
          <w:szCs w:val="32"/>
          <w:lang w:val="en-US" w:eastAsia="zh-CN"/>
        </w:rPr>
        <w:t xml:space="preserve">结合监管行业具体实际情况，将普法宣传工作不断向纵深延伸。                    </w:t>
      </w: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jc w:val="right"/>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北京市丰台区农业农村局</w:t>
      </w: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rPr>
          <w:rFonts w:hint="default"/>
          <w:lang w:val="en-US" w:eastAsia="zh-CN"/>
        </w:rPr>
      </w:pPr>
      <w:r>
        <w:rPr>
          <w:rFonts w:hint="eastAsia" w:ascii="FangSong_GB2312" w:hAnsi="FangSong_GB2312" w:eastAsia="FangSong_GB2312" w:cs="宋体"/>
          <w:kern w:val="2"/>
          <w:sz w:val="32"/>
          <w:szCs w:val="22"/>
          <w:lang w:val="en-US" w:eastAsia="zh-CN" w:bidi="ar-SA"/>
        </w:rPr>
        <w:t xml:space="preserve">                                       2022年12月13日</w:t>
      </w:r>
    </w:p>
    <w:p>
      <w:pPr>
        <w:keepNext w:val="0"/>
        <w:keepLines w:val="0"/>
        <w:pageBreakBefore w:val="0"/>
        <w:widowControl w:val="0"/>
        <w:kinsoku/>
        <w:wordWrap/>
        <w:overflowPunct/>
        <w:topLinePunct w:val="0"/>
        <w:autoSpaceDE/>
        <w:autoSpaceDN/>
        <w:bidi w:val="0"/>
        <w:spacing w:line="560" w:lineRule="exact"/>
        <w:ind w:left="0" w:leftChars="0" w:right="0"/>
        <w:jc w:val="both"/>
        <w:textAlignment w:val="auto"/>
      </w:pPr>
    </w:p>
    <w:p>
      <w:pPr>
        <w:keepNext w:val="0"/>
        <w:keepLines w:val="0"/>
        <w:pageBreakBefore w:val="0"/>
        <w:widowControl w:val="0"/>
        <w:kinsoku/>
        <w:wordWrap/>
        <w:overflowPunct/>
        <w:topLinePunct w:val="0"/>
        <w:bidi w:val="0"/>
        <w:snapToGrid w:val="0"/>
        <w:spacing w:line="560" w:lineRule="exact"/>
        <w:ind w:firstLine="640" w:firstLineChars="200"/>
        <w:jc w:val="both"/>
        <w:rPr>
          <w:rFonts w:ascii="仿宋_GB2312" w:hAnsi="仿宋" w:eastAsia="仿宋_GB2312"/>
          <w:szCs w:val="32"/>
        </w:rPr>
      </w:pPr>
    </w:p>
    <w:p>
      <w:pPr>
        <w:pStyle w:val="3"/>
        <w:keepNext w:val="0"/>
        <w:keepLines w:val="0"/>
        <w:pageBreakBefore w:val="0"/>
        <w:widowControl w:val="0"/>
        <w:kinsoku/>
        <w:wordWrap/>
        <w:overflowPunct/>
        <w:topLinePunct w:val="0"/>
        <w:bidi w:val="0"/>
        <w:spacing w:line="560" w:lineRule="exact"/>
        <w:jc w:val="both"/>
        <w:rPr>
          <w:rFonts w:ascii="仿宋_GB2312" w:hAnsi="宋体" w:eastAsia="仿宋_GB2312"/>
          <w:kern w:val="0"/>
          <w:szCs w:val="32"/>
        </w:rPr>
      </w:pPr>
    </w:p>
    <w:sectPr>
      <w:footerReference r:id="rId3" w:type="default"/>
      <w:footerReference r:id="rId4" w:type="even"/>
      <w:endnotePr>
        <w:numFmt w:val="decimal"/>
      </w:endnotePr>
      <w:pgSz w:w="11907" w:h="16840"/>
      <w:pgMar w:top="1701" w:right="1474" w:bottom="1134" w:left="1588" w:header="851" w:footer="737" w:gutter="0"/>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981" w:wrap="around" w:vAnchor="text" w:hAnchor="page" w:x="9186" w:yAlign="bottom"/>
    </w:pPr>
    <w:r>
      <w:rPr>
        <w:rStyle w:val="17"/>
        <w:rFonts w:hint="eastAsia"/>
        <w:sz w:val="28"/>
        <w:szCs w:val="28"/>
      </w:rPr>
      <w:t xml:space="preserve">— </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1</w:t>
    </w:r>
    <w:r>
      <w:rPr>
        <w:rFonts w:ascii="宋体" w:hAnsi="宋体"/>
        <w:sz w:val="28"/>
        <w:szCs w:val="28"/>
        <w:lang w:eastAsia="en-US"/>
      </w:rPr>
      <w:fldChar w:fldCharType="end"/>
    </w:r>
    <w:r>
      <w:rPr>
        <w:rFonts w:hint="eastAsia" w:ascii="宋体" w:hAnsi="宋体"/>
        <w:sz w:val="28"/>
        <w:szCs w:val="28"/>
      </w:rPr>
      <w:t xml:space="preserve"> </w:t>
    </w:r>
    <w:r>
      <w:rPr>
        <w:rStyle w:val="17"/>
        <w:rFonts w:hint="eastAsia"/>
        <w:sz w:val="28"/>
        <w:szCs w:val="28"/>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279" w:wrap="around" w:vAnchor="text" w:hAnchor="margin" w:xAlign="outside" w:y="5"/>
      <w:ind w:firstLine="280" w:firstLineChars="100"/>
    </w:pPr>
    <w:r>
      <w:rPr>
        <w:rStyle w:val="17"/>
        <w:rFonts w:hint="eastAsia"/>
        <w:sz w:val="28"/>
        <w:szCs w:val="28"/>
      </w:rPr>
      <w:t xml:space="preserve">— </w:t>
    </w:r>
    <w:r>
      <w:rPr>
        <w:rFonts w:ascii="宋体" w:hAnsi="宋体"/>
        <w:sz w:val="28"/>
        <w:szCs w:val="28"/>
        <w:lang w:eastAsia="en-US"/>
      </w:rPr>
      <w:fldChar w:fldCharType="begin"/>
    </w:r>
    <w:r>
      <w:rPr>
        <w:rFonts w:ascii="宋体" w:hAnsi="宋体"/>
        <w:sz w:val="28"/>
        <w:szCs w:val="28"/>
        <w:lang w:eastAsia="en-US"/>
      </w:rPr>
      <w:instrText xml:space="preserve"> PAGE </w:instrText>
    </w:r>
    <w:r>
      <w:rPr>
        <w:rFonts w:ascii="宋体" w:hAnsi="宋体"/>
        <w:sz w:val="28"/>
        <w:szCs w:val="28"/>
        <w:lang w:eastAsia="en-US"/>
      </w:rPr>
      <w:fldChar w:fldCharType="separate"/>
    </w:r>
    <w:r>
      <w:rPr>
        <w:rFonts w:ascii="宋体" w:hAnsi="宋体"/>
        <w:sz w:val="28"/>
        <w:szCs w:val="28"/>
        <w:lang w:eastAsia="en-US"/>
      </w:rPr>
      <w:t>6</w:t>
    </w:r>
    <w:r>
      <w:rPr>
        <w:rFonts w:ascii="宋体" w:hAnsi="宋体"/>
        <w:sz w:val="28"/>
        <w:szCs w:val="28"/>
        <w:lang w:eastAsia="en-US"/>
      </w:rPr>
      <w:fldChar w:fldCharType="end"/>
    </w:r>
    <w:r>
      <w:rPr>
        <w:rFonts w:hint="eastAsia" w:ascii="宋体" w:hAnsi="宋体"/>
        <w:sz w:val="28"/>
        <w:szCs w:val="28"/>
      </w:rPr>
      <w:t xml:space="preserve"> </w:t>
    </w:r>
    <w:r>
      <w:rPr>
        <w:rStyle w:val="17"/>
        <w:rFonts w:hint="eastAsia"/>
        <w:sz w:val="28"/>
        <w:szCs w:val="28"/>
      </w:rPr>
      <w:t>—</w:t>
    </w:r>
  </w:p>
  <w:p>
    <w:pPr>
      <w:pStyle w:val="11"/>
      <w:ind w:right="360" w:firstLine="360"/>
      <w:rPr>
        <w:rFonts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320"/>
  <w:drawingGridVerticalSpacing w:val="280"/>
  <w:displayHorizontalDrawingGridEvery w:val="2"/>
  <w:displayVerticalDrawingGridEvery w:val="2"/>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98"/>
    <w:rsid w:val="00024B09"/>
    <w:rsid w:val="000501D0"/>
    <w:rsid w:val="00051D39"/>
    <w:rsid w:val="0006405F"/>
    <w:rsid w:val="00074F55"/>
    <w:rsid w:val="000813E9"/>
    <w:rsid w:val="0008254A"/>
    <w:rsid w:val="00090BFB"/>
    <w:rsid w:val="000949D0"/>
    <w:rsid w:val="000A516F"/>
    <w:rsid w:val="000B2C16"/>
    <w:rsid w:val="000B42F6"/>
    <w:rsid w:val="00127136"/>
    <w:rsid w:val="001431CA"/>
    <w:rsid w:val="00154914"/>
    <w:rsid w:val="001734DA"/>
    <w:rsid w:val="00174616"/>
    <w:rsid w:val="00196ABD"/>
    <w:rsid w:val="001A08F7"/>
    <w:rsid w:val="001A2EF8"/>
    <w:rsid w:val="001A3267"/>
    <w:rsid w:val="001A5AEE"/>
    <w:rsid w:val="001D3E0A"/>
    <w:rsid w:val="001D49B5"/>
    <w:rsid w:val="001D634D"/>
    <w:rsid w:val="001E7667"/>
    <w:rsid w:val="00207150"/>
    <w:rsid w:val="00212226"/>
    <w:rsid w:val="00233BA4"/>
    <w:rsid w:val="002526DD"/>
    <w:rsid w:val="002530E7"/>
    <w:rsid w:val="00285E68"/>
    <w:rsid w:val="002A3ED2"/>
    <w:rsid w:val="002D39A8"/>
    <w:rsid w:val="002E7307"/>
    <w:rsid w:val="002F6533"/>
    <w:rsid w:val="00321CF0"/>
    <w:rsid w:val="00323D2B"/>
    <w:rsid w:val="0034716C"/>
    <w:rsid w:val="00366EDF"/>
    <w:rsid w:val="00396A79"/>
    <w:rsid w:val="003A0E9D"/>
    <w:rsid w:val="003A1637"/>
    <w:rsid w:val="003A722D"/>
    <w:rsid w:val="003B34D1"/>
    <w:rsid w:val="003D198E"/>
    <w:rsid w:val="003D4CA2"/>
    <w:rsid w:val="003F5646"/>
    <w:rsid w:val="003F7DF5"/>
    <w:rsid w:val="00434709"/>
    <w:rsid w:val="00443936"/>
    <w:rsid w:val="00444BA6"/>
    <w:rsid w:val="00455CC0"/>
    <w:rsid w:val="0046285A"/>
    <w:rsid w:val="0049670C"/>
    <w:rsid w:val="004A596F"/>
    <w:rsid w:val="004B548D"/>
    <w:rsid w:val="004C6448"/>
    <w:rsid w:val="004D7E3E"/>
    <w:rsid w:val="004F15C5"/>
    <w:rsid w:val="005058F9"/>
    <w:rsid w:val="00536B93"/>
    <w:rsid w:val="0054593D"/>
    <w:rsid w:val="005765F6"/>
    <w:rsid w:val="005B72B2"/>
    <w:rsid w:val="005C4885"/>
    <w:rsid w:val="005C6CFF"/>
    <w:rsid w:val="005D3EA6"/>
    <w:rsid w:val="00616C17"/>
    <w:rsid w:val="0063014B"/>
    <w:rsid w:val="0063063A"/>
    <w:rsid w:val="0066547E"/>
    <w:rsid w:val="00673424"/>
    <w:rsid w:val="006A0D17"/>
    <w:rsid w:val="006A7812"/>
    <w:rsid w:val="006B1B1B"/>
    <w:rsid w:val="006E5C33"/>
    <w:rsid w:val="006E78D6"/>
    <w:rsid w:val="00721B0B"/>
    <w:rsid w:val="0073336E"/>
    <w:rsid w:val="007602DE"/>
    <w:rsid w:val="00764616"/>
    <w:rsid w:val="00783D63"/>
    <w:rsid w:val="007C161E"/>
    <w:rsid w:val="007D1197"/>
    <w:rsid w:val="008163B5"/>
    <w:rsid w:val="008166B1"/>
    <w:rsid w:val="00834B75"/>
    <w:rsid w:val="008446D2"/>
    <w:rsid w:val="00852737"/>
    <w:rsid w:val="00865538"/>
    <w:rsid w:val="008956A3"/>
    <w:rsid w:val="008957C9"/>
    <w:rsid w:val="008A58DB"/>
    <w:rsid w:val="008C2DF1"/>
    <w:rsid w:val="008D4198"/>
    <w:rsid w:val="008D5B3D"/>
    <w:rsid w:val="008E7388"/>
    <w:rsid w:val="008F422C"/>
    <w:rsid w:val="008F4244"/>
    <w:rsid w:val="009001F4"/>
    <w:rsid w:val="00901458"/>
    <w:rsid w:val="009322DB"/>
    <w:rsid w:val="00944B2B"/>
    <w:rsid w:val="00947776"/>
    <w:rsid w:val="009647D5"/>
    <w:rsid w:val="00971C09"/>
    <w:rsid w:val="009A6CB9"/>
    <w:rsid w:val="009F42BD"/>
    <w:rsid w:val="009F670F"/>
    <w:rsid w:val="00A019E7"/>
    <w:rsid w:val="00A163E5"/>
    <w:rsid w:val="00A410D8"/>
    <w:rsid w:val="00A5449E"/>
    <w:rsid w:val="00A57B70"/>
    <w:rsid w:val="00A80ED4"/>
    <w:rsid w:val="00AA2BE5"/>
    <w:rsid w:val="00AD0D0C"/>
    <w:rsid w:val="00AE1D52"/>
    <w:rsid w:val="00B066C1"/>
    <w:rsid w:val="00B15275"/>
    <w:rsid w:val="00B22678"/>
    <w:rsid w:val="00B2282A"/>
    <w:rsid w:val="00B349A6"/>
    <w:rsid w:val="00B37C80"/>
    <w:rsid w:val="00B759DA"/>
    <w:rsid w:val="00B820D3"/>
    <w:rsid w:val="00B924D4"/>
    <w:rsid w:val="00B934DE"/>
    <w:rsid w:val="00BA02BE"/>
    <w:rsid w:val="00BD47F1"/>
    <w:rsid w:val="00C36229"/>
    <w:rsid w:val="00C36788"/>
    <w:rsid w:val="00C4794A"/>
    <w:rsid w:val="00C521F9"/>
    <w:rsid w:val="00C64206"/>
    <w:rsid w:val="00C76F0A"/>
    <w:rsid w:val="00C77F3F"/>
    <w:rsid w:val="00CA540C"/>
    <w:rsid w:val="00CA7BA2"/>
    <w:rsid w:val="00CC2565"/>
    <w:rsid w:val="00CD42AD"/>
    <w:rsid w:val="00CE424C"/>
    <w:rsid w:val="00CE76D8"/>
    <w:rsid w:val="00D01B3C"/>
    <w:rsid w:val="00D52DE4"/>
    <w:rsid w:val="00D57483"/>
    <w:rsid w:val="00D668C8"/>
    <w:rsid w:val="00D974E0"/>
    <w:rsid w:val="00DB296C"/>
    <w:rsid w:val="00DB4E32"/>
    <w:rsid w:val="00DD4CA8"/>
    <w:rsid w:val="00DF12DF"/>
    <w:rsid w:val="00E028C3"/>
    <w:rsid w:val="00E148FF"/>
    <w:rsid w:val="00E27A08"/>
    <w:rsid w:val="00E32F9E"/>
    <w:rsid w:val="00E4033D"/>
    <w:rsid w:val="00E65195"/>
    <w:rsid w:val="00E7208C"/>
    <w:rsid w:val="00E81EDD"/>
    <w:rsid w:val="00E922D5"/>
    <w:rsid w:val="00EB16EB"/>
    <w:rsid w:val="00EF20B1"/>
    <w:rsid w:val="00F23604"/>
    <w:rsid w:val="00F518B1"/>
    <w:rsid w:val="00F5468D"/>
    <w:rsid w:val="00F54C64"/>
    <w:rsid w:val="00F73305"/>
    <w:rsid w:val="00FA19DA"/>
    <w:rsid w:val="00FC0420"/>
    <w:rsid w:val="00FD09AC"/>
    <w:rsid w:val="00FD38AC"/>
    <w:rsid w:val="00FE0892"/>
    <w:rsid w:val="00FE2993"/>
    <w:rsid w:val="00FE6E62"/>
    <w:rsid w:val="00FF4093"/>
    <w:rsid w:val="00FF674C"/>
    <w:rsid w:val="1045171E"/>
    <w:rsid w:val="22414A3A"/>
    <w:rsid w:val="26F41B3C"/>
    <w:rsid w:val="29A23C84"/>
    <w:rsid w:val="301A49A1"/>
    <w:rsid w:val="38B332F1"/>
    <w:rsid w:val="3BB65327"/>
    <w:rsid w:val="41A625B4"/>
    <w:rsid w:val="44307BEA"/>
    <w:rsid w:val="46005E6D"/>
    <w:rsid w:val="60EB2D74"/>
    <w:rsid w:val="61634D49"/>
    <w:rsid w:val="6268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kern w:val="2"/>
      <w:sz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jc w:val="center"/>
    </w:pPr>
  </w:style>
  <w:style w:type="paragraph" w:styleId="4">
    <w:name w:val="Body Text 2"/>
    <w:basedOn w:val="1"/>
    <w:qFormat/>
    <w:uiPriority w:val="0"/>
    <w:pPr>
      <w:spacing w:line="360" w:lineRule="auto"/>
      <w:ind w:firstLine="200" w:firstLineChars="200"/>
    </w:pPr>
    <w:rPr>
      <w:rFonts w:eastAsia="楷体_GB2312"/>
      <w:sz w:val="32"/>
    </w:rPr>
  </w:style>
  <w:style w:type="paragraph" w:styleId="5">
    <w:name w:val="Body Text Indent"/>
    <w:basedOn w:val="1"/>
    <w:qFormat/>
    <w:uiPriority w:val="0"/>
    <w:pPr>
      <w:ind w:firstLine="645"/>
    </w:pPr>
    <w:rPr>
      <w:rFonts w:ascii="楷体_GB2312" w:eastAsia="楷体_GB2312"/>
    </w:rPr>
  </w:style>
  <w:style w:type="paragraph" w:styleId="6">
    <w:name w:val="Block Text"/>
    <w:basedOn w:val="1"/>
    <w:qFormat/>
    <w:uiPriority w:val="0"/>
    <w:pPr>
      <w:ind w:left="-224" w:right="-205" w:firstLine="210"/>
      <w:jc w:val="center"/>
    </w:pPr>
    <w:rPr>
      <w:rFonts w:ascii="黑体" w:eastAsia="黑体"/>
      <w:sz w:val="36"/>
    </w:rPr>
  </w:style>
  <w:style w:type="paragraph" w:styleId="7">
    <w:name w:val="Plain Text"/>
    <w:basedOn w:val="1"/>
    <w:qFormat/>
    <w:uiPriority w:val="0"/>
    <w:pPr>
      <w:autoSpaceDE/>
      <w:autoSpaceDN/>
      <w:adjustRightInd/>
      <w:textAlignment w:val="auto"/>
    </w:pPr>
    <w:rPr>
      <w:rFonts w:ascii="宋体" w:hAnsi="Courier New"/>
      <w:sz w:val="21"/>
    </w:rPr>
  </w:style>
  <w:style w:type="paragraph" w:styleId="8">
    <w:name w:val="Date"/>
    <w:basedOn w:val="1"/>
    <w:next w:val="1"/>
    <w:qFormat/>
    <w:uiPriority w:val="0"/>
  </w:style>
  <w:style w:type="paragraph" w:styleId="9">
    <w:name w:val="Body Text Indent 2"/>
    <w:basedOn w:val="1"/>
    <w:qFormat/>
    <w:uiPriority w:val="0"/>
    <w:pPr>
      <w:spacing w:line="600" w:lineRule="exact"/>
      <w:ind w:firstLine="600"/>
    </w:pPr>
    <w:rPr>
      <w:rFonts w:ascii="楷体_GB2312" w:eastAsia="楷体_GB231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jc w:val="left"/>
    </w:pPr>
    <w:rPr>
      <w:sz w:val="18"/>
    </w:rPr>
  </w:style>
  <w:style w:type="paragraph" w:styleId="12">
    <w:name w:val="header"/>
    <w:basedOn w:val="1"/>
    <w:qFormat/>
    <w:uiPriority w:val="0"/>
    <w:pPr>
      <w:pBdr>
        <w:bottom w:val="single" w:color="auto" w:sz="6" w:space="1"/>
      </w:pBdr>
      <w:tabs>
        <w:tab w:val="center" w:pos="4153"/>
        <w:tab w:val="right" w:pos="8306"/>
      </w:tabs>
      <w:jc w:val="center"/>
    </w:pPr>
    <w:rPr>
      <w:sz w:val="18"/>
    </w:rPr>
  </w:style>
  <w:style w:type="paragraph" w:styleId="13">
    <w:name w:val="Body Text Indent 3"/>
    <w:basedOn w:val="1"/>
    <w:qFormat/>
    <w:uiPriority w:val="0"/>
    <w:pPr>
      <w:autoSpaceDE/>
      <w:autoSpaceDN/>
      <w:adjustRightInd/>
      <w:ind w:firstLine="630"/>
      <w:textAlignment w:val="auto"/>
    </w:pPr>
    <w:rPr>
      <w:rFonts w:eastAsia="楷体_GB2312"/>
      <w:b/>
    </w:rPr>
  </w:style>
  <w:style w:type="paragraph" w:styleId="14">
    <w:name w:val="Normal (Web)"/>
    <w:basedOn w:val="1"/>
    <w:unhideWhenUsed/>
    <w:qFormat/>
    <w:uiPriority w:val="99"/>
    <w:pPr>
      <w:widowControl/>
      <w:autoSpaceDE/>
      <w:autoSpaceDN/>
      <w:adjustRightInd/>
      <w:spacing w:before="100" w:beforeAutospacing="1" w:after="100" w:afterAutospacing="1"/>
      <w:jc w:val="left"/>
      <w:textAlignment w:val="auto"/>
    </w:pPr>
    <w:rPr>
      <w:kern w:val="0"/>
      <w:sz w:val="24"/>
      <w:szCs w:val="24"/>
    </w:rPr>
  </w:style>
  <w:style w:type="character" w:styleId="17">
    <w:name w:val="page number"/>
    <w:qFormat/>
    <w:uiPriority w:val="0"/>
    <w:rPr>
      <w:sz w:val="20"/>
    </w:rPr>
  </w:style>
  <w:style w:type="paragraph" w:customStyle="1" w:styleId="18">
    <w:name w:val="Char"/>
    <w:basedOn w:val="1"/>
    <w:qFormat/>
    <w:uiPriority w:val="0"/>
    <w:pPr>
      <w:widowControl/>
      <w:autoSpaceDE/>
      <w:autoSpaceDN/>
      <w:adjustRightInd/>
      <w:spacing w:after="160" w:line="240" w:lineRule="exact"/>
      <w:jc w:val="left"/>
      <w:textAlignment w:val="auto"/>
    </w:pPr>
    <w:rPr>
      <w:sz w:val="21"/>
    </w:rPr>
  </w:style>
  <w:style w:type="paragraph" w:customStyle="1" w:styleId="19">
    <w:name w:val="p0"/>
    <w:basedOn w:val="1"/>
    <w:qFormat/>
    <w:uiPriority w:val="0"/>
    <w:pPr>
      <w:widowControl/>
      <w:autoSpaceDE/>
      <w:autoSpaceDN/>
      <w:adjustRightInd/>
      <w:textAlignment w:val="auto"/>
    </w:pPr>
    <w:rPr>
      <w:rFonts w:ascii="Calibri" w:hAnsi="Calibri" w:cs="Calibri"/>
      <w:kern w:val="0"/>
      <w:sz w:val="21"/>
      <w:szCs w:val="21"/>
    </w:rPr>
  </w:style>
  <w:style w:type="paragraph" w:customStyle="1" w:styleId="20">
    <w:name w:val="p16"/>
    <w:basedOn w:val="1"/>
    <w:qFormat/>
    <w:uiPriority w:val="0"/>
    <w:pPr>
      <w:widowControl/>
      <w:autoSpaceDE/>
      <w:autoSpaceDN/>
      <w:adjustRightInd/>
      <w:textAlignment w:val="auto"/>
    </w:pPr>
    <w:rPr>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92;&#19994;&#20892;&#26449;&#23616;&#26080;&#32418;&#3244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农业农村局无红线.dotx</Template>
  <Company>Lenovo</Company>
  <Pages>6</Pages>
  <Words>493</Words>
  <Characters>2814</Characters>
  <Lines>23</Lines>
  <Paragraphs>6</Paragraphs>
  <TotalTime>1</TotalTime>
  <ScaleCrop>false</ScaleCrop>
  <LinksUpToDate>false</LinksUpToDate>
  <CharactersWithSpaces>3301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2019-12-06T01:27:00Z</dcterms:created>
  <dc:creator>农工委管理员</dc:creator>
  <cp:lastModifiedBy>lJ</cp:lastModifiedBy>
  <cp:lastPrinted>2010-09-14T07:28:00Z</cp:lastPrinted>
  <dcterms:modified xsi:type="dcterms:W3CDTF">2025-06-13T02:39:38Z</dcterms:modified>
  <dc:title>丰台区区级领导班子和领导干部“三讲”教育“回头看”工作实施方案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