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部门</w:t>
      </w:r>
      <w:r>
        <w:rPr>
          <w:rFonts w:hint="eastAsia" w:ascii="方正小标宋简体" w:eastAsia="方正小标宋简体"/>
          <w:sz w:val="36"/>
          <w:szCs w:val="36"/>
          <w:lang w:eastAsia="zh-CN"/>
        </w:rPr>
        <w:t>（单位）</w:t>
      </w:r>
      <w:r>
        <w:rPr>
          <w:rFonts w:hint="eastAsia" w:ascii="方正小标宋简体" w:eastAsia="方正小标宋简体"/>
          <w:sz w:val="36"/>
          <w:szCs w:val="36"/>
        </w:rPr>
        <w:t>整体绩效</w:t>
      </w:r>
      <w:r>
        <w:rPr>
          <w:rFonts w:hint="eastAsia" w:ascii="方正小标宋简体" w:eastAsia="方正小标宋简体"/>
          <w:sz w:val="36"/>
          <w:szCs w:val="36"/>
          <w:lang w:eastAsia="zh-CN"/>
        </w:rPr>
        <w:t>评价</w:t>
      </w:r>
      <w:r>
        <w:rPr>
          <w:rFonts w:hint="eastAsia" w:ascii="方正小标宋简体" w:eastAsia="方正小标宋简体"/>
          <w:sz w:val="36"/>
          <w:szCs w:val="36"/>
        </w:rPr>
        <w:t>报告</w:t>
      </w:r>
    </w:p>
    <w:p>
      <w:pPr>
        <w:jc w:val="center"/>
        <w:rPr>
          <w:rFonts w:ascii="仿宋_GB2312"/>
          <w:szCs w:val="30"/>
        </w:rPr>
      </w:pPr>
    </w:p>
    <w:p>
      <w:pPr>
        <w:spacing w:line="600" w:lineRule="exact"/>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（一）机构设置及职责工作任务情况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单位1个,设有20个职能科室,分别是:办公室、综合科、法制科、预算科、国库科、政府采购科、绩效评价科、资产管理科（国有资本经营预算科）、行政政法科、教科文科、经济建设科、农业农村科、社会保障科、公共事业科（环境保护科）、财源建设科、金融债务科、会计科、财政监督科（内部控制办公室）、人事教育科、行政科；事业单位5个，其中：参公事业单位4个：财政监督检查所、财政绩效考评中心、财政国库支付中心、财政预算编审中心，一般事业单位1个：北京市丰台区财政综合服务中心。</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各项目科室参与组织成立绩效评价小组，并参加绩效评价的相关培训。配合绩效评价小组的工作，负责根据绩效评价工作方案，对本科室进行绩效跟踪、绩效自评，按照绩效评价结果对本科室进行落实整改。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行政科负责预算绩效评价工作。具体包括：制定评价方案；组成评价小组进行评价工作；分析评价结果；出具评价报告等。主管局领导负责按照审批权限，对所分管业务进行审批。</w:t>
      </w:r>
    </w:p>
    <w:p>
      <w:pPr>
        <w:numPr>
          <w:ilvl w:val="0"/>
          <w:numId w:val="1"/>
        </w:num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部门整体绩效目标设立情况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密围绕市、区两级中心工作及重点任务，坚持以全面实施预算绩效管理为突破口，进一步完善预算管理、深化财税改革，推动有限的财力资源释放出更大的潜能和效益。落实好减税降费政策措施，不断优化营商环境，充分发挥财政部门牵头组收作用，强化收入预测调度、税源监测分析等工作，统筹使用各项收入管理措施，确保完成财政收入工作。牢固树立艰苦奋斗勤俭节约的思想，精打细算，优化支出结构，建立完善能增能减、有保有压的预算分配机制，提高支出政策和项目资金的指向性、精准性、有效性。全面实施预算绩效管理，加强预算投资评审、绩效考评等，从预算编制、执行等方面强化刚性约束，自觉接受各方面监督。</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pPr>
        <w:spacing w:line="60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auto"/>
          <w:kern w:val="0"/>
          <w:sz w:val="32"/>
          <w:szCs w:val="32"/>
          <w:highlight w:val="none"/>
        </w:rPr>
        <w:t>202</w:t>
      </w: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000000"/>
          <w:kern w:val="0"/>
          <w:sz w:val="32"/>
          <w:szCs w:val="32"/>
          <w:highlight w:val="none"/>
        </w:rPr>
        <w:t>年</w:t>
      </w:r>
      <w:r>
        <w:rPr>
          <w:rFonts w:ascii="仿宋_GB2312" w:hAnsi="宋体" w:eastAsia="仿宋_GB2312" w:cs="宋体"/>
          <w:color w:val="000000"/>
          <w:kern w:val="0"/>
          <w:sz w:val="32"/>
          <w:szCs w:val="32"/>
          <w:highlight w:val="none"/>
        </w:rPr>
        <w:t>全年</w:t>
      </w:r>
      <w:r>
        <w:rPr>
          <w:rFonts w:hint="eastAsia" w:ascii="仿宋_GB2312" w:hAnsi="宋体" w:eastAsia="仿宋_GB2312" w:cs="宋体"/>
          <w:color w:val="000000"/>
          <w:kern w:val="0"/>
          <w:sz w:val="32"/>
          <w:szCs w:val="32"/>
          <w:highlight w:val="none"/>
        </w:rPr>
        <w:t>预算数</w:t>
      </w:r>
      <w:r>
        <w:rPr>
          <w:rFonts w:hint="eastAsia" w:ascii="仿宋_GB2312" w:hAnsi="仿宋" w:eastAsia="仿宋_GB2312"/>
          <w:sz w:val="32"/>
          <w:szCs w:val="32"/>
          <w:highlight w:val="none"/>
        </w:rPr>
        <w:t>8181.64</w:t>
      </w:r>
      <w:r>
        <w:rPr>
          <w:rFonts w:hint="eastAsia" w:ascii="仿宋_GB2312" w:hAnsi="宋体" w:eastAsia="仿宋_GB2312" w:cs="宋体"/>
          <w:color w:val="000000"/>
          <w:kern w:val="0"/>
          <w:sz w:val="32"/>
          <w:szCs w:val="32"/>
          <w:highlight w:val="none"/>
        </w:rPr>
        <w:t>万元</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其中</w:t>
      </w:r>
      <w:r>
        <w:rPr>
          <w:rFonts w:ascii="仿宋_GB2312" w:hAnsi="宋体" w:eastAsia="仿宋_GB2312" w:cs="宋体"/>
          <w:color w:val="000000"/>
          <w:kern w:val="0"/>
          <w:sz w:val="32"/>
          <w:szCs w:val="32"/>
          <w:highlight w:val="none"/>
        </w:rPr>
        <w:t>，基本</w:t>
      </w:r>
      <w:r>
        <w:rPr>
          <w:rFonts w:hint="eastAsia" w:ascii="仿宋_GB2312" w:hAnsi="宋体" w:eastAsia="仿宋_GB2312" w:cs="宋体"/>
          <w:color w:val="000000"/>
          <w:kern w:val="0"/>
          <w:sz w:val="32"/>
          <w:szCs w:val="32"/>
          <w:highlight w:val="none"/>
        </w:rPr>
        <w:t>支出</w:t>
      </w:r>
      <w:r>
        <w:rPr>
          <w:rFonts w:ascii="仿宋_GB2312" w:hAnsi="宋体" w:eastAsia="仿宋_GB2312" w:cs="宋体"/>
          <w:color w:val="000000"/>
          <w:kern w:val="0"/>
          <w:sz w:val="32"/>
          <w:szCs w:val="32"/>
          <w:highlight w:val="none"/>
        </w:rPr>
        <w:t>预算数</w:t>
      </w:r>
      <w:r>
        <w:rPr>
          <w:rFonts w:hint="eastAsia" w:ascii="仿宋_GB2312" w:hAnsi="仿宋" w:eastAsia="仿宋_GB2312"/>
          <w:sz w:val="32"/>
          <w:szCs w:val="32"/>
          <w:highlight w:val="none"/>
        </w:rPr>
        <w:t>5312.44</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项目支出预算数</w:t>
      </w:r>
      <w:r>
        <w:rPr>
          <w:rFonts w:hint="eastAsia" w:ascii="仿宋_GB2312" w:hAnsi="仿宋" w:eastAsia="仿宋_GB2312"/>
          <w:sz w:val="32"/>
          <w:szCs w:val="32"/>
          <w:highlight w:val="none"/>
        </w:rPr>
        <w:t>2869.2</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资金总体</w:t>
      </w:r>
      <w:r>
        <w:rPr>
          <w:rFonts w:hint="eastAsia" w:ascii="仿宋_GB2312" w:hAnsi="宋体" w:eastAsia="仿宋_GB2312" w:cs="宋体"/>
          <w:color w:val="000000"/>
          <w:kern w:val="0"/>
          <w:sz w:val="32"/>
          <w:szCs w:val="32"/>
          <w:highlight w:val="none"/>
        </w:rPr>
        <w:t>支出</w:t>
      </w:r>
      <w:r>
        <w:rPr>
          <w:rFonts w:hint="eastAsia" w:ascii="仿宋_GB2312" w:hAnsi="仿宋" w:eastAsia="仿宋_GB2312"/>
          <w:sz w:val="32"/>
          <w:szCs w:val="32"/>
          <w:highlight w:val="none"/>
        </w:rPr>
        <w:t>8181.64</w:t>
      </w:r>
      <w:r>
        <w:rPr>
          <w:rFonts w:ascii="仿宋_GB2312" w:hAnsi="宋体" w:eastAsia="仿宋_GB2312" w:cs="宋体"/>
          <w:color w:val="000000"/>
          <w:kern w:val="0"/>
          <w:sz w:val="32"/>
          <w:szCs w:val="32"/>
          <w:highlight w:val="none"/>
        </w:rPr>
        <w:t>万元，其中，基本支出</w:t>
      </w:r>
      <w:r>
        <w:rPr>
          <w:rFonts w:hint="eastAsia" w:ascii="仿宋_GB2312" w:hAnsi="仿宋" w:eastAsia="仿宋_GB2312"/>
          <w:sz w:val="32"/>
          <w:szCs w:val="32"/>
          <w:highlight w:val="none"/>
        </w:rPr>
        <w:t>5312.44</w:t>
      </w:r>
      <w:r>
        <w:rPr>
          <w:rFonts w:ascii="仿宋_GB2312" w:hAnsi="宋体" w:eastAsia="仿宋_GB2312" w:cs="宋体"/>
          <w:color w:val="000000"/>
          <w:kern w:val="0"/>
          <w:sz w:val="32"/>
          <w:szCs w:val="32"/>
          <w:highlight w:val="none"/>
        </w:rPr>
        <w:t>万元，项目</w:t>
      </w:r>
      <w:r>
        <w:rPr>
          <w:rFonts w:hint="eastAsia" w:ascii="仿宋_GB2312" w:hAnsi="宋体" w:eastAsia="仿宋_GB2312" w:cs="宋体"/>
          <w:color w:val="000000"/>
          <w:kern w:val="0"/>
          <w:sz w:val="32"/>
          <w:szCs w:val="32"/>
          <w:highlight w:val="none"/>
        </w:rPr>
        <w:t>支出</w:t>
      </w:r>
      <w:r>
        <w:rPr>
          <w:rFonts w:hint="eastAsia" w:ascii="仿宋_GB2312" w:hAnsi="仿宋" w:eastAsia="仿宋_GB2312"/>
          <w:sz w:val="32"/>
          <w:szCs w:val="32"/>
          <w:highlight w:val="none"/>
        </w:rPr>
        <w:t>2869.2</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预算</w:t>
      </w:r>
      <w:r>
        <w:rPr>
          <w:rFonts w:ascii="仿宋_GB2312" w:hAnsi="宋体" w:eastAsia="仿宋_GB2312" w:cs="宋体"/>
          <w:color w:val="000000"/>
          <w:kern w:val="0"/>
          <w:sz w:val="32"/>
          <w:szCs w:val="32"/>
          <w:highlight w:val="none"/>
        </w:rPr>
        <w:t>执行率为</w:t>
      </w:r>
      <w:r>
        <w:rPr>
          <w:rFonts w:hint="eastAsia" w:ascii="仿宋_GB2312" w:hAnsi="宋体" w:eastAsia="仿宋_GB2312" w:cs="宋体"/>
          <w:color w:val="000000"/>
          <w:kern w:val="0"/>
          <w:sz w:val="32"/>
          <w:szCs w:val="32"/>
          <w:highlight w:val="none"/>
          <w:lang w:val="en-US" w:eastAsia="zh-CN"/>
        </w:rPr>
        <w:t>100%</w:t>
      </w:r>
      <w:r>
        <w:rPr>
          <w:rFonts w:hint="eastAsia" w:ascii="仿宋_GB2312" w:hAnsi="宋体" w:eastAsia="仿宋_GB2312" w:cs="宋体"/>
          <w:color w:val="000000"/>
          <w:kern w:val="0"/>
          <w:sz w:val="32"/>
          <w:szCs w:val="32"/>
          <w:highlight w:val="none"/>
        </w:rPr>
        <w:t>。</w:t>
      </w:r>
    </w:p>
    <w:p>
      <w:pPr>
        <w:spacing w:line="600" w:lineRule="exact"/>
        <w:ind w:left="105" w:leftChars="50" w:firstLine="480" w:firstLineChars="150"/>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三</w:t>
      </w:r>
      <w:r>
        <w:rPr>
          <w:rFonts w:ascii="黑体" w:hAnsi="黑体" w:eastAsia="黑体" w:cs="宋体"/>
          <w:color w:val="000000"/>
          <w:kern w:val="0"/>
          <w:sz w:val="32"/>
          <w:szCs w:val="32"/>
          <w:highlight w:val="none"/>
        </w:rPr>
        <w:t>、整体绩效目标实现情况</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（一）产出完成情况分析</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1.产出数量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达到绩效评价项目、医疗票据印制数量、机打票据印制数量、部门预算项目审核数量等项目产出数量要求。</w:t>
      </w:r>
    </w:p>
    <w:p>
      <w:pPr>
        <w:numPr>
          <w:ilvl w:val="0"/>
          <w:numId w:val="2"/>
        </w:num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产出</w:t>
      </w:r>
      <w:r>
        <w:rPr>
          <w:rFonts w:ascii="仿宋_GB2312" w:hAnsi="宋体" w:eastAsia="仿宋_GB2312" w:cs="宋体"/>
          <w:color w:val="000000"/>
          <w:kern w:val="0"/>
          <w:sz w:val="32"/>
          <w:szCs w:val="32"/>
          <w:highlight w:val="none"/>
        </w:rPr>
        <w:t>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货物类以及服务类项目通过质量验收，到达产出质量标准。</w:t>
      </w:r>
    </w:p>
    <w:p>
      <w:pPr>
        <w:numPr>
          <w:ilvl w:val="0"/>
          <w:numId w:val="2"/>
        </w:num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产出</w:t>
      </w:r>
      <w:r>
        <w:rPr>
          <w:rFonts w:ascii="仿宋_GB2312" w:hAnsi="宋体" w:eastAsia="仿宋_GB2312" w:cs="宋体"/>
          <w:color w:val="000000"/>
          <w:kern w:val="0"/>
          <w:sz w:val="32"/>
          <w:szCs w:val="32"/>
          <w:highlight w:val="none"/>
        </w:rPr>
        <w:t>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积极推进项目执行进度，按项目建设完成情况，保障资金的执行进度，提高经费的使用效益。</w:t>
      </w:r>
    </w:p>
    <w:p>
      <w:pPr>
        <w:numPr>
          <w:ilvl w:val="0"/>
          <w:numId w:val="2"/>
        </w:num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产出</w:t>
      </w:r>
      <w:r>
        <w:rPr>
          <w:rFonts w:ascii="仿宋_GB2312" w:hAnsi="宋体" w:eastAsia="仿宋_GB2312" w:cs="宋体"/>
          <w:color w:val="000000"/>
          <w:kern w:val="0"/>
          <w:sz w:val="32"/>
          <w:szCs w:val="32"/>
          <w:highlight w:val="none"/>
        </w:rPr>
        <w:t>成本</w:t>
      </w:r>
    </w:p>
    <w:p>
      <w:pPr>
        <w:pStyle w:val="2"/>
        <w:numPr>
          <w:ilvl w:val="0"/>
          <w:numId w:val="0"/>
        </w:numPr>
        <w:ind w:firstLine="640" w:firstLineChars="200"/>
      </w:pPr>
      <w:r>
        <w:rPr>
          <w:rFonts w:hint="eastAsia" w:ascii="仿宋_GB2312" w:hAnsi="Times New Roman" w:eastAsia="仿宋_GB2312" w:cs="Times New Roman"/>
          <w:sz w:val="32"/>
          <w:szCs w:val="32"/>
          <w:lang w:eastAsia="zh-CN"/>
        </w:rPr>
        <w:t>严格控制一般性支出，强化预算监督，牢固树立“过紧日子”的思想。</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（二）效果</w:t>
      </w:r>
      <w:r>
        <w:rPr>
          <w:rFonts w:ascii="楷体_GB2312" w:eastAsia="楷体_GB2312"/>
          <w:sz w:val="32"/>
          <w:szCs w:val="32"/>
          <w:highlight w:val="none"/>
        </w:rPr>
        <w:t>实现情况分析</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机构运转经费项目严格遵守《食品安全卫生法》，按照国家饮食卫生标准执行各项操作，无食品安全事故，达到年初设定绩效目标。</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会计考试工作经费项目按市局统一部署顺利完成202</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年度会计专业技术初、中、高级报名及考试工作；完成考务费、上缴财政部报名费、报名服务费等其他会计考试经费的支出。</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西国贸酒店集中隔离观察点</w:t>
      </w:r>
      <w:r>
        <w:rPr>
          <w:rFonts w:hint="eastAsia" w:ascii="仿宋_GB2312" w:hAnsi="宋体" w:eastAsia="仿宋_GB2312" w:cs="宋体"/>
          <w:color w:val="000000"/>
          <w:kern w:val="0"/>
          <w:sz w:val="32"/>
          <w:szCs w:val="32"/>
          <w:highlight w:val="none"/>
          <w:lang w:eastAsia="zh-CN"/>
        </w:rPr>
        <w:t>经费</w:t>
      </w:r>
      <w:r>
        <w:rPr>
          <w:rFonts w:hint="eastAsia" w:ascii="仿宋_GB2312" w:hAnsi="宋体" w:eastAsia="仿宋_GB2312" w:cs="宋体"/>
          <w:color w:val="000000"/>
          <w:kern w:val="0"/>
          <w:sz w:val="32"/>
          <w:szCs w:val="32"/>
          <w:highlight w:val="none"/>
        </w:rPr>
        <w:t>顺利完成隔离点启用工作，保证隔离点有序运行，有效防控疫情扩散，执行率100%。</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丰台区年财源建设数据及咨询</w:t>
      </w:r>
      <w:r>
        <w:rPr>
          <w:rFonts w:hint="eastAsia" w:ascii="仿宋_GB2312" w:hAnsi="宋体" w:eastAsia="仿宋_GB2312" w:cs="宋体"/>
          <w:color w:val="000000"/>
          <w:kern w:val="0"/>
          <w:sz w:val="32"/>
          <w:szCs w:val="32"/>
          <w:highlight w:val="none"/>
          <w:lang w:eastAsia="zh-CN"/>
        </w:rPr>
        <w:t>服务</w:t>
      </w:r>
      <w:r>
        <w:rPr>
          <w:rFonts w:hint="eastAsia" w:ascii="仿宋_GB2312" w:hAnsi="宋体" w:eastAsia="仿宋_GB2312" w:cs="宋体"/>
          <w:color w:val="000000"/>
          <w:kern w:val="0"/>
          <w:sz w:val="32"/>
          <w:szCs w:val="32"/>
          <w:highlight w:val="none"/>
        </w:rPr>
        <w:t>费按照年初计划完成财源建设咨询服务，包括财源建设评估服务、企业台账建立与更新、重点企业走访及情报服务、企业标签更新服务、数据分析及材料准备、人员驻场服务等，执行率100%。</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票据印刷费项目圆满完成全区用票单位财政票据的印制、审核、发放等，达到年初设定绩效目标。</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信息系统运维类项目保障业务系统、硬件设备、网络专线、信息安全等运维服务有效开展稳定运行，达到年初设定绩效目标。</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监督检查服务费根据年度计划完成财会监督相关工作，包括：丰台区一级预算单位202</w:t>
      </w:r>
      <w:r>
        <w:rPr>
          <w:rFonts w:hint="eastAsia"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rPr>
        <w:t>年度决算以及202</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年度预算情况公开检查、内部控制制度建设和执行情况检查、疫情防控经费及集中观察点运行运行经费等审核，执行率100%。</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政府采购检查费项目按要求完成对我区集中采购代理机构政策法规、采购方式和采购程序等事项执行情况的检查，执行率100%。</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内控外部评价费项目按时开展内控编报培训，有效指导丰台区行政事业单位内控编报，顺利完成我区内控编报工作，执行率100%。</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投资评审费项目绩效目标完成情况总体良好，项目评审质量进一步提高。</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办公楼物业费项目按要求完成办公楼保洁及保安等工作，办公区干净卫生环境整洁，设备运行良好无事故，达到年初设定绩效目标。</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房屋修缮类项目加强设备设施的管理维护及更新，加强对空调、水电暖、电梯、消防等设备的检修维护，消除安全隐患，达到年初设定绩效目标。</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基层党组织党建活动经费项目保障基层党组织正常开展党建活动，党员满意度有所提升，达到年初设定绩效目标。</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食堂服务费项目按照国家饮食卫生标准操作，提供全年职工餐饮供应，全部工作人员持健康证上岗，达到年初设定绩效目标。</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法制专项费用项目开展各类法制宣传培训活动，做好</w:t>
      </w:r>
      <w:r>
        <w:rPr>
          <w:rFonts w:hint="eastAsia" w:ascii="仿宋_GB2312" w:hAnsi="宋体" w:eastAsia="仿宋_GB2312" w:cs="宋体"/>
          <w:color w:val="000000"/>
          <w:kern w:val="0"/>
          <w:sz w:val="32"/>
          <w:szCs w:val="32"/>
          <w:highlight w:val="none"/>
          <w:lang w:eastAsia="zh-CN"/>
        </w:rPr>
        <w:t>行政</w:t>
      </w:r>
      <w:r>
        <w:rPr>
          <w:rFonts w:hint="eastAsia" w:ascii="仿宋_GB2312" w:hAnsi="宋体" w:eastAsia="仿宋_GB2312" w:cs="宋体"/>
          <w:color w:val="000000"/>
          <w:kern w:val="0"/>
          <w:sz w:val="32"/>
          <w:szCs w:val="32"/>
          <w:highlight w:val="none"/>
        </w:rPr>
        <w:t>复议诉讼应诉工作，防患化解工作中潜在的法律风险，全面提升工作人员依法行政水平及群众满意度，达到年初设定绩效目标。</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产权登记服务费完成年度事业单位及其所办企业产权登记相关工作事宜，达到年初设定绩效目标。</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中控运行经费</w:t>
      </w:r>
      <w:r>
        <w:rPr>
          <w:rFonts w:hint="eastAsia" w:ascii="仿宋_GB2312" w:hAnsi="宋体" w:eastAsia="仿宋_GB2312" w:cs="宋体"/>
          <w:color w:val="000000"/>
          <w:kern w:val="0"/>
          <w:sz w:val="32"/>
          <w:szCs w:val="32"/>
          <w:highlight w:val="none"/>
        </w:rPr>
        <w:t>项目按要求做好</w:t>
      </w:r>
      <w:r>
        <w:rPr>
          <w:rFonts w:hint="eastAsia" w:ascii="仿宋_GB2312" w:hAnsi="宋体" w:eastAsia="仿宋_GB2312" w:cs="宋体"/>
          <w:color w:val="000000"/>
          <w:kern w:val="0"/>
          <w:sz w:val="32"/>
          <w:szCs w:val="32"/>
          <w:highlight w:val="none"/>
          <w:lang w:eastAsia="zh-CN"/>
        </w:rPr>
        <w:t>中控安全工作</w:t>
      </w:r>
      <w:r>
        <w:rPr>
          <w:rFonts w:hint="eastAsia" w:ascii="仿宋_GB2312" w:hAnsi="宋体" w:eastAsia="仿宋_GB2312" w:cs="宋体"/>
          <w:color w:val="000000"/>
          <w:kern w:val="0"/>
          <w:sz w:val="32"/>
          <w:szCs w:val="32"/>
          <w:highlight w:val="none"/>
        </w:rPr>
        <w:t>，达到年初设定绩效目标。</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绩效评价服务费全面推进丰台区预算绩效管理工作，通过具体开展事后评价、跟踪监控、成本绩效、部门整体和事前评估等工作，进一步提升财政资金管理水平和使用效果，实现全区财政资金提质增效。</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外区隔离点审计经费项目，根据区集中隔离工作组要求，完成外区56个集中隔离点运行经费审核工作。</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丰台区PPP清理核查工作相关经费，落实党中央关于ppp相关工作部署，完成ppp核查工作，为我区ppp存量项目处置形成数据支撑。</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大井村超转人员转居模式分析咨询费，参照“王四营”模式测算大井村超转人员财务费用，为大井村超转人员探索“以产养人”创新模式提供财政支撑。</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2023年代理银行手续费，满足了财政和预算单位授权支付和直接支付业务需要，保障我区国库集中支付代理业务正常运转。</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2023年信息系统运维类项目，保障我局业务系统、硬件设备、信息安全等运维服务有效开展，有效支撑丰台财政局信息化业务系统稳定运行。</w:t>
      </w:r>
    </w:p>
    <w:p>
      <w:pPr>
        <w:spacing w:line="600" w:lineRule="exact"/>
        <w:ind w:left="105" w:leftChars="50" w:firstLine="480" w:firstLineChars="150"/>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四</w:t>
      </w:r>
      <w:r>
        <w:rPr>
          <w:rFonts w:ascii="黑体" w:hAnsi="黑体" w:eastAsia="黑体" w:cs="宋体"/>
          <w:color w:val="000000"/>
          <w:kern w:val="0"/>
          <w:sz w:val="32"/>
          <w:szCs w:val="32"/>
          <w:highlight w:val="none"/>
        </w:rPr>
        <w:t>、预算管理</w:t>
      </w:r>
      <w:r>
        <w:rPr>
          <w:rFonts w:hint="eastAsia" w:ascii="黑体" w:hAnsi="黑体" w:eastAsia="黑体" w:cs="宋体"/>
          <w:color w:val="000000"/>
          <w:kern w:val="0"/>
          <w:sz w:val="32"/>
          <w:szCs w:val="32"/>
          <w:highlight w:val="none"/>
        </w:rPr>
        <w:t>情况分</w:t>
      </w:r>
      <w:r>
        <w:rPr>
          <w:rFonts w:ascii="黑体" w:hAnsi="黑体" w:eastAsia="黑体" w:cs="宋体"/>
          <w:color w:val="000000"/>
          <w:kern w:val="0"/>
          <w:sz w:val="32"/>
          <w:szCs w:val="32"/>
          <w:highlight w:val="none"/>
        </w:rPr>
        <w:t>析</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（一）财务管理</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1.财务</w:t>
      </w:r>
      <w:r>
        <w:rPr>
          <w:rFonts w:ascii="仿宋_GB2312" w:hAnsi="宋体" w:eastAsia="仿宋_GB2312" w:cs="宋体"/>
          <w:color w:val="000000"/>
          <w:kern w:val="0"/>
          <w:sz w:val="32"/>
          <w:szCs w:val="32"/>
          <w:highlight w:val="none"/>
        </w:rPr>
        <w:t>管理制度健全性</w:t>
      </w:r>
    </w:p>
    <w:p>
      <w:pPr>
        <w:spacing w:line="600" w:lineRule="exact"/>
        <w:ind w:left="105" w:leftChars="50" w:firstLine="480" w:firstLineChars="15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财务管理制度</w:t>
      </w:r>
      <w:r>
        <w:rPr>
          <w:rFonts w:hint="eastAsia" w:ascii="仿宋_GB2312" w:hAnsi="宋体" w:eastAsia="仿宋_GB2312" w:cs="宋体"/>
          <w:color w:val="000000"/>
          <w:kern w:val="0"/>
          <w:sz w:val="32"/>
          <w:szCs w:val="32"/>
          <w:highlight w:val="none"/>
        </w:rPr>
        <w:t>健全</w:t>
      </w:r>
      <w:r>
        <w:rPr>
          <w:rFonts w:hint="eastAsia" w:ascii="仿宋_GB2312" w:hAnsi="宋体" w:eastAsia="仿宋_GB2312" w:cs="宋体"/>
          <w:color w:val="000000"/>
          <w:kern w:val="0"/>
          <w:sz w:val="32"/>
          <w:szCs w:val="32"/>
          <w:highlight w:val="none"/>
          <w:lang w:eastAsia="zh-CN"/>
        </w:rPr>
        <w:t>，根据我局实际情况及时修订财务制度</w:t>
      </w:r>
      <w:r>
        <w:rPr>
          <w:rFonts w:hint="eastAsia" w:ascii="仿宋_GB2312" w:hAnsi="宋体" w:eastAsia="仿宋_GB2312" w:cs="宋体"/>
          <w:color w:val="000000"/>
          <w:kern w:val="0"/>
          <w:sz w:val="32"/>
          <w:szCs w:val="32"/>
          <w:highlight w:val="none"/>
        </w:rPr>
        <w:t>。</w:t>
      </w:r>
    </w:p>
    <w:p>
      <w:pPr>
        <w:numPr>
          <w:ilvl w:val="0"/>
          <w:numId w:val="0"/>
        </w:numPr>
        <w:spacing w:line="600" w:lineRule="exact"/>
        <w:ind w:left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rPr>
        <w:t>资金使用合规性</w:t>
      </w:r>
      <w:r>
        <w:rPr>
          <w:rFonts w:ascii="仿宋_GB2312" w:hAnsi="宋体" w:eastAsia="仿宋_GB2312" w:cs="宋体"/>
          <w:color w:val="000000"/>
          <w:kern w:val="0"/>
          <w:sz w:val="32"/>
          <w:szCs w:val="32"/>
          <w:highlight w:val="none"/>
        </w:rPr>
        <w:t>和安全性</w:t>
      </w:r>
    </w:p>
    <w:p>
      <w:pPr>
        <w:spacing w:line="600" w:lineRule="exact"/>
        <w:ind w:left="105" w:leftChars="50" w:firstLine="480" w:firstLineChars="150"/>
        <w:jc w:val="left"/>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财政资金使用的合法合规，保障资金使用安全性。</w:t>
      </w:r>
    </w:p>
    <w:p>
      <w:pPr>
        <w:numPr>
          <w:ilvl w:val="0"/>
          <w:numId w:val="0"/>
        </w:numPr>
        <w:spacing w:line="600" w:lineRule="exact"/>
        <w:ind w:leftChars="200"/>
        <w:jc w:val="left"/>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lang w:eastAsia="zh-CN"/>
        </w:rPr>
        <w:t>会计基础信息完善性</w:t>
      </w:r>
    </w:p>
    <w:p>
      <w:pPr>
        <w:spacing w:line="600" w:lineRule="exact"/>
        <w:ind w:left="105" w:leftChars="50" w:firstLine="480" w:firstLineChars="150"/>
        <w:jc w:val="left"/>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会计基础信息完善。</w:t>
      </w:r>
    </w:p>
    <w:p>
      <w:pPr>
        <w:numPr>
          <w:ilvl w:val="0"/>
          <w:numId w:val="0"/>
        </w:numPr>
        <w:spacing w:line="600" w:lineRule="exact"/>
        <w:rPr>
          <w:rFonts w:hint="eastAsia" w:ascii="楷体_GB2312" w:eastAsia="楷体_GB2312"/>
          <w:sz w:val="32"/>
          <w:szCs w:val="32"/>
          <w:highlight w:val="none"/>
        </w:rPr>
      </w:pPr>
      <w:r>
        <w:rPr>
          <w:rFonts w:hint="eastAsia" w:ascii="楷体_GB2312" w:eastAsia="楷体_GB2312"/>
          <w:sz w:val="32"/>
          <w:szCs w:val="32"/>
          <w:highlight w:val="none"/>
          <w:lang w:eastAsia="zh-CN"/>
        </w:rPr>
        <w:t>（二）</w:t>
      </w:r>
      <w:r>
        <w:rPr>
          <w:rFonts w:hint="eastAsia" w:ascii="楷体_GB2312" w:eastAsia="楷体_GB2312"/>
          <w:sz w:val="32"/>
          <w:szCs w:val="32"/>
          <w:highlight w:val="none"/>
        </w:rPr>
        <w:t>资产管理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资产配置合理，资产使用和处置规范。</w:t>
      </w:r>
    </w:p>
    <w:p>
      <w:pPr>
        <w:numPr>
          <w:ilvl w:val="0"/>
          <w:numId w:val="0"/>
        </w:numPr>
        <w:spacing w:line="600" w:lineRule="exact"/>
        <w:rPr>
          <w:rFonts w:ascii="楷体_GB2312" w:eastAsia="楷体_GB2312"/>
          <w:sz w:val="32"/>
          <w:szCs w:val="32"/>
          <w:highlight w:val="none"/>
        </w:rPr>
      </w:pPr>
      <w:r>
        <w:rPr>
          <w:rFonts w:hint="eastAsia" w:ascii="楷体_GB2312" w:eastAsia="楷体_GB2312"/>
          <w:sz w:val="32"/>
          <w:szCs w:val="32"/>
          <w:highlight w:val="none"/>
          <w:lang w:eastAsia="zh-CN"/>
        </w:rPr>
        <w:t>（三）</w:t>
      </w:r>
      <w:r>
        <w:rPr>
          <w:rFonts w:hint="eastAsia" w:ascii="楷体_GB2312" w:eastAsia="楷体_GB2312"/>
          <w:sz w:val="32"/>
          <w:szCs w:val="32"/>
          <w:highlight w:val="none"/>
        </w:rPr>
        <w:t>绩效</w:t>
      </w:r>
      <w:r>
        <w:rPr>
          <w:rFonts w:ascii="楷体_GB2312" w:eastAsia="楷体_GB2312"/>
          <w:sz w:val="32"/>
          <w:szCs w:val="32"/>
          <w:highlight w:val="none"/>
        </w:rPr>
        <w:t>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完成全过程绩效管理，绩效评价覆盖所有部门预算项目。</w:t>
      </w:r>
    </w:p>
    <w:p>
      <w:pPr>
        <w:numPr>
          <w:ilvl w:val="0"/>
          <w:numId w:val="0"/>
        </w:numPr>
        <w:spacing w:line="600" w:lineRule="exact"/>
        <w:rPr>
          <w:rFonts w:hint="eastAsia" w:ascii="楷体_GB2312" w:eastAsia="楷体_GB2312"/>
          <w:sz w:val="32"/>
          <w:szCs w:val="32"/>
          <w:highlight w:val="none"/>
        </w:rPr>
      </w:pPr>
      <w:r>
        <w:rPr>
          <w:rFonts w:hint="eastAsia" w:ascii="楷体_GB2312" w:eastAsia="楷体_GB2312"/>
          <w:sz w:val="32"/>
          <w:szCs w:val="32"/>
          <w:highlight w:val="none"/>
          <w:lang w:eastAsia="zh-CN"/>
        </w:rPr>
        <w:t>（四）</w:t>
      </w:r>
      <w:r>
        <w:rPr>
          <w:rFonts w:hint="eastAsia" w:ascii="楷体_GB2312" w:eastAsia="楷体_GB2312"/>
          <w:sz w:val="32"/>
          <w:szCs w:val="32"/>
          <w:highlight w:val="none"/>
        </w:rPr>
        <w:t>结转结余率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结转结余率为0。</w:t>
      </w:r>
    </w:p>
    <w:p>
      <w:pPr>
        <w:numPr>
          <w:ilvl w:val="0"/>
          <w:numId w:val="0"/>
        </w:numPr>
        <w:spacing w:line="600" w:lineRule="exact"/>
        <w:rPr>
          <w:rFonts w:ascii="楷体_GB2312" w:eastAsia="楷体_GB2312"/>
          <w:sz w:val="32"/>
          <w:szCs w:val="32"/>
          <w:highlight w:val="none"/>
        </w:rPr>
      </w:pPr>
      <w:r>
        <w:rPr>
          <w:rFonts w:hint="eastAsia" w:ascii="楷体_GB2312" w:eastAsia="楷体_GB2312"/>
          <w:sz w:val="32"/>
          <w:szCs w:val="32"/>
          <w:highlight w:val="none"/>
          <w:lang w:eastAsia="zh-CN"/>
        </w:rPr>
        <w:t>（五）</w:t>
      </w:r>
      <w:r>
        <w:rPr>
          <w:rFonts w:hint="eastAsia" w:ascii="楷体_GB2312" w:eastAsia="楷体_GB2312"/>
          <w:sz w:val="32"/>
          <w:szCs w:val="32"/>
          <w:highlight w:val="none"/>
        </w:rPr>
        <w:t>部门</w:t>
      </w:r>
      <w:r>
        <w:rPr>
          <w:rFonts w:ascii="楷体_GB2312" w:eastAsia="楷体_GB2312"/>
          <w:sz w:val="32"/>
          <w:szCs w:val="32"/>
          <w:highlight w:val="none"/>
        </w:rPr>
        <w:t>预决算差异率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部门预决算差异率为15.3%。</w:t>
      </w:r>
    </w:p>
    <w:p>
      <w:pPr>
        <w:spacing w:line="600" w:lineRule="exact"/>
        <w:ind w:left="105" w:leftChars="50" w:firstLine="480" w:firstLineChars="150"/>
        <w:rPr>
          <w:rFonts w:ascii="黑体" w:hAnsi="黑体" w:eastAsia="黑体"/>
          <w:sz w:val="32"/>
          <w:szCs w:val="32"/>
          <w:highlight w:val="none"/>
        </w:rPr>
      </w:pPr>
      <w:r>
        <w:rPr>
          <w:rFonts w:hint="eastAsia" w:ascii="黑体" w:hAnsi="黑体" w:eastAsia="黑体"/>
          <w:sz w:val="32"/>
          <w:szCs w:val="32"/>
          <w:highlight w:val="none"/>
        </w:rPr>
        <w:t>五、总体</w:t>
      </w:r>
      <w:r>
        <w:rPr>
          <w:rFonts w:ascii="黑体" w:hAnsi="黑体" w:eastAsia="黑体"/>
          <w:sz w:val="32"/>
          <w:szCs w:val="32"/>
          <w:highlight w:val="none"/>
        </w:rPr>
        <w:t>评价结论</w:t>
      </w:r>
    </w:p>
    <w:p>
      <w:pPr>
        <w:spacing w:line="600" w:lineRule="exact"/>
        <w:ind w:firstLine="640" w:firstLineChars="200"/>
        <w:rPr>
          <w:rFonts w:hint="eastAsia" w:ascii="楷体_GB2312" w:eastAsia="楷体_GB2312"/>
          <w:sz w:val="32"/>
          <w:szCs w:val="32"/>
          <w:highlight w:val="none"/>
        </w:rPr>
      </w:pPr>
      <w:r>
        <w:rPr>
          <w:rFonts w:hint="eastAsia" w:ascii="楷体_GB2312" w:eastAsia="楷体_GB2312"/>
          <w:sz w:val="32"/>
          <w:szCs w:val="32"/>
          <w:highlight w:val="none"/>
        </w:rPr>
        <w:t>（一）评价得分情况</w:t>
      </w:r>
    </w:p>
    <w:p>
      <w:pPr>
        <w:spacing w:line="600" w:lineRule="exact"/>
        <w:ind w:firstLine="640" w:firstLineChars="200"/>
        <w:rPr>
          <w:rFonts w:hint="eastAsia" w:ascii="楷体_GB2312" w:eastAsia="楷体_GB2312"/>
          <w:sz w:val="32"/>
          <w:szCs w:val="32"/>
          <w:highlight w:val="none"/>
        </w:rPr>
      </w:pPr>
      <w:r>
        <w:rPr>
          <w:rFonts w:hint="eastAsia" w:ascii="楷体_GB2312" w:eastAsia="楷体_GB2312"/>
          <w:sz w:val="32"/>
          <w:szCs w:val="32"/>
          <w:highlight w:val="none"/>
        </w:rPr>
        <w:t>部门整体绩效评价得分：</w:t>
      </w:r>
      <w:r>
        <w:rPr>
          <w:rFonts w:hint="eastAsia" w:ascii="楷体_GB2312" w:eastAsia="楷体_GB2312"/>
          <w:sz w:val="32"/>
          <w:szCs w:val="32"/>
          <w:highlight w:val="none"/>
          <w:lang w:val="en-US" w:eastAsia="zh-CN"/>
        </w:rPr>
        <w:t>100</w:t>
      </w:r>
      <w:r>
        <w:rPr>
          <w:rFonts w:hint="eastAsia" w:ascii="楷体_GB2312" w:eastAsia="楷体_GB2312"/>
          <w:sz w:val="32"/>
          <w:szCs w:val="32"/>
          <w:highlight w:val="none"/>
        </w:rPr>
        <w:t>分，评价等级：好</w:t>
      </w:r>
    </w:p>
    <w:p>
      <w:pPr>
        <w:spacing w:line="600" w:lineRule="exact"/>
        <w:ind w:firstLine="640" w:firstLineChars="200"/>
        <w:rPr>
          <w:rFonts w:hint="eastAsia" w:ascii="楷体_GB2312" w:eastAsia="楷体_GB2312"/>
          <w:sz w:val="32"/>
          <w:szCs w:val="32"/>
          <w:highlight w:val="none"/>
        </w:rPr>
      </w:pPr>
      <w:r>
        <w:rPr>
          <w:rFonts w:hint="eastAsia" w:ascii="楷体_GB2312" w:eastAsia="楷体_GB2312"/>
          <w:sz w:val="32"/>
          <w:szCs w:val="32"/>
          <w:highlight w:val="none"/>
        </w:rPr>
        <w:t>（二）存在的问题及原因分析</w:t>
      </w:r>
    </w:p>
    <w:p>
      <w:pPr>
        <w:spacing w:line="600" w:lineRule="exact"/>
        <w:ind w:firstLine="640" w:firstLineChars="200"/>
        <w:rPr>
          <w:rFonts w:hint="eastAsia" w:ascii="楷体_GB2312" w:eastAsia="楷体_GB2312"/>
          <w:sz w:val="32"/>
          <w:szCs w:val="32"/>
          <w:highlight w:val="none"/>
        </w:rPr>
      </w:pPr>
      <w:r>
        <w:rPr>
          <w:rFonts w:hint="eastAsia" w:ascii="楷体_GB2312" w:eastAsia="楷体_GB2312"/>
          <w:sz w:val="32"/>
          <w:szCs w:val="32"/>
          <w:highlight w:val="none"/>
        </w:rPr>
        <w:t>部门编制的绩效目标的合理性、绩效目标的明确性不够，还需进一步细化。</w:t>
      </w:r>
    </w:p>
    <w:p>
      <w:pPr>
        <w:numPr>
          <w:ilvl w:val="0"/>
          <w:numId w:val="3"/>
        </w:numPr>
        <w:spacing w:line="600" w:lineRule="exact"/>
        <w:ind w:firstLine="640" w:firstLineChars="200"/>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措施建议</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1.加强预算管理，确保项目的科学性。在编制年度预算时，充分论证项目立项的必要性、投入经济性、绩效目标合理性，确保项目具有可操作性，项目实施达到预期效果，发挥最大效益。强化预算下达、预算执行，为进行绩效目标管理提供基础保障，提高项目支出资金使用、项目实施精细化管理水平。</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2.细化项目管理，确保项目如期实施。项目批复后，各部门应认真细化方案，明确责任人，做好项目支出绩效目标执行中的控制管理，确保资金对应绩效目标执行，强化项目推进过程的管理，确保项目按计划推进。</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3.严格人员管理，提高绩效目标管理水平。加强人员培训，熟练掌握预算编制和预算执行等各项政策，严格遵守财经纪律，提高业务能力，不断提高绩效目标管理水平。</w:t>
      </w:r>
    </w:p>
    <w:p>
      <w:pPr>
        <w:spacing w:line="560" w:lineRule="exact"/>
        <w:jc w:val="left"/>
        <w:rPr>
          <w:rFonts w:hint="eastAsia" w:ascii="方正小标宋简体" w:eastAsia="方正小标宋简体"/>
          <w:sz w:val="36"/>
          <w:szCs w:val="36"/>
        </w:rPr>
      </w:pPr>
    </w:p>
    <w:p>
      <w:pPr>
        <w:ind w:left="0" w:leftChars="0" w:firstLine="0" w:firstLineChars="0"/>
      </w:pPr>
    </w:p>
    <w:p>
      <w:pPr>
        <w:pStyle w:val="2"/>
      </w:pPr>
    </w:p>
    <w:p>
      <w:pPr>
        <w:pStyle w:val="2"/>
      </w:pPr>
    </w:p>
    <w:p>
      <w:pPr>
        <w:pStyle w:val="2"/>
      </w:pPr>
    </w:p>
    <w:p>
      <w:pPr>
        <w:pStyle w:val="2"/>
      </w:pPr>
    </w:p>
    <w:p>
      <w:pPr>
        <w:spacing w:line="560" w:lineRule="exact"/>
        <w:ind w:firstLine="480" w:firstLineChars="200"/>
        <w:rPr>
          <w:rFonts w:eastAsia="仿宋_GB2312"/>
          <w:sz w:val="24"/>
        </w:rPr>
      </w:pPr>
    </w:p>
    <w:p>
      <w:pPr>
        <w:spacing w:line="560" w:lineRule="exact"/>
        <w:ind w:firstLine="480" w:firstLineChars="200"/>
        <w:rPr>
          <w:rFonts w:eastAsia="仿宋_GB2312"/>
          <w:sz w:val="24"/>
        </w:rPr>
      </w:pPr>
    </w:p>
    <w:p>
      <w:pPr>
        <w:spacing w:line="560" w:lineRule="exact"/>
        <w:ind w:firstLine="480" w:firstLineChars="200"/>
        <w:rPr>
          <w:rFonts w:eastAsia="仿宋_GB2312"/>
          <w:sz w:val="24"/>
        </w:rPr>
      </w:pP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丰台区财政局财政支出项目</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2023年度绩效评价报告</w:t>
      </w:r>
    </w:p>
    <w:p>
      <w:pPr>
        <w:spacing w:line="560" w:lineRule="exact"/>
        <w:ind w:firstLine="480" w:firstLineChars="200"/>
        <w:rPr>
          <w:rFonts w:eastAsia="仿宋_GB2312"/>
          <w:sz w:val="24"/>
        </w:rPr>
      </w:pPr>
    </w:p>
    <w:p>
      <w:pPr>
        <w:spacing w:line="560" w:lineRule="exact"/>
        <w:ind w:firstLine="480" w:firstLineChars="200"/>
        <w:rPr>
          <w:rFonts w:eastAsia="仿宋_GB2312"/>
          <w:sz w:val="24"/>
        </w:rPr>
      </w:pPr>
    </w:p>
    <w:p>
      <w:pPr>
        <w:spacing w:line="560" w:lineRule="exact"/>
        <w:rPr>
          <w:rFonts w:eastAsia="仿宋_GB2312"/>
          <w:sz w:val="24"/>
        </w:rPr>
      </w:pPr>
    </w:p>
    <w:p>
      <w:pPr>
        <w:spacing w:line="560" w:lineRule="exact"/>
        <w:ind w:firstLine="480" w:firstLineChars="200"/>
        <w:rPr>
          <w:rFonts w:eastAsia="仿宋_GB2312"/>
          <w:sz w:val="24"/>
        </w:rPr>
      </w:pPr>
    </w:p>
    <w:p>
      <w:pPr>
        <w:spacing w:line="560" w:lineRule="exact"/>
        <w:ind w:firstLine="480" w:firstLineChars="200"/>
        <w:rPr>
          <w:rFonts w:eastAsia="仿宋_GB2312"/>
          <w:sz w:val="24"/>
        </w:rPr>
      </w:pPr>
    </w:p>
    <w:p>
      <w:pPr>
        <w:spacing w:line="560" w:lineRule="exact"/>
        <w:ind w:firstLine="480" w:firstLineChars="200"/>
        <w:rPr>
          <w:rFonts w:eastAsia="仿宋_GB2312"/>
          <w:sz w:val="24"/>
        </w:rPr>
      </w:pPr>
    </w:p>
    <w:p>
      <w:pPr>
        <w:spacing w:line="560" w:lineRule="exact"/>
        <w:ind w:firstLine="480" w:firstLineChars="200"/>
        <w:rPr>
          <w:rFonts w:eastAsia="仿宋_GB2312"/>
          <w:sz w:val="24"/>
        </w:rPr>
      </w:pPr>
    </w:p>
    <w:p>
      <w:pPr>
        <w:spacing w:line="560" w:lineRule="exact"/>
        <w:ind w:firstLine="480" w:firstLineChars="200"/>
        <w:rPr>
          <w:rFonts w:eastAsia="仿宋_GB2312"/>
          <w:sz w:val="24"/>
        </w:rPr>
      </w:pPr>
    </w:p>
    <w:tbl>
      <w:tblPr>
        <w:tblStyle w:val="11"/>
        <w:tblW w:w="0" w:type="auto"/>
        <w:tblInd w:w="93" w:type="dxa"/>
        <w:tblLayout w:type="fixed"/>
        <w:tblCellMar>
          <w:top w:w="0" w:type="dxa"/>
          <w:left w:w="108" w:type="dxa"/>
          <w:bottom w:w="0" w:type="dxa"/>
          <w:right w:w="108" w:type="dxa"/>
        </w:tblCellMar>
      </w:tblPr>
      <w:tblGrid>
        <w:gridCol w:w="1524"/>
        <w:gridCol w:w="6515"/>
      </w:tblGrid>
      <w:tr>
        <w:tblPrEx>
          <w:tblCellMar>
            <w:top w:w="0" w:type="dxa"/>
            <w:left w:w="108" w:type="dxa"/>
            <w:bottom w:w="0" w:type="dxa"/>
            <w:right w:w="108" w:type="dxa"/>
          </w:tblCellMar>
        </w:tblPrEx>
        <w:trPr>
          <w:trHeight w:val="420" w:hRule="atLeast"/>
        </w:trPr>
        <w:tc>
          <w:tcPr>
            <w:tcW w:w="15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eastAsia="仿宋_GB2312"/>
                <w:color w:val="000000"/>
                <w:kern w:val="0"/>
                <w:sz w:val="32"/>
                <w:szCs w:val="32"/>
              </w:rPr>
            </w:pPr>
            <w:r>
              <w:rPr>
                <w:rFonts w:ascii="仿宋_GB2312" w:eastAsia="仿宋_GB2312"/>
                <w:color w:val="000000"/>
                <w:kern w:val="0"/>
                <w:sz w:val="32"/>
                <w:szCs w:val="32"/>
              </w:rPr>
              <w:t>主管部门</w:t>
            </w:r>
          </w:p>
        </w:tc>
        <w:tc>
          <w:tcPr>
            <w:tcW w:w="651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丰台区财政局</w:t>
            </w:r>
          </w:p>
        </w:tc>
      </w:tr>
      <w:tr>
        <w:tblPrEx>
          <w:tblCellMar>
            <w:top w:w="0" w:type="dxa"/>
            <w:left w:w="108" w:type="dxa"/>
            <w:bottom w:w="0" w:type="dxa"/>
            <w:right w:w="108" w:type="dxa"/>
          </w:tblCellMar>
        </w:tblPrEx>
        <w:trPr>
          <w:trHeight w:val="426" w:hRule="atLeast"/>
        </w:trPr>
        <w:tc>
          <w:tcPr>
            <w:tcW w:w="15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eastAsia="仿宋_GB2312"/>
                <w:color w:val="000000"/>
                <w:kern w:val="0"/>
                <w:sz w:val="32"/>
                <w:szCs w:val="32"/>
              </w:rPr>
            </w:pPr>
            <w:r>
              <w:rPr>
                <w:rFonts w:hint="eastAsia" w:ascii="仿宋_GB2312" w:eastAsia="仿宋_GB2312"/>
                <w:color w:val="000000"/>
                <w:kern w:val="0"/>
                <w:sz w:val="32"/>
                <w:szCs w:val="32"/>
              </w:rPr>
              <w:t>项目</w:t>
            </w:r>
            <w:r>
              <w:rPr>
                <w:rFonts w:ascii="仿宋_GB2312" w:eastAsia="仿宋_GB2312"/>
                <w:color w:val="000000"/>
                <w:kern w:val="0"/>
                <w:sz w:val="32"/>
                <w:szCs w:val="32"/>
              </w:rPr>
              <w:t>单位</w:t>
            </w:r>
          </w:p>
        </w:tc>
        <w:tc>
          <w:tcPr>
            <w:tcW w:w="651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olor w:val="FF0000"/>
                <w:kern w:val="0"/>
                <w:sz w:val="32"/>
                <w:szCs w:val="32"/>
              </w:rPr>
            </w:pPr>
            <w:r>
              <w:rPr>
                <w:rFonts w:hint="eastAsia" w:ascii="仿宋_GB2312" w:hAnsi="宋体" w:eastAsia="仿宋_GB2312"/>
                <w:kern w:val="0"/>
                <w:sz w:val="32"/>
                <w:szCs w:val="32"/>
              </w:rPr>
              <w:t>绩效评价科（考评中心）</w:t>
            </w:r>
          </w:p>
        </w:tc>
      </w:tr>
      <w:tr>
        <w:tblPrEx>
          <w:tblCellMar>
            <w:top w:w="0" w:type="dxa"/>
            <w:left w:w="108" w:type="dxa"/>
            <w:bottom w:w="0" w:type="dxa"/>
            <w:right w:w="108" w:type="dxa"/>
          </w:tblCellMar>
        </w:tblPrEx>
        <w:trPr>
          <w:trHeight w:val="426" w:hRule="atLeast"/>
        </w:trPr>
        <w:tc>
          <w:tcPr>
            <w:tcW w:w="15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eastAsia="仿宋_GB2312"/>
                <w:color w:val="000000"/>
                <w:kern w:val="0"/>
                <w:sz w:val="32"/>
                <w:szCs w:val="32"/>
              </w:rPr>
            </w:pPr>
            <w:r>
              <w:rPr>
                <w:rFonts w:ascii="仿宋_GB2312" w:eastAsia="仿宋_GB2312"/>
                <w:color w:val="000000"/>
                <w:kern w:val="0"/>
                <w:sz w:val="32"/>
                <w:szCs w:val="32"/>
              </w:rPr>
              <w:t>项目名称</w:t>
            </w:r>
          </w:p>
        </w:tc>
        <w:tc>
          <w:tcPr>
            <w:tcW w:w="65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绩效考评项目中介服务费</w:t>
            </w:r>
          </w:p>
        </w:tc>
      </w:tr>
      <w:tr>
        <w:tblPrEx>
          <w:tblCellMar>
            <w:top w:w="0" w:type="dxa"/>
            <w:left w:w="108" w:type="dxa"/>
            <w:bottom w:w="0" w:type="dxa"/>
            <w:right w:w="108" w:type="dxa"/>
          </w:tblCellMar>
        </w:tblPrEx>
        <w:trPr>
          <w:trHeight w:val="426" w:hRule="atLeast"/>
        </w:trPr>
        <w:tc>
          <w:tcPr>
            <w:tcW w:w="15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eastAsia="仿宋_GB2312"/>
                <w:color w:val="000000"/>
                <w:kern w:val="0"/>
                <w:sz w:val="32"/>
                <w:szCs w:val="32"/>
              </w:rPr>
            </w:pPr>
            <w:r>
              <w:rPr>
                <w:rFonts w:ascii="仿宋_GB2312" w:eastAsia="仿宋_GB2312"/>
                <w:color w:val="000000"/>
                <w:kern w:val="0"/>
                <w:sz w:val="32"/>
                <w:szCs w:val="32"/>
              </w:rPr>
              <w:t>评价</w:t>
            </w:r>
            <w:r>
              <w:rPr>
                <w:rFonts w:hint="eastAsia" w:ascii="仿宋_GB2312" w:eastAsia="仿宋_GB2312"/>
                <w:color w:val="000000"/>
                <w:kern w:val="0"/>
                <w:sz w:val="32"/>
                <w:szCs w:val="32"/>
              </w:rPr>
              <w:t>部门</w:t>
            </w:r>
          </w:p>
        </w:tc>
        <w:tc>
          <w:tcPr>
            <w:tcW w:w="651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丰台区财政局</w:t>
            </w:r>
          </w:p>
        </w:tc>
      </w:tr>
    </w:tbl>
    <w:p>
      <w:pPr>
        <w:spacing w:line="560" w:lineRule="exact"/>
        <w:ind w:firstLine="1100" w:firstLineChars="500"/>
        <w:rPr>
          <w:rFonts w:eastAsia="仿宋_GB2312"/>
          <w:sz w:val="22"/>
          <w:u w:val="single"/>
        </w:rPr>
      </w:pPr>
    </w:p>
    <w:p>
      <w:pPr>
        <w:spacing w:line="560" w:lineRule="exact"/>
        <w:ind w:firstLine="1100" w:firstLineChars="500"/>
        <w:rPr>
          <w:rFonts w:eastAsia="仿宋_GB2312"/>
          <w:sz w:val="22"/>
          <w:u w:val="single"/>
        </w:rPr>
      </w:pPr>
    </w:p>
    <w:p>
      <w:pPr>
        <w:widowControl/>
        <w:spacing w:line="560" w:lineRule="exact"/>
        <w:jc w:val="center"/>
        <w:rPr>
          <w:rFonts w:ascii="黑体" w:eastAsia="黑体"/>
          <w:sz w:val="36"/>
          <w:szCs w:val="36"/>
        </w:rPr>
      </w:pPr>
      <w:r>
        <w:rPr>
          <w:rFonts w:hint="eastAsia" w:ascii="黑体" w:eastAsia="黑体"/>
          <w:sz w:val="36"/>
          <w:szCs w:val="36"/>
        </w:rPr>
        <w:t>丰台区财政局</w:t>
      </w:r>
    </w:p>
    <w:p>
      <w:pPr>
        <w:widowControl/>
        <w:spacing w:line="560" w:lineRule="exact"/>
        <w:jc w:val="center"/>
        <w:rPr>
          <w:rFonts w:ascii="黑体" w:eastAsia="黑体"/>
          <w:sz w:val="36"/>
          <w:szCs w:val="36"/>
        </w:rPr>
      </w:pPr>
      <w:r>
        <w:rPr>
          <w:rFonts w:ascii="黑体" w:eastAsia="黑体"/>
          <w:sz w:val="36"/>
          <w:szCs w:val="36"/>
        </w:rPr>
        <w:t>二</w:t>
      </w:r>
      <w:r>
        <w:rPr>
          <w:rFonts w:ascii="黑体" w:hAnsi="黑体" w:eastAsia="黑体"/>
          <w:sz w:val="36"/>
          <w:szCs w:val="36"/>
        </w:rPr>
        <w:t>○</w:t>
      </w:r>
      <w:r>
        <w:rPr>
          <w:rFonts w:ascii="黑体" w:eastAsia="黑体"/>
          <w:sz w:val="36"/>
          <w:szCs w:val="36"/>
        </w:rPr>
        <w:t>二</w:t>
      </w:r>
      <w:r>
        <w:rPr>
          <w:rFonts w:hint="eastAsia" w:ascii="黑体" w:eastAsia="黑体"/>
          <w:sz w:val="36"/>
          <w:szCs w:val="36"/>
        </w:rPr>
        <w:t>四</w:t>
      </w:r>
      <w:r>
        <w:rPr>
          <w:rFonts w:ascii="黑体" w:eastAsia="黑体"/>
          <w:sz w:val="36"/>
          <w:szCs w:val="36"/>
        </w:rPr>
        <w:t>年</w:t>
      </w:r>
      <w:r>
        <w:rPr>
          <w:rFonts w:hint="eastAsia" w:ascii="黑体" w:eastAsia="黑体"/>
          <w:sz w:val="36"/>
          <w:szCs w:val="36"/>
        </w:rPr>
        <w:t>三</w:t>
      </w:r>
      <w:r>
        <w:rPr>
          <w:rFonts w:ascii="黑体" w:eastAsia="黑体"/>
          <w:sz w:val="36"/>
          <w:szCs w:val="36"/>
        </w:rPr>
        <w:t>月</w:t>
      </w:r>
    </w:p>
    <w:p>
      <w:pPr>
        <w:pStyle w:val="2"/>
        <w:rPr>
          <w:rFonts w:hint="eastAsia"/>
        </w:rPr>
      </w:pPr>
    </w:p>
    <w:p>
      <w:pPr>
        <w:spacing w:line="560" w:lineRule="exact"/>
        <w:jc w:val="center"/>
        <w:outlineLvl w:val="0"/>
        <w:rPr>
          <w:rFonts w:hint="eastAsia" w:ascii="方正小标宋简体" w:hAnsi="黑体" w:eastAsia="方正小标宋简体"/>
          <w:sz w:val="44"/>
          <w:szCs w:val="44"/>
        </w:rPr>
      </w:pPr>
      <w:bookmarkStart w:id="0" w:name="_Toc29960"/>
      <w:bookmarkStart w:id="1" w:name="_Toc8144"/>
    </w:p>
    <w:p>
      <w:pPr>
        <w:spacing w:line="560" w:lineRule="exact"/>
        <w:jc w:val="center"/>
        <w:outlineLvl w:val="0"/>
        <w:rPr>
          <w:rFonts w:hint="eastAsia" w:ascii="方正小标宋简体" w:hAnsi="黑体" w:eastAsia="方正小标宋简体"/>
          <w:sz w:val="44"/>
          <w:szCs w:val="44"/>
        </w:rPr>
      </w:pPr>
    </w:p>
    <w:p>
      <w:pPr>
        <w:spacing w:line="560" w:lineRule="exact"/>
        <w:jc w:val="center"/>
        <w:outlineLvl w:val="0"/>
        <w:rPr>
          <w:rFonts w:hint="eastAsia" w:ascii="方正小标宋简体" w:hAnsi="黑体" w:eastAsia="方正小标宋简体"/>
          <w:sz w:val="44"/>
          <w:szCs w:val="44"/>
        </w:rPr>
      </w:pPr>
    </w:p>
    <w:p>
      <w:pPr>
        <w:spacing w:line="560" w:lineRule="exact"/>
        <w:jc w:val="center"/>
        <w:outlineLvl w:val="0"/>
        <w:rPr>
          <w:rFonts w:ascii="方正小标宋简体" w:hAnsi="黑体" w:eastAsia="方正小标宋简体"/>
          <w:sz w:val="44"/>
          <w:szCs w:val="44"/>
        </w:rPr>
      </w:pPr>
      <w:r>
        <w:rPr>
          <w:rFonts w:hint="eastAsia" w:ascii="方正小标宋简体" w:hAnsi="黑体" w:eastAsia="方正小标宋简体"/>
          <w:sz w:val="44"/>
          <w:szCs w:val="44"/>
        </w:rPr>
        <w:t>绩效考评项目中介服务费项目</w:t>
      </w:r>
      <w:bookmarkEnd w:id="0"/>
      <w:bookmarkEnd w:id="1"/>
    </w:p>
    <w:p>
      <w:pPr>
        <w:spacing w:line="560" w:lineRule="exact"/>
        <w:jc w:val="center"/>
        <w:outlineLvl w:val="0"/>
        <w:rPr>
          <w:rFonts w:ascii="方正小标宋简体" w:hAnsi="黑体" w:eastAsia="方正小标宋简体"/>
          <w:sz w:val="44"/>
          <w:szCs w:val="44"/>
        </w:rPr>
      </w:pPr>
      <w:bookmarkStart w:id="2" w:name="_Toc31064"/>
      <w:bookmarkStart w:id="3" w:name="_Toc208"/>
      <w:bookmarkStart w:id="4" w:name="_Toc4828_WPSOffice_Level1"/>
      <w:r>
        <w:rPr>
          <w:rFonts w:hint="eastAsia" w:ascii="方正小标宋简体" w:hAnsi="黑体" w:eastAsia="方正小标宋简体"/>
          <w:sz w:val="44"/>
          <w:szCs w:val="44"/>
        </w:rPr>
        <w:t>绩效评价报告</w:t>
      </w:r>
      <w:bookmarkEnd w:id="2"/>
      <w:bookmarkEnd w:id="3"/>
      <w:bookmarkEnd w:id="4"/>
    </w:p>
    <w:p>
      <w:pPr>
        <w:spacing w:line="560" w:lineRule="exact"/>
        <w:ind w:firstLine="640" w:firstLineChars="200"/>
        <w:rPr>
          <w:rFonts w:ascii="宋体" w:hAnsi="宋体"/>
          <w:bCs/>
          <w:kern w:val="44"/>
          <w:sz w:val="32"/>
          <w:szCs w:val="32"/>
        </w:rPr>
      </w:pP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为进一步提高财政支出管理水平，检验财政支出预期目标实现程度，考核财政支出效率和综合效果，为以后年度财政资金安排提供重要依据，根据《中华人民共和国预算法》《中共北京市委 北京市人民政府关于全面实施预算绩效管理的实施意见》（京发〔2019〕12号）、《丰台区预算绩效管理办法》（丰财绩效〔2020〕374号）以及《北京市丰台区项目支出绩效评价管理办法》（丰财绩效〔2021〕2526号）等相关文件要求，北京市丰台区财政局（以下简称“区财政局”）成立了项目绩效评价工作组，对绩效考评项目中介服务费项目（以下简称“该项目”）实施绩效评价，形成本绩效评价报告。</w:t>
      </w:r>
      <w:bookmarkStart w:id="5" w:name="_Toc8158005"/>
      <w:bookmarkStart w:id="6" w:name="_Toc455492203"/>
    </w:p>
    <w:p>
      <w:pPr>
        <w:pStyle w:val="3"/>
        <w:spacing w:before="0" w:after="0" w:line="560" w:lineRule="exact"/>
        <w:ind w:firstLine="643" w:firstLineChars="200"/>
        <w:rPr>
          <w:rFonts w:ascii="黑体" w:hAnsi="黑体" w:eastAsia="黑体"/>
          <w:sz w:val="32"/>
          <w:szCs w:val="32"/>
        </w:rPr>
      </w:pPr>
      <w:bookmarkStart w:id="7" w:name="_Toc13586"/>
      <w:bookmarkStart w:id="8" w:name="_Toc7181"/>
      <w:bookmarkStart w:id="9" w:name="_Toc28508"/>
      <w:bookmarkStart w:id="10" w:name="_Toc21361"/>
      <w:bookmarkStart w:id="11" w:name="_Toc18683"/>
      <w:r>
        <w:rPr>
          <w:rFonts w:hint="eastAsia" w:ascii="黑体" w:hAnsi="黑体" w:eastAsia="黑体"/>
          <w:sz w:val="32"/>
          <w:szCs w:val="32"/>
        </w:rPr>
        <w:t>一、基本情况</w:t>
      </w:r>
      <w:bookmarkEnd w:id="5"/>
      <w:bookmarkEnd w:id="7"/>
      <w:bookmarkEnd w:id="8"/>
      <w:bookmarkEnd w:id="9"/>
      <w:bookmarkEnd w:id="10"/>
      <w:bookmarkEnd w:id="11"/>
      <w:bookmarkStart w:id="12" w:name="_Toc8158006"/>
    </w:p>
    <w:p>
      <w:pPr>
        <w:pStyle w:val="4"/>
        <w:spacing w:before="0" w:after="0" w:line="560" w:lineRule="exact"/>
        <w:ind w:firstLine="640" w:firstLineChars="200"/>
        <w:rPr>
          <w:rFonts w:hint="eastAsia" w:ascii="楷体_GB2312" w:hAnsi="楷体" w:eastAsia="楷体_GB2312" w:cs="楷体"/>
          <w:kern w:val="44"/>
        </w:rPr>
      </w:pPr>
      <w:bookmarkStart w:id="13" w:name="_Toc6008"/>
      <w:bookmarkStart w:id="14" w:name="_Toc5353"/>
      <w:bookmarkStart w:id="15" w:name="_Toc22204"/>
      <w:bookmarkStart w:id="16" w:name="_Toc28314"/>
      <w:bookmarkStart w:id="17" w:name="_Toc26529"/>
      <w:bookmarkStart w:id="18" w:name="_Toc28041"/>
      <w:r>
        <w:rPr>
          <w:rFonts w:hint="eastAsia" w:ascii="楷体_GB2312" w:hAnsi="楷体" w:eastAsia="楷体_GB2312" w:cs="楷体"/>
          <w:kern w:val="44"/>
        </w:rPr>
        <w:t>（一）项目</w:t>
      </w:r>
      <w:bookmarkEnd w:id="6"/>
      <w:bookmarkEnd w:id="12"/>
      <w:bookmarkEnd w:id="13"/>
      <w:bookmarkEnd w:id="14"/>
      <w:bookmarkEnd w:id="15"/>
      <w:bookmarkEnd w:id="16"/>
      <w:bookmarkEnd w:id="17"/>
      <w:bookmarkEnd w:id="18"/>
      <w:bookmarkStart w:id="19" w:name="_Toc455492204"/>
      <w:bookmarkStart w:id="20" w:name="_Toc8158007"/>
      <w:r>
        <w:rPr>
          <w:rFonts w:hint="eastAsia" w:ascii="楷体_GB2312" w:hAnsi="楷体" w:eastAsia="楷体_GB2312" w:cs="楷体"/>
          <w:kern w:val="44"/>
        </w:rPr>
        <w:t>概况</w:t>
      </w:r>
    </w:p>
    <w:p>
      <w:pPr>
        <w:spacing w:line="560" w:lineRule="exact"/>
        <w:ind w:firstLine="640"/>
        <w:rPr>
          <w:rFonts w:ascii="仿宋_GB2312" w:hAnsi="宋体" w:eastAsia="仿宋_GB2312"/>
          <w:bCs/>
          <w:sz w:val="32"/>
          <w:szCs w:val="32"/>
        </w:rPr>
      </w:pPr>
      <w:r>
        <w:rPr>
          <w:rFonts w:hint="eastAsia" w:ascii="仿宋_GB2312" w:hAnsi="宋体" w:eastAsia="仿宋_GB2312"/>
          <w:bCs/>
          <w:sz w:val="32"/>
          <w:szCs w:val="32"/>
        </w:rPr>
        <w:t>根据《中共北京市委  北京市人民政府关于全面实施预算绩效管理的实施意见》（京发〔2019〕12号），丰台区财政局全面推进预算绩效管理工作，以项目运作的方式，引入第三方机构以及专家力量参与绩效管理。该项目由丰台区财政局绩效评价科（考评中心）负责组织实施，通过具体开展事前绩效评估、重点项目绩效评价、绩效运行监控、成本绩效分析和部门整体绩效评价等工作，协助预算部门及单位提升财政资金管理水平和使用效果，有效节约财政资金，优化财政资源配置。</w:t>
      </w:r>
    </w:p>
    <w:p>
      <w:pPr>
        <w:spacing w:line="560" w:lineRule="exact"/>
        <w:ind w:firstLine="707" w:firstLineChars="221"/>
        <w:rPr>
          <w:rFonts w:ascii="仿宋" w:hAnsi="仿宋" w:eastAsia="仿宋" w:cs="仿宋"/>
          <w:bCs/>
          <w:kern w:val="44"/>
          <w:sz w:val="32"/>
          <w:szCs w:val="32"/>
        </w:rPr>
      </w:pPr>
      <w:r>
        <w:rPr>
          <w:rFonts w:hint="eastAsia" w:ascii="仿宋" w:hAnsi="仿宋" w:eastAsia="仿宋" w:cs="仿宋"/>
          <w:bCs/>
          <w:kern w:val="44"/>
          <w:sz w:val="32"/>
          <w:szCs w:val="32"/>
        </w:rPr>
        <w:t>该项目年初预算批复金额160.00万元，年度执行中追加资金390.00万元，调整后预算资金为550.00万元。截至2023年12月，该项目实际支出金额为313.4767万元，收回预算资金236.5233万元。</w:t>
      </w:r>
    </w:p>
    <w:p>
      <w:pPr>
        <w:pStyle w:val="4"/>
        <w:spacing w:before="0" w:after="0" w:line="560" w:lineRule="exact"/>
        <w:ind w:firstLine="640" w:firstLineChars="200"/>
        <w:rPr>
          <w:rFonts w:ascii="楷体_GB2312" w:hAnsi="楷体" w:eastAsia="楷体_GB2312" w:cs="楷体"/>
          <w:kern w:val="44"/>
        </w:rPr>
      </w:pPr>
      <w:bookmarkStart w:id="21" w:name="_Toc30155"/>
      <w:bookmarkStart w:id="22" w:name="_Toc2926"/>
      <w:bookmarkStart w:id="23" w:name="_Toc9652"/>
      <w:bookmarkStart w:id="24" w:name="_Toc23401"/>
      <w:bookmarkStart w:id="25" w:name="_Toc11378"/>
      <w:bookmarkStart w:id="26" w:name="_Toc30622"/>
      <w:r>
        <w:rPr>
          <w:rFonts w:hint="eastAsia" w:ascii="楷体_GB2312" w:hAnsi="楷体" w:eastAsia="楷体_GB2312" w:cs="楷体"/>
          <w:kern w:val="44"/>
        </w:rPr>
        <w:t>（二）项目</w:t>
      </w:r>
      <w:bookmarkEnd w:id="19"/>
      <w:r>
        <w:rPr>
          <w:rFonts w:hint="eastAsia" w:ascii="楷体_GB2312" w:hAnsi="楷体" w:eastAsia="楷体_GB2312" w:cs="楷体"/>
          <w:kern w:val="44"/>
        </w:rPr>
        <w:t>绩效目标</w:t>
      </w:r>
      <w:bookmarkEnd w:id="20"/>
      <w:bookmarkEnd w:id="21"/>
      <w:bookmarkEnd w:id="22"/>
      <w:bookmarkEnd w:id="23"/>
      <w:bookmarkEnd w:id="24"/>
      <w:bookmarkEnd w:id="25"/>
      <w:bookmarkEnd w:id="26"/>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该项目总体绩效目标为：根据《中共北京市委  北京市人民政府关于全面实施预算绩效管理的实施意见》（京发〔2019〕12号），全面推进丰台区预算绩效管理工作，通过具体开展事前绩效评估、重点项目绩效评价、绩效运行监控、成本绩效分析和部门整体绩效评价等工作，协助预算部门及单位提升财政资金管理水平和使用效果，有效节约财政资金，优化财政资源配置。具体目标设定情况详见表1：</w:t>
      </w:r>
    </w:p>
    <w:p>
      <w:pPr>
        <w:spacing w:line="560" w:lineRule="exact"/>
        <w:jc w:val="center"/>
        <w:rPr>
          <w:rFonts w:ascii="黑体" w:hAnsi="黑体" w:eastAsia="黑体" w:cs="仿宋"/>
          <w:bCs/>
          <w:kern w:val="44"/>
          <w:sz w:val="28"/>
          <w:szCs w:val="28"/>
        </w:rPr>
      </w:pPr>
      <w:bookmarkStart w:id="27" w:name="_Toc455492206"/>
      <w:bookmarkStart w:id="28" w:name="_Toc19679"/>
      <w:bookmarkStart w:id="29" w:name="_Toc8158008"/>
      <w:bookmarkStart w:id="30" w:name="_Toc22782"/>
      <w:bookmarkStart w:id="31" w:name="_Toc12597"/>
      <w:bookmarkStart w:id="32" w:name="_Toc12066"/>
      <w:bookmarkStart w:id="33" w:name="_Toc15678"/>
      <w:bookmarkStart w:id="34" w:name="_Toc3387"/>
      <w:r>
        <w:rPr>
          <w:rFonts w:hint="eastAsia" w:ascii="黑体" w:hAnsi="黑体" w:eastAsia="黑体" w:cs="仿宋"/>
          <w:bCs/>
          <w:kern w:val="44"/>
          <w:sz w:val="28"/>
          <w:szCs w:val="28"/>
        </w:rPr>
        <w:t>表1：</w:t>
      </w:r>
      <w:r>
        <w:rPr>
          <w:rFonts w:ascii="黑体" w:hAnsi="黑体" w:eastAsia="黑体" w:cs="仿宋"/>
          <w:bCs/>
          <w:kern w:val="44"/>
          <w:sz w:val="28"/>
          <w:szCs w:val="28"/>
        </w:rPr>
        <w:t>项目</w:t>
      </w:r>
      <w:r>
        <w:rPr>
          <w:rFonts w:hint="eastAsia" w:ascii="黑体" w:hAnsi="黑体" w:eastAsia="黑体" w:cs="仿宋"/>
          <w:bCs/>
          <w:kern w:val="44"/>
          <w:sz w:val="28"/>
          <w:szCs w:val="28"/>
        </w:rPr>
        <w:t>2023年</w:t>
      </w:r>
      <w:r>
        <w:rPr>
          <w:rFonts w:ascii="黑体" w:hAnsi="黑体" w:eastAsia="黑体" w:cs="仿宋"/>
          <w:bCs/>
          <w:kern w:val="44"/>
          <w:sz w:val="28"/>
          <w:szCs w:val="28"/>
        </w:rPr>
        <w:t>绩效目标设定情况</w:t>
      </w:r>
    </w:p>
    <w:tbl>
      <w:tblPr>
        <w:tblStyle w:val="11"/>
        <w:tblpPr w:leftFromText="180" w:rightFromText="180" w:vertAnchor="text" w:horzAnchor="page" w:tblpX="1002" w:tblpY="639"/>
        <w:tblOverlap w:val="never"/>
        <w:tblW w:w="10375" w:type="dxa"/>
        <w:tblInd w:w="0" w:type="dxa"/>
        <w:tblLayout w:type="fixed"/>
        <w:tblCellMar>
          <w:top w:w="0" w:type="dxa"/>
          <w:left w:w="0" w:type="dxa"/>
          <w:bottom w:w="0" w:type="dxa"/>
          <w:right w:w="0" w:type="dxa"/>
        </w:tblCellMar>
      </w:tblPr>
      <w:tblGrid>
        <w:gridCol w:w="1314"/>
        <w:gridCol w:w="1677"/>
        <w:gridCol w:w="3036"/>
        <w:gridCol w:w="1095"/>
        <w:gridCol w:w="1140"/>
        <w:gridCol w:w="1048"/>
        <w:gridCol w:w="1065"/>
      </w:tblGrid>
      <w:tr>
        <w:tblPrEx>
          <w:tblCellMar>
            <w:top w:w="0" w:type="dxa"/>
            <w:left w:w="0" w:type="dxa"/>
            <w:bottom w:w="0" w:type="dxa"/>
            <w:right w:w="0" w:type="dxa"/>
          </w:tblCellMar>
        </w:tblPrEx>
        <w:trPr>
          <w:trHeight w:val="613" w:hRule="atLeast"/>
          <w:tblHeader/>
        </w:trPr>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一级指标</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二级指标</w:t>
            </w:r>
          </w:p>
        </w:tc>
        <w:tc>
          <w:tcPr>
            <w:tcW w:w="3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三级指标</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指标性质</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指标值</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度量单位</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权重（%）</w:t>
            </w:r>
          </w:p>
        </w:tc>
      </w:tr>
      <w:tr>
        <w:tblPrEx>
          <w:tblCellMar>
            <w:top w:w="0" w:type="dxa"/>
            <w:left w:w="0" w:type="dxa"/>
            <w:bottom w:w="0" w:type="dxa"/>
            <w:right w:w="0" w:type="dxa"/>
          </w:tblCellMar>
        </w:tblPrEx>
        <w:trPr>
          <w:trHeight w:val="557" w:hRule="atLeast"/>
        </w:trPr>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成本指标</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经济成本指标</w:t>
            </w:r>
          </w:p>
        </w:tc>
        <w:tc>
          <w:tcPr>
            <w:tcW w:w="3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绩效考评项目委托费总成本</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6500000</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元</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r>
      <w:tr>
        <w:tblPrEx>
          <w:tblCellMar>
            <w:top w:w="0" w:type="dxa"/>
            <w:left w:w="0" w:type="dxa"/>
            <w:bottom w:w="0" w:type="dxa"/>
            <w:right w:w="0" w:type="dxa"/>
          </w:tblCellMar>
        </w:tblPrEx>
        <w:trPr>
          <w:trHeight w:val="597" w:hRule="atLeast"/>
        </w:trPr>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产出指标</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数量指标</w:t>
            </w:r>
          </w:p>
        </w:tc>
        <w:tc>
          <w:tcPr>
            <w:tcW w:w="3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绩效考评项目</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90</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个</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r>
      <w:tr>
        <w:tblPrEx>
          <w:tblCellMar>
            <w:top w:w="0" w:type="dxa"/>
            <w:left w:w="0" w:type="dxa"/>
            <w:bottom w:w="0" w:type="dxa"/>
            <w:right w:w="0" w:type="dxa"/>
          </w:tblCellMar>
        </w:tblPrEx>
        <w:trPr>
          <w:trHeight w:val="602" w:hRule="atLeast"/>
        </w:trPr>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产出指标</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质量指标</w:t>
            </w:r>
          </w:p>
        </w:tc>
        <w:tc>
          <w:tcPr>
            <w:tcW w:w="3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绩效考评项目程序规范性</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楷体" w:hAnsi="楷体" w:eastAsia="楷体" w:cs="楷体"/>
                <w:color w:val="000000"/>
                <w:szCs w:val="21"/>
              </w:rPr>
              <w:t>=</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98%</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r>
      <w:tr>
        <w:tblPrEx>
          <w:tblCellMar>
            <w:top w:w="0" w:type="dxa"/>
            <w:left w:w="0" w:type="dxa"/>
            <w:bottom w:w="0" w:type="dxa"/>
            <w:right w:w="0" w:type="dxa"/>
          </w:tblCellMar>
        </w:tblPrEx>
        <w:trPr>
          <w:trHeight w:val="587" w:hRule="atLeast"/>
        </w:trPr>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产出指标</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时效指标</w:t>
            </w:r>
          </w:p>
        </w:tc>
        <w:tc>
          <w:tcPr>
            <w:tcW w:w="3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项目绩效报告完成率</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楷体" w:hAnsi="楷体" w:eastAsia="楷体" w:cs="楷体"/>
                <w:color w:val="000000"/>
                <w:szCs w:val="21"/>
              </w:rPr>
              <w:t>=</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100%</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r>
      <w:tr>
        <w:tblPrEx>
          <w:tblCellMar>
            <w:top w:w="0" w:type="dxa"/>
            <w:left w:w="0" w:type="dxa"/>
            <w:bottom w:w="0" w:type="dxa"/>
            <w:right w:w="0" w:type="dxa"/>
          </w:tblCellMar>
        </w:tblPrEx>
        <w:trPr>
          <w:trHeight w:val="240" w:hRule="atLeast"/>
        </w:trPr>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效益指标</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社会效益指标</w:t>
            </w:r>
          </w:p>
        </w:tc>
        <w:tc>
          <w:tcPr>
            <w:tcW w:w="3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有效节约财政资金，优化财政资源配置</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定性</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有效节约财政资金</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仿宋_GB2312" w:hAnsi="仿宋_GB2312" w:eastAsia="仿宋_GB2312" w:cs="仿宋_GB2312"/>
                <w:color w:val="000000"/>
                <w:szCs w:val="21"/>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r>
      <w:tr>
        <w:tblPrEx>
          <w:tblCellMar>
            <w:top w:w="0" w:type="dxa"/>
            <w:left w:w="0" w:type="dxa"/>
            <w:bottom w:w="0" w:type="dxa"/>
            <w:right w:w="0" w:type="dxa"/>
          </w:tblCellMar>
        </w:tblPrEx>
        <w:trPr>
          <w:trHeight w:val="894" w:hRule="atLeast"/>
        </w:trPr>
        <w:tc>
          <w:tcPr>
            <w:tcW w:w="1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满意度指标</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服务对象满意度指标</w:t>
            </w:r>
          </w:p>
        </w:tc>
        <w:tc>
          <w:tcPr>
            <w:tcW w:w="30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对绩效评价工作人员的满意度</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90%</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r>
    </w:tbl>
    <w:p>
      <w:pPr>
        <w:pStyle w:val="3"/>
        <w:spacing w:before="0" w:after="0" w:line="560" w:lineRule="exact"/>
        <w:ind w:firstLine="643" w:firstLineChars="200"/>
        <w:rPr>
          <w:rFonts w:ascii="黑体" w:hAnsi="黑体" w:eastAsia="黑体" w:cs="黑体"/>
          <w:sz w:val="32"/>
          <w:szCs w:val="32"/>
        </w:rPr>
      </w:pPr>
      <w:r>
        <w:rPr>
          <w:rFonts w:hint="eastAsia" w:ascii="黑体" w:hAnsi="黑体" w:eastAsia="黑体"/>
          <w:sz w:val="32"/>
          <w:szCs w:val="32"/>
        </w:rPr>
        <w:t>二、</w:t>
      </w:r>
      <w:bookmarkEnd w:id="27"/>
      <w:r>
        <w:rPr>
          <w:rFonts w:hint="eastAsia" w:ascii="黑体" w:hAnsi="黑体" w:eastAsia="黑体" w:cs="黑体"/>
          <w:sz w:val="32"/>
          <w:szCs w:val="32"/>
        </w:rPr>
        <w:t>绩效评价</w:t>
      </w:r>
      <w:bookmarkEnd w:id="28"/>
      <w:bookmarkEnd w:id="29"/>
      <w:r>
        <w:rPr>
          <w:rFonts w:hint="eastAsia" w:ascii="黑体" w:hAnsi="黑体" w:eastAsia="黑体" w:cs="黑体"/>
          <w:sz w:val="32"/>
          <w:szCs w:val="32"/>
        </w:rPr>
        <w:t>工作开展情况</w:t>
      </w:r>
      <w:bookmarkEnd w:id="30"/>
      <w:bookmarkEnd w:id="31"/>
      <w:bookmarkEnd w:id="32"/>
      <w:bookmarkEnd w:id="33"/>
      <w:bookmarkEnd w:id="34"/>
    </w:p>
    <w:p>
      <w:pPr>
        <w:pStyle w:val="4"/>
        <w:spacing w:before="0" w:after="0" w:line="560" w:lineRule="exact"/>
        <w:ind w:firstLine="640" w:firstLineChars="200"/>
        <w:rPr>
          <w:rFonts w:ascii="楷体_GB2312" w:hAnsi="楷体" w:eastAsia="楷体_GB2312" w:cs="楷体"/>
          <w:kern w:val="44"/>
        </w:rPr>
      </w:pPr>
      <w:bookmarkStart w:id="35" w:name="_Toc8160"/>
      <w:bookmarkStart w:id="36" w:name="_Toc23110"/>
      <w:bookmarkStart w:id="37" w:name="_Toc455492207"/>
      <w:bookmarkStart w:id="38" w:name="_Toc18849"/>
      <w:bookmarkStart w:id="39" w:name="_Toc7446"/>
      <w:bookmarkStart w:id="40" w:name="_Toc8158009"/>
      <w:bookmarkStart w:id="41" w:name="_Toc11177"/>
      <w:bookmarkStart w:id="42" w:name="_Toc17360"/>
      <w:r>
        <w:rPr>
          <w:rFonts w:hint="eastAsia" w:ascii="楷体_GB2312" w:hAnsi="楷体" w:eastAsia="楷体_GB2312" w:cs="楷体"/>
          <w:kern w:val="44"/>
        </w:rPr>
        <w:t>（一）绩效评价目的、对象和范围</w:t>
      </w:r>
      <w:bookmarkEnd w:id="35"/>
      <w:bookmarkEnd w:id="36"/>
      <w:bookmarkEnd w:id="37"/>
      <w:bookmarkEnd w:id="38"/>
      <w:bookmarkEnd w:id="39"/>
      <w:bookmarkEnd w:id="40"/>
      <w:bookmarkEnd w:id="41"/>
      <w:bookmarkEnd w:id="42"/>
    </w:p>
    <w:p>
      <w:pPr>
        <w:spacing w:line="560" w:lineRule="exact"/>
        <w:ind w:firstLine="643" w:firstLineChars="200"/>
        <w:rPr>
          <w:rFonts w:ascii="仿宋" w:hAnsi="仿宋" w:eastAsia="仿宋" w:cs="仿宋"/>
          <w:b/>
          <w:bCs/>
          <w:kern w:val="44"/>
          <w:sz w:val="32"/>
          <w:szCs w:val="32"/>
        </w:rPr>
      </w:pPr>
      <w:r>
        <w:rPr>
          <w:rFonts w:hint="eastAsia" w:ascii="仿宋" w:hAnsi="仿宋" w:eastAsia="仿宋" w:cs="仿宋"/>
          <w:b/>
          <w:bCs/>
          <w:kern w:val="44"/>
          <w:sz w:val="32"/>
          <w:szCs w:val="32"/>
        </w:rPr>
        <w:t>1.绩效评价目的</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该项目评价目的：一是加强预算绩效管理，强化支出责任，提高财政资金使用效益；二是进一步总结和分析项目资金的实施效果，检验财政支出预期目标实现程度，考核财政支出效率和综合效果；三是为以后年度预算编制提供参考依据。</w:t>
      </w:r>
    </w:p>
    <w:p>
      <w:pPr>
        <w:spacing w:line="560" w:lineRule="exact"/>
        <w:ind w:firstLine="643" w:firstLineChars="200"/>
        <w:rPr>
          <w:rFonts w:ascii="仿宋" w:hAnsi="仿宋" w:eastAsia="仿宋" w:cs="仿宋"/>
          <w:b/>
          <w:bCs/>
          <w:kern w:val="44"/>
          <w:sz w:val="32"/>
          <w:szCs w:val="32"/>
        </w:rPr>
      </w:pPr>
      <w:r>
        <w:rPr>
          <w:rFonts w:hint="eastAsia" w:ascii="仿宋" w:hAnsi="仿宋" w:eastAsia="仿宋" w:cs="仿宋"/>
          <w:b/>
          <w:bCs/>
          <w:kern w:val="44"/>
          <w:sz w:val="32"/>
          <w:szCs w:val="32"/>
        </w:rPr>
        <w:t>2.绩效评价对象和范围</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绩效考评项目中介服务费，项目资金313.4767万元。</w:t>
      </w:r>
    </w:p>
    <w:p>
      <w:pPr>
        <w:pStyle w:val="4"/>
        <w:spacing w:before="0" w:after="0" w:line="560" w:lineRule="exact"/>
        <w:ind w:firstLine="640" w:firstLineChars="200"/>
        <w:rPr>
          <w:rFonts w:ascii="楷体_GB2312" w:hAnsi="楷体" w:eastAsia="楷体_GB2312" w:cs="楷体"/>
          <w:kern w:val="44"/>
        </w:rPr>
      </w:pPr>
      <w:bookmarkStart w:id="43" w:name="_Toc28981"/>
      <w:bookmarkStart w:id="44" w:name="_Toc7379"/>
      <w:bookmarkStart w:id="45" w:name="_Toc1714"/>
      <w:r>
        <w:rPr>
          <w:rFonts w:hint="eastAsia" w:ascii="楷体_GB2312" w:hAnsi="楷体" w:eastAsia="楷体_GB2312" w:cs="楷体"/>
          <w:kern w:val="44"/>
        </w:rPr>
        <w:t>（二）绩效评价原则、评价方法、评价指标体系、评价标准</w:t>
      </w:r>
      <w:bookmarkEnd w:id="43"/>
      <w:bookmarkEnd w:id="44"/>
      <w:bookmarkEnd w:id="45"/>
    </w:p>
    <w:p>
      <w:pPr>
        <w:widowControl/>
        <w:spacing w:line="560" w:lineRule="exact"/>
        <w:ind w:firstLine="643" w:firstLineChars="200"/>
        <w:rPr>
          <w:rFonts w:ascii="仿宋" w:hAnsi="仿宋" w:eastAsia="仿宋" w:cs="仿宋"/>
          <w:bCs/>
          <w:kern w:val="44"/>
          <w:sz w:val="32"/>
          <w:szCs w:val="32"/>
        </w:rPr>
      </w:pPr>
      <w:r>
        <w:rPr>
          <w:rFonts w:hint="eastAsia" w:ascii="仿宋" w:hAnsi="仿宋" w:eastAsia="仿宋" w:cs="仿宋"/>
          <w:b/>
          <w:bCs/>
          <w:kern w:val="44"/>
          <w:sz w:val="32"/>
          <w:szCs w:val="32"/>
        </w:rPr>
        <w:t>1.绩效评价原则、评价方法</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评价工作组遵循“科学公正、统筹兼顾、激励约束、公开透明”的原则，运用公众评判法、比较法和因素分析法相结合的绩效评价方法，对该项目预先制定的目标进行绩效评价。</w:t>
      </w:r>
    </w:p>
    <w:p>
      <w:pPr>
        <w:widowControl/>
        <w:spacing w:line="560" w:lineRule="exact"/>
        <w:ind w:firstLine="643" w:firstLineChars="200"/>
        <w:rPr>
          <w:rFonts w:ascii="仿宋" w:hAnsi="仿宋" w:eastAsia="仿宋" w:cs="仿宋"/>
          <w:b/>
          <w:bCs/>
          <w:kern w:val="44"/>
          <w:sz w:val="32"/>
          <w:szCs w:val="32"/>
        </w:rPr>
      </w:pPr>
      <w:r>
        <w:rPr>
          <w:rFonts w:hint="eastAsia" w:ascii="仿宋" w:hAnsi="仿宋" w:eastAsia="仿宋" w:cs="仿宋"/>
          <w:b/>
          <w:bCs/>
          <w:kern w:val="44"/>
          <w:sz w:val="32"/>
          <w:szCs w:val="32"/>
        </w:rPr>
        <w:t>2.绩效评价指标体系、评价标准</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评价工作组按照“相关性、重要性、可比性、系统性”原则，结合项目特点，统一确定了绩效评价项目的绩效评价指标体系。</w:t>
      </w:r>
    </w:p>
    <w:p>
      <w:pPr>
        <w:spacing w:line="560" w:lineRule="exact"/>
        <w:rPr>
          <w:rFonts w:ascii="仿宋" w:hAnsi="仿宋" w:eastAsia="仿宋" w:cs="仿宋"/>
          <w:bCs/>
          <w:kern w:val="44"/>
          <w:sz w:val="32"/>
          <w:szCs w:val="32"/>
        </w:rPr>
      </w:pPr>
      <w:r>
        <w:rPr>
          <w:rFonts w:hint="eastAsia" w:ascii="仿宋" w:hAnsi="仿宋" w:eastAsia="仿宋" w:cs="仿宋"/>
          <w:bCs/>
          <w:kern w:val="44"/>
          <w:sz w:val="32"/>
          <w:szCs w:val="32"/>
        </w:rPr>
        <w:t>主要包括决策、过程、产出、效益四个方面，满分100分。</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一是决策指标（10分），主要评价绩效目标、决策依据和决策程序及资金投入情况；</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二是过程指标（20分），主要评价预算管理、资金到位、财务管理、组织机构、制度建设和过程控制；</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三是产出指标（40分），主要评价产出数量、质量、时效及成本等指标的实现情况；</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四是效益指标（30分），主要评价项目实现效果、可持续影响、服务对象满意度等内容。</w:t>
      </w:r>
    </w:p>
    <w:p>
      <w:pPr>
        <w:pStyle w:val="3"/>
        <w:spacing w:before="0" w:after="0" w:line="560" w:lineRule="exact"/>
        <w:ind w:firstLine="643" w:firstLineChars="200"/>
        <w:rPr>
          <w:rFonts w:ascii="黑体" w:hAnsi="黑体" w:eastAsia="黑体"/>
          <w:sz w:val="32"/>
          <w:szCs w:val="32"/>
        </w:rPr>
      </w:pPr>
      <w:bookmarkStart w:id="46" w:name="_Toc28840"/>
      <w:bookmarkStart w:id="47" w:name="_Toc4202"/>
      <w:bookmarkStart w:id="48" w:name="_Toc724"/>
      <w:bookmarkStart w:id="49" w:name="_Toc4346"/>
      <w:bookmarkStart w:id="50" w:name="_Toc20909"/>
      <w:r>
        <w:rPr>
          <w:rFonts w:hint="eastAsia" w:ascii="黑体" w:hAnsi="黑体" w:eastAsia="黑体"/>
          <w:sz w:val="32"/>
          <w:szCs w:val="32"/>
        </w:rPr>
        <w:t>三、综合评价情况及评价结论</w:t>
      </w:r>
      <w:bookmarkEnd w:id="46"/>
      <w:bookmarkEnd w:id="47"/>
      <w:bookmarkEnd w:id="48"/>
      <w:bookmarkEnd w:id="49"/>
      <w:bookmarkEnd w:id="50"/>
    </w:p>
    <w:p>
      <w:pPr>
        <w:spacing w:line="560" w:lineRule="exact"/>
        <w:ind w:firstLine="640"/>
        <w:rPr>
          <w:rFonts w:ascii="仿宋_GB2312" w:eastAsia="仿宋_GB2312"/>
          <w:sz w:val="24"/>
          <w:szCs w:val="24"/>
        </w:rPr>
      </w:pPr>
      <w:bookmarkStart w:id="51" w:name="_Toc7265"/>
      <w:bookmarkStart w:id="52" w:name="_Toc8158011"/>
      <w:bookmarkStart w:id="53" w:name="_Hlk8149894"/>
      <w:bookmarkStart w:id="54" w:name="_Toc455492209"/>
      <w:r>
        <w:rPr>
          <w:rFonts w:hint="eastAsia" w:ascii="仿宋_GB2312" w:eastAsia="仿宋_GB2312"/>
          <w:color w:val="000000"/>
          <w:kern w:val="0"/>
          <w:sz w:val="32"/>
          <w:szCs w:val="32"/>
        </w:rPr>
        <w:t>绩效考评项目中介服务费</w:t>
      </w:r>
      <w:r>
        <w:rPr>
          <w:rFonts w:hint="eastAsia" w:ascii="仿宋_GB2312" w:eastAsia="仿宋_GB2312"/>
          <w:sz w:val="32"/>
          <w:szCs w:val="32"/>
        </w:rPr>
        <w:t>项目综合得分98分，其中，项目决策9分、项目过程19分、项目产出40、项目效益30分，项目综合绩效评定结论为“优”。具体情况详见下表。</w:t>
      </w:r>
    </w:p>
    <w:p>
      <w:pPr>
        <w:pStyle w:val="8"/>
        <w:spacing w:line="560" w:lineRule="exact"/>
        <w:ind w:left="-141" w:leftChars="-67"/>
        <w:jc w:val="center"/>
        <w:rPr>
          <w:rFonts w:eastAsia="仿宋_GB2312"/>
          <w:b/>
          <w:sz w:val="32"/>
          <w:szCs w:val="32"/>
        </w:rPr>
      </w:pPr>
      <w:r>
        <w:rPr>
          <w:rFonts w:hint="eastAsia" w:eastAsia="仿宋_GB2312"/>
          <w:b/>
          <w:sz w:val="32"/>
          <w:szCs w:val="32"/>
        </w:rPr>
        <w:t>绩效考评项目中介服务费项目</w:t>
      </w:r>
      <w:r>
        <w:rPr>
          <w:rFonts w:eastAsia="仿宋_GB2312"/>
          <w:b/>
          <w:sz w:val="32"/>
          <w:szCs w:val="32"/>
        </w:rPr>
        <w:t>绩效评价结论一览表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3240"/>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250" w:type="dxa"/>
          </w:tcPr>
          <w:p>
            <w:pPr>
              <w:adjustRightInd w:val="0"/>
              <w:snapToGrid w:val="0"/>
              <w:spacing w:before="120" w:after="60" w:line="560" w:lineRule="exact"/>
              <w:jc w:val="center"/>
              <w:rPr>
                <w:rFonts w:ascii="黑体" w:hAnsi="黑体" w:eastAsia="黑体"/>
                <w:b/>
                <w:sz w:val="28"/>
                <w:szCs w:val="28"/>
              </w:rPr>
            </w:pPr>
            <w:r>
              <w:rPr>
                <w:rFonts w:ascii="黑体" w:hAnsi="黑体" w:eastAsia="黑体"/>
                <w:b/>
                <w:sz w:val="28"/>
                <w:szCs w:val="28"/>
              </w:rPr>
              <w:t>评价内容</w:t>
            </w:r>
          </w:p>
        </w:tc>
        <w:tc>
          <w:tcPr>
            <w:tcW w:w="3240" w:type="dxa"/>
          </w:tcPr>
          <w:p>
            <w:pPr>
              <w:adjustRightInd w:val="0"/>
              <w:snapToGrid w:val="0"/>
              <w:spacing w:before="120" w:after="60" w:line="560" w:lineRule="exact"/>
              <w:jc w:val="center"/>
              <w:rPr>
                <w:rFonts w:ascii="黑体" w:hAnsi="黑体" w:eastAsia="黑体"/>
                <w:b/>
                <w:sz w:val="28"/>
                <w:szCs w:val="28"/>
              </w:rPr>
            </w:pPr>
            <w:r>
              <w:rPr>
                <w:rFonts w:ascii="黑体" w:hAnsi="黑体" w:eastAsia="黑体"/>
                <w:b/>
                <w:sz w:val="28"/>
                <w:szCs w:val="28"/>
              </w:rPr>
              <w:t>分值</w:t>
            </w:r>
          </w:p>
        </w:tc>
        <w:tc>
          <w:tcPr>
            <w:tcW w:w="2995" w:type="dxa"/>
          </w:tcPr>
          <w:p>
            <w:pPr>
              <w:adjustRightInd w:val="0"/>
              <w:snapToGrid w:val="0"/>
              <w:spacing w:before="120" w:after="60" w:line="560" w:lineRule="exact"/>
              <w:jc w:val="center"/>
              <w:rPr>
                <w:rFonts w:ascii="黑体" w:hAnsi="黑体" w:eastAsia="黑体"/>
                <w:b/>
                <w:sz w:val="28"/>
                <w:szCs w:val="28"/>
              </w:rPr>
            </w:pPr>
            <w:r>
              <w:rPr>
                <w:rFonts w:ascii="黑体" w:hAnsi="黑体" w:eastAsia="黑体"/>
                <w:b/>
                <w:sz w:val="28"/>
                <w:szCs w:val="28"/>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50" w:type="dxa"/>
          </w:tcPr>
          <w:p>
            <w:pPr>
              <w:pStyle w:val="7"/>
              <w:adjustRightInd w:val="0"/>
              <w:snapToGrid w:val="0"/>
              <w:spacing w:before="120" w:after="60" w:line="560" w:lineRule="exact"/>
              <w:ind w:firstLine="0"/>
              <w:jc w:val="center"/>
              <w:rPr>
                <w:rFonts w:eastAsia="仿宋_GB2312"/>
                <w:b/>
                <w:sz w:val="28"/>
                <w:szCs w:val="28"/>
              </w:rPr>
            </w:pPr>
            <w:r>
              <w:rPr>
                <w:rFonts w:eastAsia="仿宋_GB2312"/>
                <w:b/>
                <w:sz w:val="28"/>
                <w:szCs w:val="28"/>
              </w:rPr>
              <w:t>项目决策</w:t>
            </w:r>
          </w:p>
        </w:tc>
        <w:tc>
          <w:tcPr>
            <w:tcW w:w="3240" w:type="dxa"/>
          </w:tcPr>
          <w:p>
            <w:pPr>
              <w:adjustRightInd w:val="0"/>
              <w:snapToGrid w:val="0"/>
              <w:spacing w:line="560" w:lineRule="exact"/>
              <w:jc w:val="center"/>
              <w:rPr>
                <w:rFonts w:eastAsia="仿宋_GB2312"/>
                <w:b/>
                <w:sz w:val="28"/>
                <w:szCs w:val="28"/>
              </w:rPr>
            </w:pPr>
            <w:r>
              <w:rPr>
                <w:rFonts w:hint="eastAsia" w:eastAsia="仿宋_GB2312"/>
                <w:b/>
                <w:sz w:val="28"/>
                <w:szCs w:val="28"/>
              </w:rPr>
              <w:t>10.00</w:t>
            </w:r>
          </w:p>
        </w:tc>
        <w:tc>
          <w:tcPr>
            <w:tcW w:w="2995" w:type="dxa"/>
          </w:tcPr>
          <w:p>
            <w:pPr>
              <w:adjustRightInd w:val="0"/>
              <w:snapToGrid w:val="0"/>
              <w:spacing w:line="560" w:lineRule="exact"/>
              <w:jc w:val="center"/>
              <w:rPr>
                <w:rFonts w:eastAsia="仿宋_GB2312"/>
                <w:b/>
                <w:sz w:val="28"/>
                <w:szCs w:val="28"/>
              </w:rPr>
            </w:pPr>
            <w:r>
              <w:rPr>
                <w:rFonts w:hint="eastAsia" w:eastAsia="仿宋_GB2312"/>
                <w:b/>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50" w:type="dxa"/>
          </w:tcPr>
          <w:p>
            <w:pPr>
              <w:adjustRightInd w:val="0"/>
              <w:snapToGrid w:val="0"/>
              <w:spacing w:before="120" w:after="60" w:line="560" w:lineRule="exact"/>
              <w:jc w:val="center"/>
              <w:rPr>
                <w:rFonts w:eastAsia="仿宋_GB2312"/>
                <w:b/>
                <w:sz w:val="28"/>
                <w:szCs w:val="28"/>
              </w:rPr>
            </w:pPr>
            <w:r>
              <w:rPr>
                <w:rFonts w:eastAsia="仿宋_GB2312"/>
                <w:b/>
                <w:sz w:val="28"/>
                <w:szCs w:val="28"/>
              </w:rPr>
              <w:t>项目</w:t>
            </w:r>
            <w:r>
              <w:rPr>
                <w:rFonts w:hint="eastAsia" w:eastAsia="仿宋_GB2312"/>
                <w:b/>
                <w:sz w:val="28"/>
                <w:szCs w:val="28"/>
              </w:rPr>
              <w:t>过程</w:t>
            </w:r>
          </w:p>
        </w:tc>
        <w:tc>
          <w:tcPr>
            <w:tcW w:w="3240" w:type="dxa"/>
          </w:tcPr>
          <w:p>
            <w:pPr>
              <w:adjustRightInd w:val="0"/>
              <w:snapToGrid w:val="0"/>
              <w:spacing w:line="560" w:lineRule="exact"/>
              <w:jc w:val="center"/>
              <w:rPr>
                <w:rFonts w:eastAsia="仿宋_GB2312"/>
                <w:b/>
                <w:sz w:val="28"/>
                <w:szCs w:val="28"/>
              </w:rPr>
            </w:pPr>
            <w:r>
              <w:rPr>
                <w:rFonts w:hint="eastAsia" w:eastAsia="仿宋_GB2312"/>
                <w:b/>
                <w:sz w:val="28"/>
                <w:szCs w:val="28"/>
              </w:rPr>
              <w:t>20.00</w:t>
            </w:r>
          </w:p>
        </w:tc>
        <w:tc>
          <w:tcPr>
            <w:tcW w:w="2995" w:type="dxa"/>
          </w:tcPr>
          <w:p>
            <w:pPr>
              <w:adjustRightInd w:val="0"/>
              <w:snapToGrid w:val="0"/>
              <w:spacing w:line="560" w:lineRule="exact"/>
              <w:jc w:val="center"/>
              <w:rPr>
                <w:rFonts w:eastAsia="仿宋_GB2312"/>
                <w:b/>
                <w:sz w:val="28"/>
                <w:szCs w:val="28"/>
              </w:rPr>
            </w:pPr>
            <w:r>
              <w:rPr>
                <w:rFonts w:hint="eastAsia" w:eastAsia="仿宋_GB2312"/>
                <w:b/>
                <w:sz w:val="28"/>
                <w:szCs w:val="2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50" w:type="dxa"/>
          </w:tcPr>
          <w:p>
            <w:pPr>
              <w:adjustRightInd w:val="0"/>
              <w:snapToGrid w:val="0"/>
              <w:spacing w:before="120" w:after="60" w:line="560" w:lineRule="exact"/>
              <w:jc w:val="center"/>
              <w:rPr>
                <w:rFonts w:eastAsia="仿宋_GB2312"/>
                <w:b/>
                <w:sz w:val="28"/>
                <w:szCs w:val="28"/>
              </w:rPr>
            </w:pPr>
            <w:r>
              <w:rPr>
                <w:rFonts w:eastAsia="仿宋_GB2312"/>
                <w:b/>
                <w:sz w:val="28"/>
                <w:szCs w:val="28"/>
              </w:rPr>
              <w:t>项目</w:t>
            </w:r>
            <w:r>
              <w:rPr>
                <w:rFonts w:hint="eastAsia" w:eastAsia="仿宋_GB2312"/>
                <w:b/>
                <w:sz w:val="28"/>
                <w:szCs w:val="28"/>
              </w:rPr>
              <w:t>产出</w:t>
            </w:r>
          </w:p>
        </w:tc>
        <w:tc>
          <w:tcPr>
            <w:tcW w:w="3240" w:type="dxa"/>
          </w:tcPr>
          <w:p>
            <w:pPr>
              <w:adjustRightInd w:val="0"/>
              <w:snapToGrid w:val="0"/>
              <w:spacing w:line="560" w:lineRule="exact"/>
              <w:jc w:val="center"/>
              <w:rPr>
                <w:rFonts w:eastAsia="仿宋_GB2312"/>
                <w:b/>
                <w:sz w:val="28"/>
                <w:szCs w:val="28"/>
              </w:rPr>
            </w:pPr>
            <w:r>
              <w:rPr>
                <w:rFonts w:hint="eastAsia" w:eastAsia="仿宋_GB2312"/>
                <w:b/>
                <w:sz w:val="28"/>
                <w:szCs w:val="28"/>
              </w:rPr>
              <w:t>40.00</w:t>
            </w:r>
          </w:p>
        </w:tc>
        <w:tc>
          <w:tcPr>
            <w:tcW w:w="2995" w:type="dxa"/>
          </w:tcPr>
          <w:p>
            <w:pPr>
              <w:adjustRightInd w:val="0"/>
              <w:snapToGrid w:val="0"/>
              <w:spacing w:line="560" w:lineRule="exact"/>
              <w:jc w:val="center"/>
              <w:rPr>
                <w:rFonts w:eastAsia="仿宋_GB2312"/>
                <w:b/>
                <w:sz w:val="28"/>
                <w:szCs w:val="28"/>
              </w:rPr>
            </w:pPr>
            <w:r>
              <w:rPr>
                <w:rFonts w:hint="eastAsia" w:eastAsia="仿宋_GB2312"/>
                <w:b/>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50" w:type="dxa"/>
          </w:tcPr>
          <w:p>
            <w:pPr>
              <w:adjustRightInd w:val="0"/>
              <w:snapToGrid w:val="0"/>
              <w:spacing w:before="120" w:after="60" w:line="560" w:lineRule="exact"/>
              <w:jc w:val="center"/>
              <w:rPr>
                <w:rFonts w:eastAsia="仿宋_GB2312"/>
                <w:b/>
                <w:sz w:val="28"/>
                <w:szCs w:val="28"/>
              </w:rPr>
            </w:pPr>
            <w:r>
              <w:rPr>
                <w:rFonts w:hint="eastAsia" w:eastAsia="仿宋_GB2312"/>
                <w:b/>
                <w:sz w:val="28"/>
                <w:szCs w:val="28"/>
              </w:rPr>
              <w:t>项目效益</w:t>
            </w:r>
          </w:p>
        </w:tc>
        <w:tc>
          <w:tcPr>
            <w:tcW w:w="3240" w:type="dxa"/>
          </w:tcPr>
          <w:p>
            <w:pPr>
              <w:adjustRightInd w:val="0"/>
              <w:snapToGrid w:val="0"/>
              <w:spacing w:line="560" w:lineRule="exact"/>
              <w:jc w:val="center"/>
              <w:rPr>
                <w:rFonts w:eastAsia="仿宋_GB2312"/>
                <w:b/>
                <w:sz w:val="28"/>
                <w:szCs w:val="28"/>
              </w:rPr>
            </w:pPr>
            <w:r>
              <w:rPr>
                <w:rFonts w:hint="eastAsia" w:eastAsia="仿宋_GB2312"/>
                <w:b/>
                <w:sz w:val="28"/>
                <w:szCs w:val="28"/>
              </w:rPr>
              <w:t>30.00</w:t>
            </w:r>
          </w:p>
        </w:tc>
        <w:tc>
          <w:tcPr>
            <w:tcW w:w="2995" w:type="dxa"/>
          </w:tcPr>
          <w:p>
            <w:pPr>
              <w:adjustRightInd w:val="0"/>
              <w:snapToGrid w:val="0"/>
              <w:spacing w:line="560" w:lineRule="exact"/>
              <w:jc w:val="center"/>
              <w:rPr>
                <w:rFonts w:eastAsia="仿宋_GB2312"/>
                <w:b/>
                <w:sz w:val="28"/>
                <w:szCs w:val="28"/>
              </w:rPr>
            </w:pPr>
            <w:r>
              <w:rPr>
                <w:rFonts w:hint="eastAsia" w:eastAsia="仿宋_GB2312"/>
                <w:b/>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250" w:type="dxa"/>
          </w:tcPr>
          <w:p>
            <w:pPr>
              <w:adjustRightInd w:val="0"/>
              <w:snapToGrid w:val="0"/>
              <w:spacing w:before="120" w:after="60" w:line="560" w:lineRule="exact"/>
              <w:jc w:val="center"/>
              <w:rPr>
                <w:rFonts w:eastAsia="仿宋_GB2312"/>
                <w:b/>
                <w:sz w:val="28"/>
                <w:szCs w:val="28"/>
              </w:rPr>
            </w:pPr>
            <w:r>
              <w:rPr>
                <w:rFonts w:eastAsia="仿宋_GB2312"/>
                <w:b/>
                <w:sz w:val="28"/>
                <w:szCs w:val="28"/>
              </w:rPr>
              <w:t>综合得分</w:t>
            </w:r>
          </w:p>
        </w:tc>
        <w:tc>
          <w:tcPr>
            <w:tcW w:w="3240" w:type="dxa"/>
          </w:tcPr>
          <w:p>
            <w:pPr>
              <w:adjustRightInd w:val="0"/>
              <w:snapToGrid w:val="0"/>
              <w:spacing w:line="560" w:lineRule="exact"/>
              <w:jc w:val="center"/>
              <w:rPr>
                <w:rFonts w:eastAsia="仿宋_GB2312"/>
                <w:b/>
                <w:sz w:val="28"/>
                <w:szCs w:val="28"/>
              </w:rPr>
            </w:pPr>
            <w:r>
              <w:rPr>
                <w:rFonts w:eastAsia="仿宋_GB2312"/>
                <w:b/>
                <w:sz w:val="28"/>
                <w:szCs w:val="28"/>
              </w:rPr>
              <w:t>100.00</w:t>
            </w:r>
          </w:p>
        </w:tc>
        <w:tc>
          <w:tcPr>
            <w:tcW w:w="2995" w:type="dxa"/>
          </w:tcPr>
          <w:p>
            <w:pPr>
              <w:adjustRightInd w:val="0"/>
              <w:snapToGrid w:val="0"/>
              <w:spacing w:line="560" w:lineRule="exact"/>
              <w:jc w:val="center"/>
              <w:rPr>
                <w:rFonts w:eastAsia="仿宋_GB2312"/>
                <w:b/>
                <w:sz w:val="28"/>
                <w:szCs w:val="28"/>
              </w:rPr>
            </w:pPr>
            <w:r>
              <w:rPr>
                <w:rFonts w:hint="eastAsia" w:eastAsia="仿宋_GB2312"/>
                <w:b/>
                <w:sz w:val="28"/>
                <w:szCs w:val="2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250" w:type="dxa"/>
          </w:tcPr>
          <w:p>
            <w:pPr>
              <w:adjustRightInd w:val="0"/>
              <w:snapToGrid w:val="0"/>
              <w:spacing w:before="120" w:after="60" w:line="560" w:lineRule="exact"/>
              <w:jc w:val="center"/>
              <w:rPr>
                <w:rFonts w:eastAsia="仿宋_GB2312"/>
                <w:b/>
                <w:sz w:val="28"/>
                <w:szCs w:val="28"/>
              </w:rPr>
            </w:pPr>
            <w:r>
              <w:rPr>
                <w:rFonts w:eastAsia="仿宋_GB2312"/>
                <w:b/>
                <w:sz w:val="28"/>
                <w:szCs w:val="28"/>
              </w:rPr>
              <w:t>绩效评定级别</w:t>
            </w:r>
          </w:p>
        </w:tc>
        <w:tc>
          <w:tcPr>
            <w:tcW w:w="6235" w:type="dxa"/>
            <w:gridSpan w:val="2"/>
          </w:tcPr>
          <w:p>
            <w:pPr>
              <w:adjustRightInd w:val="0"/>
              <w:snapToGrid w:val="0"/>
              <w:spacing w:line="560" w:lineRule="exact"/>
              <w:jc w:val="center"/>
              <w:rPr>
                <w:rFonts w:eastAsia="仿宋_GB2312"/>
                <w:b/>
                <w:sz w:val="28"/>
                <w:szCs w:val="28"/>
              </w:rPr>
            </w:pPr>
            <w:r>
              <w:rPr>
                <w:rFonts w:hint="eastAsia" w:eastAsia="仿宋_GB2312"/>
                <w:b/>
                <w:sz w:val="28"/>
                <w:szCs w:val="28"/>
              </w:rPr>
              <w:t>优</w:t>
            </w:r>
          </w:p>
        </w:tc>
      </w:tr>
      <w:bookmarkEnd w:id="51"/>
      <w:bookmarkEnd w:id="52"/>
    </w:tbl>
    <w:p>
      <w:pPr>
        <w:pStyle w:val="3"/>
        <w:spacing w:before="0" w:after="0" w:line="560" w:lineRule="exact"/>
        <w:ind w:firstLine="643" w:firstLineChars="200"/>
        <w:rPr>
          <w:rFonts w:ascii="黑体" w:hAnsi="黑体" w:eastAsia="黑体"/>
          <w:sz w:val="32"/>
          <w:szCs w:val="32"/>
        </w:rPr>
      </w:pPr>
      <w:bookmarkStart w:id="55" w:name="_Toc14343"/>
      <w:bookmarkStart w:id="56" w:name="_Toc1811"/>
      <w:bookmarkStart w:id="57" w:name="_Toc1136"/>
      <w:bookmarkStart w:id="58" w:name="_Toc11842"/>
      <w:bookmarkStart w:id="59" w:name="_Toc32706"/>
      <w:r>
        <w:rPr>
          <w:rFonts w:hint="eastAsia" w:ascii="黑体" w:hAnsi="黑体" w:eastAsia="黑体"/>
          <w:sz w:val="32"/>
          <w:szCs w:val="32"/>
        </w:rPr>
        <w:t>四、绩效评价指标分析</w:t>
      </w:r>
      <w:bookmarkEnd w:id="55"/>
      <w:bookmarkEnd w:id="56"/>
      <w:bookmarkEnd w:id="57"/>
      <w:bookmarkEnd w:id="58"/>
      <w:bookmarkEnd w:id="59"/>
    </w:p>
    <w:bookmarkEnd w:id="53"/>
    <w:p>
      <w:pPr>
        <w:pStyle w:val="4"/>
        <w:spacing w:before="0" w:after="0" w:line="560" w:lineRule="exact"/>
        <w:ind w:firstLine="640" w:firstLineChars="200"/>
        <w:rPr>
          <w:rFonts w:ascii="楷体_GB2312" w:hAnsi="楷体" w:eastAsia="楷体_GB2312" w:cs="楷体"/>
          <w:kern w:val="44"/>
        </w:rPr>
      </w:pPr>
      <w:bookmarkStart w:id="60" w:name="_Toc6674"/>
      <w:bookmarkStart w:id="61" w:name="_Toc23418"/>
      <w:bookmarkStart w:id="62" w:name="_Toc24238"/>
      <w:bookmarkStart w:id="63" w:name="_Toc23360"/>
      <w:bookmarkStart w:id="64" w:name="_Toc26781"/>
      <w:r>
        <w:rPr>
          <w:rFonts w:hint="eastAsia" w:ascii="楷体_GB2312" w:hAnsi="楷体" w:eastAsia="楷体_GB2312" w:cs="楷体"/>
          <w:kern w:val="44"/>
        </w:rPr>
        <w:t>（一）项目决策情况</w:t>
      </w:r>
      <w:bookmarkEnd w:id="60"/>
      <w:bookmarkEnd w:id="61"/>
      <w:bookmarkEnd w:id="62"/>
      <w:bookmarkEnd w:id="63"/>
      <w:bookmarkEnd w:id="64"/>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项目决策指标，满分10.00分，评定得分为</w:t>
      </w:r>
      <w:r>
        <w:rPr>
          <w:rFonts w:hint="eastAsia" w:ascii="仿宋" w:hAnsi="仿宋" w:eastAsia="仿宋" w:cs="仿宋"/>
          <w:sz w:val="32"/>
          <w:szCs w:val="32"/>
        </w:rPr>
        <w:t>9</w:t>
      </w:r>
      <w:r>
        <w:rPr>
          <w:rFonts w:hint="eastAsia" w:ascii="仿宋" w:hAnsi="仿宋" w:eastAsia="仿宋" w:cs="仿宋"/>
          <w:bCs/>
          <w:kern w:val="44"/>
          <w:sz w:val="32"/>
          <w:szCs w:val="32"/>
        </w:rPr>
        <w:t>分。项目决策严格按照“三重一大”议事规定执行。项目资金参考往年绩效项目工作量情况及付费标准进行测算，经局党组会审议通过后，按规定履行政府采购相关程序。项目决策依据充分，决策程序规范，资料完备，项目的绩效目标较明确，但预算编制的准确性有待提升，部分绩效目标设置细化、量化程度不足，指标设置科学合理性有待加强。</w:t>
      </w:r>
    </w:p>
    <w:p>
      <w:pPr>
        <w:pStyle w:val="4"/>
        <w:spacing w:before="0" w:after="0" w:line="560" w:lineRule="exact"/>
        <w:ind w:firstLine="640" w:firstLineChars="200"/>
        <w:rPr>
          <w:rFonts w:ascii="楷体_GB2312" w:hAnsi="楷体" w:eastAsia="楷体_GB2312" w:cs="楷体"/>
          <w:kern w:val="44"/>
        </w:rPr>
      </w:pPr>
      <w:bookmarkStart w:id="65" w:name="_Toc29404"/>
      <w:bookmarkStart w:id="66" w:name="_Toc27851"/>
      <w:bookmarkStart w:id="67" w:name="_Toc8314"/>
      <w:bookmarkStart w:id="68" w:name="_Toc18121"/>
      <w:bookmarkStart w:id="69" w:name="_Toc5345"/>
      <w:r>
        <w:rPr>
          <w:rFonts w:hint="eastAsia" w:ascii="楷体_GB2312" w:hAnsi="楷体" w:eastAsia="楷体_GB2312" w:cs="楷体"/>
          <w:kern w:val="44"/>
        </w:rPr>
        <w:t>（二）项目过程情况</w:t>
      </w:r>
      <w:bookmarkEnd w:id="65"/>
      <w:bookmarkEnd w:id="66"/>
      <w:bookmarkEnd w:id="67"/>
      <w:bookmarkEnd w:id="68"/>
      <w:bookmarkEnd w:id="69"/>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项目过程指标，满分20.00分，评价得分为19分。在资金到位和管理方面，财政资金足额及时到位，财务管理制度较为健全，资金支付依据绩效项目完成进度情况和合同约定的费用支付比例或标准进行核算，局党组会审批通过后及时予以付款，付款要求发票等各类手续齐全，并及时进行账务登记。</w:t>
      </w:r>
    </w:p>
    <w:p>
      <w:pPr>
        <w:spacing w:line="560" w:lineRule="exact"/>
        <w:ind w:firstLine="640" w:firstLineChars="200"/>
        <w:rPr>
          <w:rFonts w:ascii="仿宋" w:hAnsi="仿宋" w:eastAsia="仿宋" w:cs="仿宋"/>
          <w:bCs/>
          <w:color w:val="FF0000"/>
          <w:kern w:val="44"/>
          <w:sz w:val="32"/>
          <w:szCs w:val="32"/>
        </w:rPr>
      </w:pPr>
      <w:r>
        <w:rPr>
          <w:rFonts w:hint="eastAsia" w:ascii="仿宋" w:hAnsi="仿宋" w:eastAsia="仿宋" w:cs="仿宋"/>
          <w:bCs/>
          <w:kern w:val="44"/>
          <w:sz w:val="32"/>
          <w:szCs w:val="32"/>
        </w:rPr>
        <w:t>在项目实施方面，工作制度及流程健全，丰台区财政局先后发布及修订了《丰台区预算绩效管理办法》（丰财绩效〔2020〕374号）、《丰台区预算绩效目标管理办法》（丰财绩效〔2021〕2514号）、《丰台区财政支出事前绩效评估管理办法》（丰财绩效〔2022〕2003号）、《丰台区部门预算绩效运行监控管理办法》（丰财绩效〔2021〕2517号）、《丰台区项目支出绩效评价管理办法》（丰财绩效〔2021〕2526号）等制度，对各类绩效评价项目的执行要求与流程进行了明确，为项目的开展提供了制度约束与保证。</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绩效评价项目实施工作主要包括准备、实施、总结三个阶段。</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项目准备过程中，区财政局绩效评价科（考评中心）接到绩效项目委托后，组建绩效评价工作组和专家组，</w:t>
      </w:r>
      <w:r>
        <w:rPr>
          <w:rFonts w:hint="eastAsia" w:ascii="仿宋_GB2312" w:eastAsia="仿宋_GB2312"/>
          <w:sz w:val="32"/>
          <w:szCs w:val="32"/>
        </w:rPr>
        <w:t>按工作流程开展项目评估、评价等工作。</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项目实施过程中，绩效评价工作组对项目单位进行</w:t>
      </w:r>
      <w:r>
        <w:rPr>
          <w:rFonts w:hint="eastAsia" w:ascii="仿宋_GB2312" w:eastAsia="仿宋_GB2312"/>
          <w:sz w:val="32"/>
          <w:szCs w:val="32"/>
        </w:rPr>
        <w:t>现场辅导，按照清单收集资料，进行分类整理。</w:t>
      </w:r>
      <w:r>
        <w:rPr>
          <w:rFonts w:hint="eastAsia" w:ascii="仿宋" w:hAnsi="仿宋" w:eastAsia="仿宋" w:cs="仿宋"/>
          <w:bCs/>
          <w:kern w:val="44"/>
          <w:sz w:val="32"/>
          <w:szCs w:val="32"/>
        </w:rPr>
        <w:t>具体项目推进中，绩效评价科（考评中心）的项目负责人与第三方机构人员随时沟通交流，及时掌握项目进展情况，同时督促第三方机构人员严格遵守各项工作制度和保密要求，监督工作组及专家组按照规程和要求开展绩效评价各项工作。</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项目总结过程中，绩效评价工作组按照正式专家会意见总结撰写绩效评价报告，进行审核、征求意见、发布、资料归档等工作。</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绩效评价科（考评中心）每年对第三方机构工作人员开展制度及业务培训，提出工作要求及规范，在入户、专家会召开、绩效报告审核及资料归档等重要工作节点进行认真检查与指导，保证项目过程的规范性。2023年10月制定并发布《丰台区预算绩效管理工作第三方机构工作规范》（丰财绩效〔2023〕1889号），由于该规范自2024年1月1日正式实施，本项目执行过程中尚未正式执行，仍存在不同第三方机构、不同项目开展过程流程、标准不一致的情况。</w:t>
      </w:r>
    </w:p>
    <w:p>
      <w:pPr>
        <w:pStyle w:val="4"/>
        <w:spacing w:before="0" w:after="0" w:line="560" w:lineRule="exact"/>
        <w:ind w:firstLine="640" w:firstLineChars="200"/>
        <w:rPr>
          <w:rFonts w:ascii="楷体_GB2312" w:hAnsi="楷体" w:eastAsia="楷体_GB2312" w:cs="楷体"/>
          <w:kern w:val="44"/>
        </w:rPr>
      </w:pPr>
      <w:bookmarkStart w:id="70" w:name="_Toc11744"/>
      <w:bookmarkStart w:id="71" w:name="_Toc18601"/>
      <w:bookmarkStart w:id="72" w:name="_Toc27040"/>
      <w:bookmarkStart w:id="73" w:name="_Toc27468"/>
      <w:bookmarkStart w:id="74" w:name="_Toc13690"/>
      <w:r>
        <w:rPr>
          <w:rFonts w:hint="eastAsia" w:ascii="楷体_GB2312" w:hAnsi="楷体" w:eastAsia="楷体_GB2312" w:cs="楷体"/>
          <w:kern w:val="44"/>
        </w:rPr>
        <w:t>（三）项目产出情况</w:t>
      </w:r>
      <w:bookmarkEnd w:id="70"/>
      <w:bookmarkEnd w:id="71"/>
      <w:bookmarkEnd w:id="72"/>
      <w:bookmarkEnd w:id="73"/>
      <w:bookmarkEnd w:id="74"/>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项目产出指标，满分40.00分，评价得分为40分。2023年全年共完成绩效项目90个，涉及财政资金72.7亿元。</w:t>
      </w:r>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绩效评价科（考评中心）按照工作规范和流程要求，对第三方机构工作质量进行监督，出具正式评审报告之前，按照岗位设置分四级对评审报告进行复核、稽核，确保了审核结论的合规性、完整性、依据性和准确性，无重大失误。项目产出基本达到了预期目标，且项目完成质量较好。</w:t>
      </w:r>
    </w:p>
    <w:p>
      <w:pPr>
        <w:pStyle w:val="4"/>
        <w:spacing w:before="0" w:after="0" w:line="560" w:lineRule="exact"/>
        <w:ind w:firstLine="640" w:firstLineChars="200"/>
        <w:rPr>
          <w:rFonts w:ascii="楷体_GB2312" w:hAnsi="楷体" w:eastAsia="楷体_GB2312" w:cs="楷体"/>
          <w:kern w:val="44"/>
        </w:rPr>
      </w:pPr>
      <w:bookmarkStart w:id="75" w:name="_Toc5588"/>
      <w:bookmarkStart w:id="76" w:name="_Toc15076"/>
      <w:bookmarkStart w:id="77" w:name="_Toc23597"/>
      <w:bookmarkStart w:id="78" w:name="_Toc11159"/>
      <w:bookmarkStart w:id="79" w:name="_Toc26040"/>
      <w:r>
        <w:rPr>
          <w:rFonts w:hint="eastAsia" w:ascii="楷体_GB2312" w:hAnsi="楷体" w:eastAsia="楷体_GB2312" w:cs="楷体"/>
          <w:kern w:val="44"/>
        </w:rPr>
        <w:t>（四）项目效益情况</w:t>
      </w:r>
      <w:bookmarkEnd w:id="75"/>
      <w:bookmarkEnd w:id="76"/>
      <w:bookmarkEnd w:id="77"/>
      <w:bookmarkEnd w:id="78"/>
      <w:bookmarkEnd w:id="79"/>
    </w:p>
    <w:p>
      <w:pPr>
        <w:spacing w:line="560" w:lineRule="exact"/>
        <w:ind w:firstLine="640" w:firstLineChars="200"/>
        <w:rPr>
          <w:rFonts w:ascii="仿宋_GB2312" w:hAnsi="仿宋_GB2312" w:eastAsia="仿宋_GB2312" w:cs="仿宋_GB2312"/>
          <w:bCs/>
          <w:kern w:val="44"/>
          <w:sz w:val="32"/>
          <w:szCs w:val="32"/>
        </w:rPr>
      </w:pPr>
      <w:r>
        <w:rPr>
          <w:rFonts w:hint="eastAsia" w:ascii="仿宋" w:hAnsi="仿宋" w:eastAsia="仿宋" w:cs="仿宋"/>
          <w:bCs/>
          <w:kern w:val="44"/>
          <w:sz w:val="32"/>
          <w:szCs w:val="32"/>
        </w:rPr>
        <w:t>项目效益指标，满分30.00分，评价得分为30分。</w:t>
      </w:r>
      <w:bookmarkStart w:id="80" w:name="_Toc23034"/>
      <w:bookmarkStart w:id="81" w:name="_Toc8158012"/>
      <w:bookmarkStart w:id="82" w:name="_Hlk8149881"/>
      <w:r>
        <w:rPr>
          <w:rFonts w:hint="eastAsia" w:ascii="仿宋" w:hAnsi="仿宋" w:eastAsia="仿宋" w:cs="仿宋"/>
          <w:bCs/>
          <w:kern w:val="44"/>
          <w:sz w:val="32"/>
          <w:szCs w:val="32"/>
        </w:rPr>
        <w:t>2023年度，绩效评价科（考评中心）</w:t>
      </w:r>
      <w:r>
        <w:rPr>
          <w:rFonts w:hint="eastAsia" w:ascii="仿宋_GB2312" w:hAnsi="仿宋_GB2312" w:eastAsia="仿宋_GB2312" w:cs="仿宋_GB2312"/>
          <w:sz w:val="32"/>
          <w:szCs w:val="32"/>
        </w:rPr>
        <w:t>组织开展事前绩效评估项目</w:t>
      </w:r>
      <w:r>
        <w:rPr>
          <w:rFonts w:hint="eastAsia" w:hAnsi="仿宋_GB2312" w:cs="仿宋_GB2312"/>
          <w:sz w:val="32"/>
          <w:szCs w:val="32"/>
        </w:rPr>
        <w:t>49</w:t>
      </w:r>
      <w:r>
        <w:rPr>
          <w:rFonts w:hint="eastAsia" w:ascii="仿宋_GB2312" w:hAnsi="仿宋_GB2312" w:eastAsia="仿宋_GB2312" w:cs="仿宋_GB2312"/>
          <w:sz w:val="32"/>
          <w:szCs w:val="32"/>
        </w:rPr>
        <w:t>个，评估金额约</w:t>
      </w:r>
      <w:r>
        <w:rPr>
          <w:rFonts w:hint="eastAsia" w:hAnsi="仿宋_GB2312" w:cs="仿宋_GB2312"/>
          <w:sz w:val="32"/>
          <w:szCs w:val="32"/>
        </w:rPr>
        <w:t>7.66</w:t>
      </w:r>
      <w:r>
        <w:rPr>
          <w:rFonts w:hint="eastAsia" w:ascii="仿宋_GB2312" w:hAnsi="仿宋_GB2312" w:eastAsia="仿宋_GB2312" w:cs="仿宋_GB2312"/>
          <w:sz w:val="32"/>
          <w:szCs w:val="32"/>
        </w:rPr>
        <w:t>亿元，其中，“予以支持”项目</w:t>
      </w:r>
      <w:r>
        <w:rPr>
          <w:rFonts w:hint="eastAsia" w:hAnsi="仿宋_GB2312" w:cs="仿宋_GB2312"/>
          <w:sz w:val="32"/>
          <w:szCs w:val="32"/>
        </w:rPr>
        <w:t>24</w:t>
      </w:r>
      <w:r>
        <w:rPr>
          <w:rFonts w:hint="eastAsia" w:ascii="仿宋_GB2312" w:hAnsi="仿宋_GB2312" w:eastAsia="仿宋_GB2312" w:cs="仿宋_GB2312"/>
          <w:sz w:val="32"/>
          <w:szCs w:val="32"/>
        </w:rPr>
        <w:t>个，“部分支持”项目</w:t>
      </w:r>
      <w:r>
        <w:rPr>
          <w:rFonts w:hint="eastAsia" w:hAnsi="仿宋_GB2312" w:cs="仿宋_GB2312"/>
          <w:sz w:val="32"/>
          <w:szCs w:val="32"/>
        </w:rPr>
        <w:t>16</w:t>
      </w:r>
      <w:r>
        <w:rPr>
          <w:rFonts w:hint="eastAsia" w:ascii="仿宋_GB2312" w:hAnsi="仿宋_GB2312" w:eastAsia="仿宋_GB2312" w:cs="仿宋_GB2312"/>
          <w:sz w:val="32"/>
          <w:szCs w:val="32"/>
        </w:rPr>
        <w:t>个，“不予支持”项目</w:t>
      </w:r>
      <w:r>
        <w:rPr>
          <w:rFonts w:hint="eastAsia" w:hAnsi="仿宋_GB2312" w:cs="仿宋_GB2312"/>
          <w:sz w:val="32"/>
          <w:szCs w:val="32"/>
        </w:rPr>
        <w:t>9</w:t>
      </w:r>
      <w:r>
        <w:rPr>
          <w:rFonts w:hint="eastAsia" w:ascii="仿宋_GB2312" w:hAnsi="仿宋_GB2312" w:eastAsia="仿宋_GB2312" w:cs="仿宋_GB2312"/>
          <w:sz w:val="32"/>
          <w:szCs w:val="32"/>
        </w:rPr>
        <w:t>个，</w:t>
      </w:r>
      <w:r>
        <w:rPr>
          <w:rFonts w:hint="eastAsia" w:ascii="仿宋" w:hAnsi="仿宋" w:eastAsia="仿宋" w:cs="仿宋"/>
          <w:bCs/>
          <w:kern w:val="44"/>
          <w:sz w:val="32"/>
          <w:szCs w:val="32"/>
        </w:rPr>
        <w:t>核减金额1.4亿元，核减率17.5%；</w:t>
      </w:r>
      <w:r>
        <w:rPr>
          <w:rFonts w:hint="eastAsia" w:ascii="仿宋_GB2312" w:hAnsi="仿宋_GB2312" w:eastAsia="仿宋_GB2312" w:cs="仿宋_GB2312"/>
          <w:sz w:val="32"/>
          <w:szCs w:val="32"/>
        </w:rPr>
        <w:t>开展财政重点项目运行监控项目1个，涉及中央、市级、区级资金共2353.21万元；开展财政事后重点支出（重大政策）绩效评价29个，覆盖“四本预算”、中央市级转移支付资金、政府债券资金、政府购买服务、疏整促资金、区级政策等，共涉及财政资金61.51亿元，通过将绩效评价结果正式送达被评价单位、单位整改反馈落实，同时将评价结果报区人大和区政府获区长批示，</w:t>
      </w:r>
      <w:r>
        <w:rPr>
          <w:rFonts w:hint="eastAsia" w:ascii="仿宋_GB2312" w:hAnsi="仿宋_GB2312" w:eastAsia="仿宋_GB2312"/>
          <w:kern w:val="1"/>
          <w:sz w:val="32"/>
          <w:szCs w:val="32"/>
        </w:rPr>
        <w:t>逐步形成“绩效评价、问题整改、结果应用、管理提升”的良性循环；开展5个</w:t>
      </w:r>
      <w:r>
        <w:rPr>
          <w:rFonts w:hint="eastAsia" w:ascii="仿宋_GB2312" w:hAnsi="仿宋_GB2312" w:eastAsia="仿宋_GB2312" w:cs="仿宋_GB2312"/>
          <w:sz w:val="32"/>
          <w:szCs w:val="32"/>
        </w:rPr>
        <w:t>部门整体绩效评价工作，切实提升部门履职效能；完成</w:t>
      </w:r>
      <w:r>
        <w:rPr>
          <w:rFonts w:hint="eastAsia" w:ascii="仿宋" w:hAnsi="仿宋" w:eastAsia="仿宋" w:cs="仿宋"/>
          <w:bCs/>
          <w:kern w:val="44"/>
          <w:sz w:val="32"/>
          <w:szCs w:val="32"/>
        </w:rPr>
        <w:t>成本绩效项目6个</w:t>
      </w:r>
      <w:r>
        <w:rPr>
          <w:rFonts w:hint="eastAsia" w:hAnsi="仿宋_GB2312"/>
          <w:kern w:val="1"/>
          <w:sz w:val="32"/>
          <w:szCs w:val="32"/>
        </w:rPr>
        <w:t>、</w:t>
      </w:r>
      <w:r>
        <w:rPr>
          <w:rFonts w:hint="eastAsia" w:ascii="仿宋_GB2312" w:hAnsi="仿宋_GB2312" w:eastAsia="仿宋_GB2312" w:cs="仿宋_GB2312"/>
          <w:kern w:val="1"/>
          <w:sz w:val="32"/>
          <w:szCs w:val="32"/>
        </w:rPr>
        <w:t>形成支出标准10个，</w:t>
      </w:r>
      <w:r>
        <w:rPr>
          <w:rFonts w:hint="eastAsia" w:ascii="仿宋_GB2312" w:hAnsi="仿宋_GB2312" w:eastAsia="仿宋_GB2312" w:cs="仿宋_GB2312"/>
          <w:bCs/>
          <w:kern w:val="44"/>
          <w:sz w:val="32"/>
          <w:szCs w:val="32"/>
        </w:rPr>
        <w:t>若应用于预算安排可压减资金约5918.38万元</w:t>
      </w:r>
      <w:r>
        <w:rPr>
          <w:rFonts w:hint="eastAsia" w:ascii="仿宋_GB2312" w:hAnsi="仿宋_GB2312" w:eastAsia="仿宋_GB2312" w:cs="仿宋_GB2312"/>
          <w:kern w:val="1"/>
          <w:sz w:val="32"/>
          <w:szCs w:val="32"/>
        </w:rPr>
        <w:t>。通过各类财政预算绩效评价工作的开展，切实提高了各预算单位项目决策能力和管理水平，实现了财政降本增效的目标，较好完成了年初设定的各项项目效益指标。</w:t>
      </w:r>
    </w:p>
    <w:p>
      <w:pPr>
        <w:pStyle w:val="3"/>
        <w:spacing w:before="0" w:after="0" w:line="560" w:lineRule="exact"/>
        <w:ind w:firstLine="643" w:firstLineChars="200"/>
        <w:rPr>
          <w:rFonts w:ascii="黑体" w:hAnsi="黑体" w:eastAsia="黑体"/>
          <w:sz w:val="32"/>
          <w:szCs w:val="32"/>
        </w:rPr>
      </w:pPr>
      <w:bookmarkStart w:id="83" w:name="_Toc30099"/>
      <w:bookmarkStart w:id="84" w:name="_Toc4374"/>
      <w:bookmarkStart w:id="85" w:name="_Toc21506"/>
      <w:bookmarkStart w:id="86" w:name="_Toc26128"/>
      <w:bookmarkStart w:id="87" w:name="_Toc1873"/>
      <w:r>
        <w:rPr>
          <w:rFonts w:hint="eastAsia" w:ascii="黑体" w:hAnsi="黑体" w:eastAsia="黑体"/>
          <w:sz w:val="32"/>
          <w:szCs w:val="32"/>
        </w:rPr>
        <w:t>五、</w:t>
      </w:r>
      <w:bookmarkEnd w:id="54"/>
      <w:r>
        <w:rPr>
          <w:rFonts w:hint="eastAsia" w:ascii="黑体" w:hAnsi="黑体" w:eastAsia="黑体"/>
          <w:sz w:val="32"/>
          <w:szCs w:val="32"/>
        </w:rPr>
        <w:t>主要经验及做法、存在的问题</w:t>
      </w:r>
      <w:bookmarkEnd w:id="80"/>
      <w:bookmarkEnd w:id="81"/>
      <w:bookmarkEnd w:id="83"/>
      <w:bookmarkEnd w:id="84"/>
      <w:bookmarkEnd w:id="85"/>
      <w:bookmarkEnd w:id="86"/>
      <w:bookmarkEnd w:id="87"/>
      <w:r>
        <w:rPr>
          <w:rFonts w:hint="eastAsia" w:ascii="黑体" w:hAnsi="黑体" w:eastAsia="黑体"/>
          <w:sz w:val="32"/>
          <w:szCs w:val="32"/>
        </w:rPr>
        <w:t>及原因分析</w:t>
      </w:r>
    </w:p>
    <w:bookmarkEnd w:id="82"/>
    <w:p>
      <w:pPr>
        <w:pStyle w:val="4"/>
        <w:spacing w:before="0" w:after="0" w:line="560" w:lineRule="exact"/>
        <w:ind w:firstLine="640" w:firstLineChars="200"/>
        <w:rPr>
          <w:rFonts w:ascii="楷体_GB2312" w:hAnsi="楷体" w:eastAsia="楷体_GB2312" w:cs="楷体"/>
          <w:kern w:val="44"/>
        </w:rPr>
      </w:pPr>
      <w:bookmarkStart w:id="88" w:name="_Toc3660"/>
      <w:bookmarkStart w:id="89" w:name="_Toc26100"/>
      <w:bookmarkStart w:id="90" w:name="_Toc28639"/>
      <w:bookmarkStart w:id="91" w:name="_Toc25028"/>
      <w:bookmarkStart w:id="92" w:name="_Toc2210"/>
      <w:bookmarkStart w:id="93" w:name="_Toc8158013"/>
      <w:bookmarkStart w:id="94" w:name="_Toc20881"/>
      <w:bookmarkStart w:id="95" w:name="_Toc455492210"/>
      <w:r>
        <w:rPr>
          <w:rFonts w:hint="eastAsia" w:ascii="楷体_GB2312" w:hAnsi="楷体" w:eastAsia="楷体_GB2312" w:cs="楷体"/>
          <w:kern w:val="44"/>
        </w:rPr>
        <w:t>（一）项目预算编制测算不准确</w:t>
      </w:r>
      <w:bookmarkEnd w:id="88"/>
      <w:bookmarkEnd w:id="89"/>
      <w:bookmarkEnd w:id="90"/>
      <w:bookmarkEnd w:id="91"/>
    </w:p>
    <w:p>
      <w:pPr>
        <w:spacing w:line="560" w:lineRule="exact"/>
        <w:ind w:firstLine="640" w:firstLineChars="200"/>
        <w:rPr>
          <w:rFonts w:ascii="楷体" w:hAnsi="楷体" w:eastAsia="楷体" w:cs="楷体"/>
          <w:bCs/>
          <w:kern w:val="44"/>
        </w:rPr>
      </w:pPr>
      <w:r>
        <w:rPr>
          <w:rFonts w:hint="eastAsia" w:ascii="仿宋" w:hAnsi="仿宋" w:eastAsia="仿宋" w:cs="仿宋"/>
          <w:bCs/>
          <w:kern w:val="44"/>
          <w:sz w:val="32"/>
          <w:szCs w:val="32"/>
        </w:rPr>
        <w:t>该项目年初预算资金550万元，绩效目标产出数量指标为预计完成各类财政绩效评价项目数量不少于90个。2023年11月收回预算资金236.5233万元，预算调整率为43%，调整后项目资金为313.4767万元，未对预计完成的项目数量进行调整，但年度实际完成各类绩效评价项目90个，存在年初预算与实际执行之间差距较大、预算资金与工作任务间匹配度不足的问题。</w:t>
      </w:r>
    </w:p>
    <w:bookmarkEnd w:id="92"/>
    <w:bookmarkEnd w:id="93"/>
    <w:bookmarkEnd w:id="94"/>
    <w:bookmarkEnd w:id="95"/>
    <w:p>
      <w:pPr>
        <w:pStyle w:val="4"/>
        <w:spacing w:before="0" w:after="0" w:line="560" w:lineRule="exact"/>
        <w:ind w:firstLine="640" w:firstLineChars="200"/>
        <w:rPr>
          <w:rFonts w:ascii="楷体_GB2312" w:hAnsi="楷体" w:eastAsia="楷体_GB2312" w:cs="楷体"/>
          <w:kern w:val="44"/>
        </w:rPr>
      </w:pPr>
      <w:bookmarkStart w:id="96" w:name="_Toc8158015"/>
      <w:bookmarkStart w:id="97" w:name="_Toc28810"/>
      <w:bookmarkStart w:id="98" w:name="_Toc403491082"/>
      <w:r>
        <w:rPr>
          <w:rFonts w:hint="eastAsia" w:ascii="楷体_GB2312" w:hAnsi="楷体" w:eastAsia="楷体_GB2312" w:cs="楷体"/>
          <w:kern w:val="44"/>
        </w:rPr>
        <w:t>（二）</w:t>
      </w:r>
      <w:bookmarkStart w:id="99" w:name="_Toc20456"/>
      <w:bookmarkStart w:id="100" w:name="_Toc11014"/>
      <w:bookmarkStart w:id="101" w:name="_Toc14693"/>
      <w:bookmarkStart w:id="102" w:name="_Toc4036"/>
      <w:r>
        <w:rPr>
          <w:rFonts w:hint="eastAsia" w:ascii="楷体_GB2312" w:hAnsi="楷体" w:eastAsia="楷体_GB2312" w:cs="楷体"/>
          <w:kern w:val="44"/>
        </w:rPr>
        <w:t>项目执行过程中管理规范性有待提升</w:t>
      </w:r>
      <w:bookmarkEnd w:id="99"/>
      <w:bookmarkEnd w:id="100"/>
      <w:bookmarkEnd w:id="101"/>
      <w:bookmarkEnd w:id="102"/>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项目执行过程中，由于使用的第三方机构数量较多，对于中介机构在绩效评价项目实施过程中的管理不够细致，出现各机构对于政策、工作要求、工作流程理解和把握有差异的情况，在项目管理规范性方面有待提升。</w:t>
      </w:r>
    </w:p>
    <w:bookmarkEnd w:id="96"/>
    <w:bookmarkEnd w:id="97"/>
    <w:bookmarkEnd w:id="98"/>
    <w:p>
      <w:pPr>
        <w:pStyle w:val="3"/>
        <w:spacing w:before="0" w:after="0" w:line="560" w:lineRule="exact"/>
        <w:ind w:firstLine="643" w:firstLineChars="200"/>
        <w:rPr>
          <w:rFonts w:ascii="黑体" w:hAnsi="黑体" w:eastAsia="黑体" w:cs="黑体"/>
          <w:sz w:val="32"/>
          <w:szCs w:val="32"/>
        </w:rPr>
      </w:pPr>
      <w:bookmarkStart w:id="103" w:name="_Toc455492213"/>
      <w:bookmarkStart w:id="104" w:name="_Toc2806"/>
      <w:bookmarkStart w:id="105" w:name="_Hlk8149924"/>
      <w:bookmarkStart w:id="106" w:name="_Toc8158017"/>
      <w:bookmarkStart w:id="107" w:name="_Toc5561"/>
      <w:bookmarkStart w:id="108" w:name="_Toc2533"/>
      <w:bookmarkStart w:id="109" w:name="_Toc10723"/>
      <w:bookmarkStart w:id="110" w:name="_Toc25543"/>
      <w:bookmarkStart w:id="111" w:name="_Toc18619"/>
      <w:r>
        <w:rPr>
          <w:rFonts w:hint="eastAsia" w:ascii="黑体" w:hAnsi="黑体" w:eastAsia="黑体" w:cs="黑体"/>
          <w:sz w:val="32"/>
          <w:szCs w:val="32"/>
        </w:rPr>
        <w:t>六、</w:t>
      </w:r>
      <w:bookmarkEnd w:id="103"/>
      <w:r>
        <w:rPr>
          <w:rFonts w:hint="eastAsia" w:ascii="黑体" w:hAnsi="黑体" w:eastAsia="黑体" w:cs="黑体"/>
          <w:sz w:val="32"/>
          <w:szCs w:val="32"/>
        </w:rPr>
        <w:t>相关建议</w:t>
      </w:r>
      <w:bookmarkEnd w:id="104"/>
      <w:bookmarkEnd w:id="105"/>
      <w:bookmarkEnd w:id="106"/>
      <w:bookmarkEnd w:id="107"/>
      <w:bookmarkEnd w:id="108"/>
      <w:bookmarkEnd w:id="109"/>
      <w:bookmarkEnd w:id="110"/>
      <w:bookmarkEnd w:id="111"/>
      <w:bookmarkStart w:id="112" w:name="_Toc8158018"/>
    </w:p>
    <w:p>
      <w:pPr>
        <w:pStyle w:val="4"/>
        <w:spacing w:before="0" w:after="0" w:line="560" w:lineRule="exact"/>
        <w:ind w:firstLine="640" w:firstLineChars="200"/>
        <w:rPr>
          <w:rFonts w:ascii="楷体_GB2312" w:hAnsi="楷体" w:eastAsia="楷体_GB2312" w:cs="楷体"/>
          <w:kern w:val="44"/>
        </w:rPr>
      </w:pPr>
      <w:bookmarkStart w:id="113" w:name="_Toc12008"/>
      <w:bookmarkStart w:id="114" w:name="_Toc7313"/>
      <w:bookmarkStart w:id="115" w:name="_Toc17153"/>
      <w:bookmarkStart w:id="116" w:name="_Toc27760"/>
      <w:bookmarkStart w:id="117" w:name="_Toc10273"/>
      <w:bookmarkStart w:id="118" w:name="_Toc7759"/>
      <w:bookmarkStart w:id="119" w:name="_Toc14823"/>
      <w:r>
        <w:rPr>
          <w:rFonts w:hint="eastAsia" w:ascii="楷体_GB2312" w:hAnsi="楷体" w:eastAsia="楷体_GB2312" w:cs="楷体"/>
          <w:kern w:val="44"/>
        </w:rPr>
        <w:t>（一）优化细化项目预算编制</w:t>
      </w:r>
      <w:bookmarkEnd w:id="113"/>
      <w:bookmarkEnd w:id="114"/>
      <w:bookmarkEnd w:id="115"/>
      <w:bookmarkEnd w:id="116"/>
      <w:r>
        <w:rPr>
          <w:rFonts w:hint="eastAsia" w:ascii="楷体_GB2312" w:hAnsi="楷体" w:eastAsia="楷体_GB2312" w:cs="楷体"/>
          <w:kern w:val="44"/>
        </w:rPr>
        <w:t>，提高预算准确性</w:t>
      </w:r>
      <w:r>
        <w:rPr>
          <w:rFonts w:ascii="楷体_GB2312" w:hAnsi="楷体" w:eastAsia="楷体_GB2312" w:cs="楷体"/>
          <w:kern w:val="44"/>
        </w:rPr>
        <w:t xml:space="preserve"> </w:t>
      </w:r>
    </w:p>
    <w:p>
      <w:pPr>
        <w:keepNext/>
        <w:keepLines/>
        <w:spacing w:line="560" w:lineRule="exact"/>
        <w:ind w:firstLine="640" w:firstLineChars="200"/>
        <w:rPr>
          <w:rFonts w:ascii="楷体" w:hAnsi="楷体" w:eastAsia="楷体" w:cs="楷体"/>
          <w:kern w:val="44"/>
        </w:rPr>
      </w:pPr>
      <w:r>
        <w:rPr>
          <w:rFonts w:hint="eastAsia" w:ascii="仿宋" w:hAnsi="仿宋" w:eastAsia="仿宋" w:cs="仿宋"/>
          <w:kern w:val="44"/>
          <w:sz w:val="32"/>
          <w:szCs w:val="32"/>
        </w:rPr>
        <w:t>建议重视对往年项目实施情况的全面梳理和总结，加强需求调研及项目前期论证，强化项目预算编制管理，提升预算与项目任务的匹配性，尽可能减少预算调整，提升预算管理刚性约束，提高财政资金的使用效益。</w:t>
      </w:r>
    </w:p>
    <w:bookmarkEnd w:id="112"/>
    <w:bookmarkEnd w:id="117"/>
    <w:bookmarkEnd w:id="118"/>
    <w:bookmarkEnd w:id="119"/>
    <w:p>
      <w:pPr>
        <w:pStyle w:val="4"/>
        <w:spacing w:before="0" w:after="0" w:line="560" w:lineRule="exact"/>
        <w:ind w:firstLine="640" w:firstLineChars="200"/>
        <w:rPr>
          <w:rFonts w:ascii="楷体_GB2312" w:hAnsi="楷体" w:eastAsia="楷体_GB2312" w:cs="楷体"/>
          <w:kern w:val="44"/>
        </w:rPr>
      </w:pPr>
      <w:r>
        <w:rPr>
          <w:rFonts w:hint="eastAsia" w:ascii="楷体_GB2312" w:hAnsi="楷体" w:eastAsia="楷体_GB2312" w:cs="楷体"/>
          <w:kern w:val="44"/>
        </w:rPr>
        <w:t>（二）</w:t>
      </w:r>
      <w:bookmarkStart w:id="120" w:name="_Toc7575"/>
      <w:bookmarkStart w:id="121" w:name="_Toc19153"/>
      <w:bookmarkStart w:id="122" w:name="_Toc11462"/>
      <w:bookmarkStart w:id="123" w:name="_Toc31366"/>
      <w:bookmarkStart w:id="124" w:name="_Toc16430"/>
      <w:r>
        <w:rPr>
          <w:rFonts w:hint="eastAsia" w:ascii="楷体_GB2312" w:hAnsi="楷体" w:eastAsia="楷体_GB2312" w:cs="楷体"/>
          <w:kern w:val="44"/>
        </w:rPr>
        <w:t>严格规范项目过程管控，</w:t>
      </w:r>
      <w:bookmarkEnd w:id="120"/>
      <w:bookmarkEnd w:id="121"/>
      <w:bookmarkEnd w:id="122"/>
      <w:bookmarkEnd w:id="123"/>
      <w:r>
        <w:rPr>
          <w:rFonts w:hint="eastAsia" w:ascii="楷体_GB2312" w:hAnsi="楷体" w:eastAsia="楷体_GB2312" w:cs="楷体"/>
          <w:kern w:val="44"/>
        </w:rPr>
        <w:t>提高项目实施效率与效益</w:t>
      </w:r>
    </w:p>
    <w:p>
      <w:pPr>
        <w:spacing w:line="560" w:lineRule="exact"/>
        <w:ind w:firstLine="640" w:firstLineChars="200"/>
        <w:rPr>
          <w:rFonts w:ascii="黑体" w:hAnsi="黑体" w:eastAsia="黑体" w:cs="黑体"/>
          <w:b/>
          <w:bCs/>
          <w:sz w:val="32"/>
          <w:szCs w:val="32"/>
        </w:rPr>
      </w:pPr>
      <w:r>
        <w:rPr>
          <w:rFonts w:hint="eastAsia" w:ascii="仿宋" w:hAnsi="仿宋" w:eastAsia="仿宋" w:cs="仿宋"/>
          <w:bCs/>
          <w:kern w:val="44"/>
          <w:sz w:val="32"/>
          <w:szCs w:val="32"/>
        </w:rPr>
        <w:t>建议严格按照《丰台区预算绩效管理工作第三方机构工作规范》（丰财绩效〔2023〕1889号），加强对第三方机构的业务培训和日常管理，及时总结工作成绩与不足，完善项目实施方案，切实保障项目实施高效有序。</w:t>
      </w:r>
    </w:p>
    <w:p>
      <w:pPr>
        <w:pStyle w:val="3"/>
        <w:spacing w:before="0" w:after="0" w:line="560" w:lineRule="exact"/>
        <w:ind w:firstLine="643" w:firstLineChars="200"/>
        <w:rPr>
          <w:rFonts w:ascii="黑体" w:hAnsi="黑体" w:eastAsia="黑体" w:cs="黑体"/>
          <w:sz w:val="32"/>
          <w:szCs w:val="32"/>
        </w:rPr>
      </w:pPr>
      <w:bookmarkStart w:id="125" w:name="_Toc17187"/>
      <w:bookmarkStart w:id="126" w:name="_Toc5625"/>
      <w:bookmarkStart w:id="127" w:name="_Toc17284"/>
      <w:bookmarkStart w:id="128" w:name="_Toc15439"/>
      <w:r>
        <w:rPr>
          <w:rFonts w:hint="eastAsia" w:ascii="黑体" w:hAnsi="黑体" w:eastAsia="黑体" w:cs="黑体"/>
          <w:sz w:val="32"/>
          <w:szCs w:val="32"/>
        </w:rPr>
        <w:t>七、其他需要说明的问题</w:t>
      </w:r>
      <w:bookmarkEnd w:id="124"/>
      <w:bookmarkEnd w:id="125"/>
      <w:bookmarkEnd w:id="126"/>
      <w:bookmarkEnd w:id="127"/>
      <w:bookmarkEnd w:id="128"/>
    </w:p>
    <w:p>
      <w:pPr>
        <w:spacing w:line="560" w:lineRule="exact"/>
        <w:ind w:firstLine="640" w:firstLineChars="200"/>
        <w:rPr>
          <w:rFonts w:ascii="仿宋" w:hAnsi="仿宋" w:eastAsia="仿宋" w:cs="仿宋"/>
          <w:bCs/>
          <w:kern w:val="44"/>
          <w:sz w:val="32"/>
          <w:szCs w:val="32"/>
        </w:rPr>
      </w:pPr>
      <w:r>
        <w:rPr>
          <w:rFonts w:hint="eastAsia" w:ascii="仿宋" w:hAnsi="仿宋" w:eastAsia="仿宋" w:cs="仿宋"/>
          <w:bCs/>
          <w:kern w:val="44"/>
          <w:sz w:val="32"/>
          <w:szCs w:val="32"/>
        </w:rPr>
        <w:t>无。</w:t>
      </w:r>
    </w:p>
    <w:p>
      <w:pPr>
        <w:pStyle w:val="2"/>
      </w:pPr>
    </w:p>
    <w:p>
      <w:pPr>
        <w:pStyle w:val="2"/>
      </w:pPr>
    </w:p>
    <w:p>
      <w:pPr>
        <w:pStyle w:val="2"/>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415"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西国贸大酒店集中隔离观察点经费</w:t>
            </w:r>
          </w:p>
        </w:tc>
      </w:tr>
      <w:tr>
        <w:tblPrEx>
          <w:tblCellMar>
            <w:top w:w="0" w:type="dxa"/>
            <w:left w:w="108" w:type="dxa"/>
            <w:bottom w:w="0" w:type="dxa"/>
            <w:right w:w="108" w:type="dxa"/>
          </w:tblCellMar>
        </w:tblPrEx>
        <w:trPr>
          <w:trHeight w:val="46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北京市丰台区财政局</w:t>
            </w:r>
          </w:p>
        </w:tc>
      </w:tr>
      <w:tr>
        <w:tblPrEx>
          <w:tblCellMar>
            <w:top w:w="0" w:type="dxa"/>
            <w:left w:w="108" w:type="dxa"/>
            <w:bottom w:w="0" w:type="dxa"/>
            <w:right w:w="108" w:type="dxa"/>
          </w:tblCellMar>
        </w:tblPrEx>
        <w:trPr>
          <w:trHeight w:val="453"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陶虹</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6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138.9759万元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138.9759万元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138.9759万元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138.9759万元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2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为有效防控疫情扩散，在西国贸大酒店开设集中隔离观察点，预付启用资金。</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顺利完成隔离点启用工作，保证隔离点有序运行。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隔离人数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隔离时间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隔离房间数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疫情控制情况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优良中低差</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可持续影响</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阻断疫情传播</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优良中低差</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w:t>
            </w:r>
            <w:r>
              <w:rPr>
                <w:rFonts w:hint="eastAsia" w:ascii="仿宋_GB2312" w:hAnsi="宋体" w:eastAsia="仿宋_GB2312" w:cs="宋体"/>
                <w:kern w:val="0"/>
                <w:szCs w:val="21"/>
                <w:highlight w:val="none"/>
                <w:lang w:eastAsia="zh-CN"/>
              </w:rPr>
              <w:t>指</w:t>
            </w:r>
            <w:r>
              <w:rPr>
                <w:rFonts w:hint="eastAsia" w:ascii="仿宋_GB2312" w:hAnsi="宋体" w:eastAsia="仿宋_GB2312" w:cs="宋体"/>
                <w:kern w:val="0"/>
                <w:szCs w:val="21"/>
                <w:highlight w:val="none"/>
              </w:rPr>
              <w:t>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对隔离人员的服务状况</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优良中低差</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丰台区财源建设数据及咨询服务费</w:t>
            </w:r>
          </w:p>
        </w:tc>
      </w:tr>
      <w:tr>
        <w:tblPrEx>
          <w:tblCellMar>
            <w:top w:w="0" w:type="dxa"/>
            <w:left w:w="108" w:type="dxa"/>
            <w:bottom w:w="0" w:type="dxa"/>
            <w:right w:w="108" w:type="dxa"/>
          </w:tblCellMar>
        </w:tblPrEx>
        <w:trPr>
          <w:trHeight w:val="46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北京市丰台区财政局财源建设科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邓娟</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2022年</w:t>
            </w:r>
            <w:r>
              <w:rPr>
                <w:rFonts w:hint="eastAsia" w:ascii="仿宋_GB2312" w:hAnsi="宋体" w:eastAsia="仿宋_GB2312" w:cs="宋体"/>
                <w:kern w:val="0"/>
                <w:szCs w:val="21"/>
                <w:lang w:eastAsia="zh-CN"/>
              </w:rPr>
              <w:t>财源建设咨询服务项目合同及补充合同，包括财源建设评估服务、企业台账建立与更新、重点企业走访及情报服务、企业标签更新服务、数据分析及材料准备、人员驻场服务、</w:t>
            </w:r>
            <w:r>
              <w:rPr>
                <w:rFonts w:hint="eastAsia" w:ascii="仿宋_GB2312" w:hAnsi="宋体" w:eastAsia="仿宋_GB2312" w:cs="宋体"/>
                <w:kern w:val="0"/>
                <w:szCs w:val="21"/>
                <w:lang w:val="en-US" w:eastAsia="zh-CN"/>
              </w:rPr>
              <w:t>协助开展工商、税务关系统一调整工作</w:t>
            </w:r>
            <w:r>
              <w:rPr>
                <w:rFonts w:hint="eastAsia" w:ascii="仿宋_GB2312" w:hAnsi="宋体" w:eastAsia="仿宋_GB2312" w:cs="宋体"/>
                <w:kern w:val="0"/>
                <w:szCs w:val="21"/>
                <w:lang w:eastAsia="zh-CN"/>
              </w:rPr>
              <w:t>等</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按照年初计划圆满完成了各项工作。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kern w:val="0"/>
                <w:szCs w:val="21"/>
                <w:lang w:eastAsia="zh-CN"/>
              </w:rPr>
              <w:t>企业台账建立与更新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631家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631家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指标2：</w:t>
            </w:r>
            <w:r>
              <w:rPr>
                <w:rFonts w:hint="eastAsia" w:ascii="仿宋_GB2312" w:hAnsi="宋体" w:eastAsia="仿宋_GB2312" w:cs="宋体"/>
                <w:kern w:val="0"/>
                <w:szCs w:val="21"/>
                <w:lang w:eastAsia="zh-CN"/>
              </w:rPr>
              <w:t>重点企业走访及情报服务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35家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35家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宋体"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 w:val="18"/>
                <w:szCs w:val="18"/>
                <w:lang w:eastAsia="zh-CN"/>
              </w:rPr>
              <w:t>财源绩效评估名排名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8</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eastAsia="zh-CN"/>
              </w:rPr>
              <w:t>指标2：人员驻场服务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 w:val="18"/>
                <w:szCs w:val="18"/>
                <w:lang w:eastAsia="zh-CN"/>
              </w:rPr>
              <w:t>服务完成时间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2023年4月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2023年4月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 w:val="18"/>
                <w:szCs w:val="18"/>
                <w:lang w:eastAsia="zh-CN"/>
              </w:rPr>
              <w:t>付咨询服务费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18"/>
                <w:szCs w:val="18"/>
                <w:lang w:val="en-US" w:eastAsia="zh-CN"/>
              </w:rPr>
              <w:t>42.5万元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21"/>
                <w:szCs w:val="21"/>
                <w:lang w:val="en-US" w:eastAsia="zh-CN"/>
              </w:rPr>
              <w:t>4</w:t>
            </w:r>
            <w:r>
              <w:rPr>
                <w:rFonts w:hint="eastAsia" w:ascii="仿宋_GB2312" w:hAnsi="宋体" w:eastAsia="仿宋_GB2312" w:cs="宋体"/>
                <w:kern w:val="0"/>
                <w:sz w:val="18"/>
                <w:szCs w:val="18"/>
                <w:lang w:val="en-US" w:eastAsia="zh-CN"/>
              </w:rPr>
              <w:t>2.5万元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Cs w:val="21"/>
                <w:lang w:eastAsia="zh-CN"/>
              </w:rPr>
              <w:t>促进</w:t>
            </w:r>
            <w:r>
              <w:rPr>
                <w:rFonts w:hint="eastAsia" w:ascii="仿宋_GB2312" w:hAnsi="宋体" w:eastAsia="仿宋_GB2312" w:cs="宋体"/>
                <w:color w:val="000000"/>
                <w:kern w:val="0"/>
                <w:sz w:val="18"/>
                <w:szCs w:val="18"/>
                <w:lang w:eastAsia="zh-CN"/>
              </w:rPr>
              <w:t>内控制度建设规范和严格执行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12个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12个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Cs w:val="21"/>
                <w:lang w:eastAsia="zh-CN"/>
              </w:rPr>
              <w:t>推动丰台区财源建设工作，更好服务驻区企业发展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1500家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1500家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 w:val="18"/>
                <w:szCs w:val="18"/>
                <w:lang w:eastAsia="zh-CN"/>
              </w:rPr>
              <w:t>区财源专班</w:t>
            </w:r>
            <w:r>
              <w:rPr>
                <w:rFonts w:hint="eastAsia" w:ascii="仿宋_GB2312" w:hAnsi="宋体" w:eastAsia="仿宋_GB2312" w:cs="宋体"/>
                <w:color w:val="000000"/>
                <w:kern w:val="0"/>
                <w:sz w:val="18"/>
                <w:szCs w:val="18"/>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丰台区财源建设数据及咨询服务费（98.5）</w:t>
            </w:r>
          </w:p>
        </w:tc>
      </w:tr>
      <w:tr>
        <w:tblPrEx>
          <w:tblCellMar>
            <w:top w:w="0" w:type="dxa"/>
            <w:left w:w="108" w:type="dxa"/>
            <w:bottom w:w="0" w:type="dxa"/>
            <w:right w:w="108" w:type="dxa"/>
          </w:tblCellMar>
        </w:tblPrEx>
        <w:trPr>
          <w:trHeight w:val="46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北京市丰台区财政局财源建设科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邓娟</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2023年</w:t>
            </w:r>
            <w:r>
              <w:rPr>
                <w:rFonts w:hint="eastAsia" w:ascii="仿宋_GB2312" w:hAnsi="宋体" w:eastAsia="仿宋_GB2312" w:cs="宋体"/>
                <w:kern w:val="0"/>
                <w:szCs w:val="21"/>
                <w:lang w:eastAsia="zh-CN"/>
              </w:rPr>
              <w:t>财源建设咨询服务项目合同，包括丰台区财源建设相关企业台账更新、数据分析与报告、丰台区重点企业走访及情报、丰台区财源建设</w:t>
            </w:r>
            <w:r>
              <w:rPr>
                <w:rFonts w:hint="eastAsia" w:ascii="仿宋_GB2312" w:hAnsi="宋体" w:eastAsia="仿宋_GB2312" w:cs="宋体"/>
                <w:kern w:val="0"/>
                <w:szCs w:val="21"/>
                <w:lang w:eastAsia="zh-Hans"/>
              </w:rPr>
              <w:t>绩效评估监测</w:t>
            </w:r>
            <w:r>
              <w:rPr>
                <w:rFonts w:hint="eastAsia" w:ascii="仿宋_GB2312" w:hAnsi="宋体" w:eastAsia="仿宋_GB2312" w:cs="宋体"/>
                <w:kern w:val="0"/>
                <w:szCs w:val="21"/>
                <w:lang w:eastAsia="zh-CN"/>
              </w:rPr>
              <w:t>、相关数据提取与汇总分析方案等</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按照年初计划圆满完成了各项工作。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指标1：数据分析与报告</w:t>
            </w:r>
          </w:p>
          <w:p>
            <w:pPr>
              <w:widowControl/>
              <w:spacing w:line="240" w:lineRule="exact"/>
              <w:jc w:val="left"/>
              <w:rPr>
                <w:rFonts w:hint="eastAsia" w:ascii="仿宋_GB2312" w:hAnsi="宋体" w:eastAsia="仿宋_GB2312" w:cs="宋体"/>
                <w:color w:val="000000"/>
                <w:kern w:val="0"/>
                <w:sz w:val="21"/>
                <w:szCs w:val="21"/>
                <w:lang w:val="en-US" w:eastAsia="zh-CN" w:bidi="ar-SA"/>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5篇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指标2：</w:t>
            </w:r>
            <w:r>
              <w:rPr>
                <w:rFonts w:hint="eastAsia" w:ascii="仿宋_GB2312" w:hAnsi="宋体" w:eastAsia="仿宋_GB2312" w:cs="宋体"/>
                <w:kern w:val="0"/>
                <w:szCs w:val="21"/>
                <w:lang w:eastAsia="zh-CN"/>
              </w:rPr>
              <w:t>重点企业走访及情报服务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60家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60家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宋体"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 w:val="18"/>
                <w:szCs w:val="18"/>
                <w:lang w:eastAsia="zh-CN"/>
              </w:rPr>
              <w:t>财源绩效评估名排名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eastAsia="zh-CN"/>
              </w:rPr>
              <w:t>指标2：人员驻场服务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 w:val="18"/>
                <w:szCs w:val="18"/>
                <w:lang w:eastAsia="zh-CN"/>
              </w:rPr>
              <w:t>服务完成时间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2023年底</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rPr>
              <w:t>2023年底</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 w:val="18"/>
                <w:szCs w:val="18"/>
                <w:lang w:eastAsia="zh-CN"/>
              </w:rPr>
              <w:t>付咨询服务费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18"/>
                <w:szCs w:val="18"/>
                <w:lang w:val="en-US" w:eastAsia="zh-CN"/>
              </w:rPr>
              <w:t>98.5万元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lang w:val="en-US" w:eastAsia="zh-CN" w:bidi="ar-SA"/>
              </w:rPr>
            </w:pPr>
            <w:r>
              <w:rPr>
                <w:rFonts w:hint="eastAsia" w:ascii="仿宋_GB2312" w:hAnsi="宋体" w:eastAsia="仿宋_GB2312" w:cs="宋体"/>
                <w:kern w:val="0"/>
                <w:sz w:val="21"/>
                <w:szCs w:val="21"/>
                <w:lang w:val="en-US" w:eastAsia="zh-CN"/>
              </w:rPr>
              <w:t>98</w:t>
            </w:r>
            <w:r>
              <w:rPr>
                <w:rFonts w:hint="eastAsia" w:ascii="仿宋_GB2312" w:hAnsi="宋体" w:eastAsia="仿宋_GB2312" w:cs="宋体"/>
                <w:kern w:val="0"/>
                <w:sz w:val="18"/>
                <w:szCs w:val="18"/>
                <w:lang w:val="en-US" w:eastAsia="zh-CN"/>
              </w:rPr>
              <w:t>.5万元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Cs w:val="21"/>
                <w:lang w:eastAsia="zh-CN"/>
              </w:rPr>
              <w:t>提升区级一般公共预算收入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18.2亿元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18.2亿元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指标1：推动丰台区财源建设工作，更好服务驻区企业发展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1500家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1500家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 w:val="18"/>
                <w:szCs w:val="18"/>
                <w:lang w:eastAsia="zh-CN"/>
              </w:rPr>
              <w:t>区财源专班</w:t>
            </w:r>
            <w:r>
              <w:rPr>
                <w:rFonts w:hint="eastAsia" w:ascii="仿宋_GB2312" w:hAnsi="宋体" w:eastAsia="仿宋_GB2312" w:cs="宋体"/>
                <w:color w:val="000000"/>
                <w:kern w:val="0"/>
                <w:sz w:val="18"/>
                <w:szCs w:val="18"/>
              </w:rPr>
              <w:t>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满意</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满意</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2023年政府采购检查费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北京市丰台区财政局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政府采购科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杨霞</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通过对我区部分政府采购代理机构及集中采购代理机构政策法规、采购方式和采购程序等事项执行情况监督检查，进一步规范采购人和代理机构采购行为，依法加强政府采购监督管理。</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已按要求完成</w:t>
            </w:r>
            <w:r>
              <w:rPr>
                <w:rFonts w:hint="eastAsia" w:ascii="仿宋_GB2312" w:hAnsi="宋体" w:eastAsia="仿宋_GB2312" w:cs="宋体"/>
                <w:kern w:val="0"/>
                <w:szCs w:val="21"/>
                <w:lang w:val="en-US" w:eastAsia="zh-CN"/>
              </w:rPr>
              <w:t>对我区部分政府采购代理机构及集中采购代理机构政策法规、采购方式和采购程序等事项执行情况的检查</w:t>
            </w: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检查政府采购代理机构2023年的项目数</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大于等于</w:t>
            </w:r>
            <w:r>
              <w:rPr>
                <w:rFonts w:hint="eastAsia" w:ascii="仿宋_GB2312" w:hAnsi="宋体" w:eastAsia="仿宋_GB2312" w:cs="宋体"/>
                <w:kern w:val="0"/>
                <w:szCs w:val="21"/>
                <w:highlight w:val="none"/>
                <w:lang w:val="en-US" w:eastAsia="zh-CN"/>
              </w:rPr>
              <w:t>9</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对检查问题的及时发现、依法处理或移交</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履行相关程序</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2023年10月底前完成检查报告</w:t>
            </w:r>
          </w:p>
        </w:tc>
        <w:tc>
          <w:tcPr>
            <w:tcW w:w="849" w:type="dxa"/>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10月</w:t>
            </w:r>
          </w:p>
        </w:tc>
        <w:tc>
          <w:tcPr>
            <w:tcW w:w="848" w:type="dxa"/>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11月</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未及时完成</w:t>
            </w:r>
          </w:p>
        </w:tc>
      </w:tr>
      <w:tr>
        <w:tblPrEx>
          <w:tblCellMar>
            <w:top w:w="0" w:type="dxa"/>
            <w:left w:w="108" w:type="dxa"/>
            <w:bottom w:w="0" w:type="dxa"/>
            <w:right w:w="108" w:type="dxa"/>
          </w:tblCellMar>
        </w:tblPrEx>
        <w:trPr>
          <w:trHeight w:val="6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lang w:val="en-US" w:eastAsia="zh-CN"/>
              </w:rPr>
              <w:t>项目检查费总控制数</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不超过</w:t>
            </w:r>
            <w:r>
              <w:rPr>
                <w:rFonts w:hint="eastAsia" w:ascii="仿宋_GB2312" w:hAnsi="宋体" w:eastAsia="仿宋_GB2312" w:cs="宋体"/>
                <w:kern w:val="0"/>
                <w:szCs w:val="21"/>
                <w:highlight w:val="none"/>
                <w:lang w:val="en-US" w:eastAsia="zh-CN"/>
              </w:rPr>
              <w:t>4.5万</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4.5万</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确保政府采购工作廉洁高效、规范有序</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有效保证</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有效保证</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对项目检查及时、出具的报告合法合规</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合法合规</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合法合规</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rPr>
          <w:highlight w:val="none"/>
        </w:rPr>
      </w:pPr>
    </w:p>
    <w:p>
      <w:pPr>
        <w:spacing w:line="520" w:lineRule="exact"/>
        <w:rPr>
          <w:rFonts w:hint="eastAsia" w:ascii="仿宋_GB2312" w:hAnsi="宋体" w:eastAsia="仿宋_GB2312" w:cs="宋体"/>
          <w:color w:val="000000"/>
          <w:kern w:val="0"/>
          <w:sz w:val="32"/>
          <w:szCs w:val="32"/>
          <w:highlight w:val="none"/>
        </w:rPr>
      </w:pP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2023年法制专项费用</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法制科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法制科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王杰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12万元</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12万元</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完成丰台区财政局202</w:t>
            </w: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年度全局工作中需要进行法制审核</w:t>
            </w:r>
            <w:r>
              <w:rPr>
                <w:rFonts w:hint="eastAsia" w:ascii="仿宋_GB2312" w:hAnsi="宋体" w:eastAsia="仿宋_GB2312" w:cs="宋体"/>
                <w:kern w:val="0"/>
                <w:szCs w:val="21"/>
                <w:lang w:eastAsia="zh-CN"/>
              </w:rPr>
              <w:t>工作，开展各类法制宣传培训活动</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做好行政复议诉讼应诉工作，防患化解工作中潜在的法律风险，全面</w:t>
            </w:r>
            <w:r>
              <w:rPr>
                <w:rFonts w:hint="eastAsia" w:ascii="仿宋_GB2312" w:hAnsi="宋体" w:eastAsia="仿宋_GB2312" w:cs="宋体"/>
                <w:kern w:val="0"/>
                <w:szCs w:val="21"/>
              </w:rPr>
              <w:t>提升工作人员依法行政水平及群众满意度。</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整体完成情况良好。聘请</w:t>
            </w:r>
            <w:r>
              <w:rPr>
                <w:rFonts w:hint="eastAsia" w:ascii="仿宋_GB2312" w:hAnsi="宋体" w:eastAsia="仿宋_GB2312" w:cs="宋体"/>
                <w:kern w:val="0"/>
                <w:szCs w:val="21"/>
                <w:lang w:val="en-US" w:eastAsia="zh-CN"/>
              </w:rPr>
              <w:t>律师事务所提供法律服务，</w:t>
            </w:r>
            <w:r>
              <w:rPr>
                <w:rFonts w:hint="eastAsia" w:ascii="仿宋_GB2312" w:hAnsi="宋体" w:eastAsia="仿宋_GB2312" w:cs="宋体"/>
                <w:kern w:val="0"/>
                <w:szCs w:val="21"/>
                <w:lang w:eastAsia="zh-CN"/>
              </w:rPr>
              <w:t>支付</w:t>
            </w:r>
            <w:r>
              <w:rPr>
                <w:rFonts w:hint="eastAsia" w:ascii="仿宋_GB2312" w:hAnsi="宋体" w:eastAsia="仿宋_GB2312" w:cs="宋体"/>
                <w:kern w:val="0"/>
                <w:szCs w:val="21"/>
                <w:lang w:val="en-US" w:eastAsia="zh-CN"/>
              </w:rPr>
              <w:t>常年法律顾问费15万元，有效提升我局依法行政水平，提升群众满意度。</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8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由各科室依实际工作需求主动申请，视具体情况而定</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r>
      <w:tr>
        <w:tblPrEx>
          <w:tblCellMar>
            <w:top w:w="0" w:type="dxa"/>
            <w:left w:w="108" w:type="dxa"/>
            <w:bottom w:w="0" w:type="dxa"/>
            <w:right w:w="108" w:type="dxa"/>
          </w:tblCellMar>
        </w:tblPrEx>
        <w:trPr>
          <w:trHeight w:val="7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确保每项经过法制审核的工作，符合合法性要求。</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法制宣传</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r>
      <w:tr>
        <w:tblPrEx>
          <w:tblCellMar>
            <w:top w:w="0" w:type="dxa"/>
            <w:left w:w="108" w:type="dxa"/>
            <w:bottom w:w="0" w:type="dxa"/>
            <w:right w:w="108" w:type="dxa"/>
          </w:tblCellMar>
        </w:tblPrEx>
        <w:trPr>
          <w:trHeight w:val="93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如经过法审所作出的具体行政行为，后期涉及到行政复议、行政诉讼的</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rPr>
              <w:t>败诉率控制在&lt;5%以内</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r>
      <w:tr>
        <w:tblPrEx>
          <w:tblCellMar>
            <w:top w:w="0" w:type="dxa"/>
            <w:left w:w="108" w:type="dxa"/>
            <w:bottom w:w="0" w:type="dxa"/>
            <w:right w:w="108" w:type="dxa"/>
          </w:tblCellMar>
        </w:tblPrEx>
        <w:trPr>
          <w:trHeight w:val="14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律师事务所按照财政局要求时限完成文书内容审核工作。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rPr>
              <w:t>一般情况下，单项法律事务处理时间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常年法律顾问费用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15万</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减少法律风险以及不必要的经济损失</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提升财政局人员依法行政工作水平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r>
      <w:tr>
        <w:tblPrEx>
          <w:tblCellMar>
            <w:top w:w="0" w:type="dxa"/>
            <w:left w:w="108" w:type="dxa"/>
            <w:bottom w:w="0" w:type="dxa"/>
            <w:right w:w="108" w:type="dxa"/>
          </w:tblCellMar>
        </w:tblPrEx>
        <w:trPr>
          <w:trHeight w:val="10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提升财政局人员依法行政工作水平，提高法律意识，降低法律风险，加强工作管理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通过律师专业指导，提升群众满意度，降低涉诉风险。</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无</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49"/>
        <w:gridCol w:w="1410"/>
        <w:gridCol w:w="448"/>
        <w:gridCol w:w="1127"/>
        <w:gridCol w:w="390"/>
        <w:gridCol w:w="795"/>
        <w:gridCol w:w="795"/>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04"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2023年代理银行手续费</w:t>
            </w:r>
          </w:p>
        </w:tc>
      </w:tr>
      <w:tr>
        <w:tblPrEx>
          <w:tblCellMar>
            <w:top w:w="0" w:type="dxa"/>
            <w:left w:w="108" w:type="dxa"/>
            <w:bottom w:w="0" w:type="dxa"/>
            <w:right w:w="108" w:type="dxa"/>
          </w:tblCellMar>
        </w:tblPrEx>
        <w:trPr>
          <w:trHeight w:val="306" w:hRule="exact"/>
          <w:jc w:val="center"/>
        </w:trPr>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7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北京市丰台区财政局</w:t>
            </w:r>
          </w:p>
        </w:tc>
        <w:tc>
          <w:tcPr>
            <w:tcW w:w="107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国库科（支付中心）</w:t>
            </w:r>
          </w:p>
        </w:tc>
      </w:tr>
      <w:tr>
        <w:tblPrEx>
          <w:tblCellMar>
            <w:top w:w="0" w:type="dxa"/>
            <w:left w:w="108" w:type="dxa"/>
            <w:bottom w:w="0" w:type="dxa"/>
            <w:right w:w="108" w:type="dxa"/>
          </w:tblCellMar>
        </w:tblPrEx>
        <w:trPr>
          <w:trHeight w:val="306" w:hRule="exact"/>
          <w:jc w:val="center"/>
        </w:trPr>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17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梁新昉</w:t>
            </w:r>
          </w:p>
        </w:tc>
        <w:tc>
          <w:tcPr>
            <w:tcW w:w="107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153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7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400</w:t>
            </w:r>
          </w:p>
        </w:tc>
        <w:tc>
          <w:tcPr>
            <w:tcW w:w="11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395.2403</w:t>
            </w:r>
          </w:p>
        </w:tc>
        <w:tc>
          <w:tcPr>
            <w:tcW w:w="107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395.2403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400</w:t>
            </w:r>
          </w:p>
        </w:tc>
        <w:tc>
          <w:tcPr>
            <w:tcW w:w="11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395.2403</w:t>
            </w:r>
          </w:p>
        </w:tc>
        <w:tc>
          <w:tcPr>
            <w:tcW w:w="107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395.2403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1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3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1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满足财政和预算单位授权支付和直接支付业务需要，保障</w:t>
            </w:r>
            <w:r>
              <w:rPr>
                <w:rFonts w:hint="eastAsia" w:ascii="仿宋_GB2312" w:hAnsi="宋体" w:eastAsia="仿宋_GB2312" w:cs="宋体"/>
                <w:kern w:val="0"/>
                <w:szCs w:val="21"/>
                <w:highlight w:val="none"/>
              </w:rPr>
              <w:t>我区国库集中支付代理业务正常运转</w:t>
            </w:r>
            <w:r>
              <w:rPr>
                <w:rFonts w:hint="eastAsia" w:ascii="仿宋_GB2312" w:hAnsi="宋体" w:eastAsia="仿宋_GB2312" w:cs="宋体"/>
                <w:kern w:val="0"/>
                <w:szCs w:val="21"/>
                <w:highlight w:val="none"/>
                <w:lang w:eastAsia="zh-CN"/>
              </w:rPr>
              <w:t>。</w:t>
            </w:r>
          </w:p>
        </w:tc>
        <w:tc>
          <w:tcPr>
            <w:tcW w:w="333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2022年度</w:t>
            </w:r>
            <w:r>
              <w:rPr>
                <w:rFonts w:hint="eastAsia" w:ascii="仿宋_GB2312" w:hAnsi="宋体" w:eastAsia="仿宋_GB2312" w:cs="宋体"/>
                <w:kern w:val="0"/>
                <w:szCs w:val="21"/>
                <w:highlight w:val="none"/>
                <w:lang w:eastAsia="zh-CN"/>
              </w:rPr>
              <w:t>国库集中支付业务正常运转</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4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9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9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代理银行数量</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6个</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9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业务完成合格率</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9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业务完成时间</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当天</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当天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9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年度成本增长量</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≤40万元</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≤40万元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361"/>
              </w:tabs>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效益指标</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9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满足国库直接支付代理业务正常运转</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得到</w:t>
            </w:r>
            <w:r>
              <w:rPr>
                <w:rFonts w:hint="eastAsia" w:ascii="仿宋_GB2312" w:hAnsi="宋体" w:eastAsia="仿宋_GB2312" w:cs="宋体"/>
                <w:kern w:val="0"/>
                <w:szCs w:val="21"/>
                <w:highlight w:val="none"/>
              </w:rPr>
              <w:t>保障</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得到</w:t>
            </w:r>
            <w:r>
              <w:rPr>
                <w:rFonts w:hint="eastAsia" w:ascii="仿宋_GB2312" w:hAnsi="宋体" w:eastAsia="仿宋_GB2312" w:cs="宋体"/>
                <w:kern w:val="0"/>
                <w:szCs w:val="21"/>
                <w:highlight w:val="none"/>
              </w:rPr>
              <w:t>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9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使用人员满意度</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37"/>
        <w:gridCol w:w="695"/>
        <w:gridCol w:w="1127"/>
        <w:gridCol w:w="263"/>
        <w:gridCol w:w="86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2023年机构运转经费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行政科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解华波</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170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170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170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170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170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170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提供职工一日三餐制作与供应，</w:t>
            </w:r>
            <w:r>
              <w:rPr>
                <w:rFonts w:hint="eastAsia" w:ascii="仿宋_GB2312" w:hAnsi="仿宋_GB2312" w:eastAsia="仿宋_GB2312" w:cs="仿宋_GB2312"/>
                <w:color w:val="000000"/>
                <w:kern w:val="0"/>
                <w:sz w:val="21"/>
                <w:szCs w:val="21"/>
              </w:rPr>
              <w:t>合理安排膳食，营养均衡</w:t>
            </w:r>
            <w:r>
              <w:rPr>
                <w:rFonts w:hint="eastAsia" w:ascii="仿宋_GB2312" w:hAnsi="仿宋_GB2312" w:eastAsia="仿宋_GB2312" w:cs="仿宋_GB2312"/>
                <w:color w:val="000000"/>
                <w:kern w:val="0"/>
                <w:sz w:val="21"/>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z w:val="21"/>
                <w:szCs w:val="21"/>
                <w:lang w:eastAsia="zh-CN"/>
              </w:rPr>
              <w:t>为职工提供优质餐食，</w:t>
            </w:r>
            <w:r>
              <w:rPr>
                <w:rFonts w:hint="eastAsia" w:ascii="仿宋_GB2312" w:hAnsi="仿宋_GB2312" w:eastAsia="仿宋_GB2312" w:cs="仿宋_GB2312"/>
                <w:sz w:val="21"/>
                <w:szCs w:val="21"/>
              </w:rPr>
              <w:t>严格遵守《食品安全卫生法》，按照国家饮食卫生标准执行各项操作</w:t>
            </w:r>
            <w:r>
              <w:rPr>
                <w:rFonts w:hint="eastAsia" w:ascii="仿宋_GB2312" w:hAnsi="仿宋_GB2312" w:eastAsia="仿宋_GB2312" w:cs="仿宋_GB2312"/>
                <w:sz w:val="21"/>
                <w:szCs w:val="21"/>
                <w:lang w:eastAsia="zh-CN"/>
              </w:rPr>
              <w:t>，无食品安全事故。</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0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产出指标</w:t>
            </w: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数量指标</w:t>
            </w:r>
          </w:p>
        </w:tc>
        <w:tc>
          <w:tcPr>
            <w:tcW w:w="20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rPr>
              <w:t>食堂全年原材料物耗的采购</w:t>
            </w:r>
          </w:p>
        </w:tc>
        <w:tc>
          <w:tcPr>
            <w:tcW w:w="8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全年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全年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rPr>
              <w:t>职工早中晚三餐制作与供应</w:t>
            </w:r>
          </w:p>
        </w:tc>
        <w:tc>
          <w:tcPr>
            <w:tcW w:w="8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工作日</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工作日</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质量指标</w:t>
            </w:r>
          </w:p>
        </w:tc>
        <w:tc>
          <w:tcPr>
            <w:tcW w:w="2085"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sz w:val="21"/>
                <w:szCs w:val="21"/>
              </w:rPr>
              <w:t>严格遵守《食品安全卫生法》，按照国家饮食卫生标准执行各项操作</w:t>
            </w:r>
            <w:r>
              <w:rPr>
                <w:rFonts w:hint="eastAsia" w:ascii="仿宋_GB2312" w:hAnsi="仿宋_GB2312" w:eastAsia="仿宋_GB2312" w:cs="仿宋_GB2312"/>
                <w:color w:val="000000"/>
                <w:kern w:val="0"/>
                <w:sz w:val="21"/>
                <w:szCs w:val="21"/>
              </w:rPr>
              <w:t>　</w:t>
            </w:r>
          </w:p>
        </w:tc>
        <w:tc>
          <w:tcPr>
            <w:tcW w:w="8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按规定执行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按规定执行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sz w:val="21"/>
                <w:szCs w:val="21"/>
              </w:rPr>
              <w:t>不使用添加剂，食品安全事故为“零”</w:t>
            </w:r>
            <w:r>
              <w:rPr>
                <w:rFonts w:hint="eastAsia" w:ascii="仿宋_GB2312" w:hAnsi="仿宋_GB2312" w:eastAsia="仿宋_GB2312" w:cs="仿宋_GB2312"/>
                <w:color w:val="000000"/>
                <w:kern w:val="0"/>
                <w:sz w:val="21"/>
                <w:szCs w:val="21"/>
              </w:rPr>
              <w:t>　</w:t>
            </w:r>
          </w:p>
        </w:tc>
        <w:tc>
          <w:tcPr>
            <w:tcW w:w="8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零事故</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零事故</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时效指标</w:t>
            </w:r>
          </w:p>
        </w:tc>
        <w:tc>
          <w:tcPr>
            <w:tcW w:w="20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lang w:val="en-US" w:eastAsia="zh-CN"/>
              </w:rPr>
              <w:t>按合同签订期限</w:t>
            </w:r>
          </w:p>
        </w:tc>
        <w:tc>
          <w:tcPr>
            <w:tcW w:w="86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val="en-US" w:eastAsia="zh-CN"/>
              </w:rPr>
              <w:t>全年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全年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成本指标</w:t>
            </w:r>
          </w:p>
        </w:tc>
        <w:tc>
          <w:tcPr>
            <w:tcW w:w="20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lang w:eastAsia="zh-CN"/>
              </w:rPr>
              <w:t>成本控制数</w:t>
            </w:r>
          </w:p>
        </w:tc>
        <w:tc>
          <w:tcPr>
            <w:tcW w:w="8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170</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170</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 w:val="21"/>
                <w:szCs w:val="21"/>
              </w:rPr>
              <w:t>为就餐人员提供优质饮食</w:t>
            </w:r>
          </w:p>
        </w:tc>
        <w:tc>
          <w:tcPr>
            <w:tcW w:w="8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得到保障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Cs w:val="21"/>
                <w:lang w:eastAsia="zh-CN"/>
              </w:rPr>
              <w:t>得到保障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0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sz w:val="21"/>
                <w:szCs w:val="21"/>
              </w:rPr>
              <w:t>对服务的满意率</w:t>
            </w:r>
          </w:p>
        </w:tc>
        <w:tc>
          <w:tcPr>
            <w:tcW w:w="8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sz w:val="21"/>
                <w:szCs w:val="21"/>
              </w:rPr>
              <w:t>不低于90%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sz w:val="21"/>
                <w:szCs w:val="21"/>
              </w:rPr>
              <w:t>不低于90%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462"/>
        <w:gridCol w:w="915"/>
        <w:gridCol w:w="1288"/>
        <w:gridCol w:w="727"/>
        <w:gridCol w:w="1075"/>
        <w:gridCol w:w="52"/>
        <w:gridCol w:w="1058"/>
        <w:gridCol w:w="1125"/>
        <w:gridCol w:w="570"/>
        <w:gridCol w:w="210"/>
        <w:gridCol w:w="240"/>
        <w:gridCol w:w="606"/>
        <w:gridCol w:w="710"/>
      </w:tblGrid>
      <w:tr>
        <w:tblPrEx>
          <w:tblCellMar>
            <w:top w:w="0" w:type="dxa"/>
            <w:left w:w="108" w:type="dxa"/>
            <w:bottom w:w="0" w:type="dxa"/>
            <w:right w:w="108" w:type="dxa"/>
          </w:tblCellMar>
        </w:tblPrEx>
        <w:trPr>
          <w:trHeight w:val="306" w:hRule="exact"/>
          <w:jc w:val="center"/>
        </w:trPr>
        <w:tc>
          <w:tcPr>
            <w:tcW w:w="137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66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2023年中控室运行经费</w:t>
            </w:r>
          </w:p>
        </w:tc>
      </w:tr>
      <w:tr>
        <w:tblPrEx>
          <w:tblCellMar>
            <w:top w:w="0" w:type="dxa"/>
            <w:left w:w="108" w:type="dxa"/>
            <w:bottom w:w="0" w:type="dxa"/>
            <w:right w:w="108" w:type="dxa"/>
          </w:tblCellMar>
        </w:tblPrEx>
        <w:trPr>
          <w:trHeight w:val="306" w:hRule="exact"/>
          <w:jc w:val="center"/>
        </w:trPr>
        <w:tc>
          <w:tcPr>
            <w:tcW w:w="137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2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丰台区财政局</w:t>
            </w:r>
          </w:p>
        </w:tc>
        <w:tc>
          <w:tcPr>
            <w:tcW w:w="11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33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行政科</w:t>
            </w:r>
          </w:p>
        </w:tc>
      </w:tr>
      <w:tr>
        <w:tblPrEx>
          <w:tblCellMar>
            <w:top w:w="0" w:type="dxa"/>
            <w:left w:w="108" w:type="dxa"/>
            <w:bottom w:w="0" w:type="dxa"/>
            <w:right w:w="108" w:type="dxa"/>
          </w:tblCellMar>
        </w:tblPrEx>
        <w:trPr>
          <w:trHeight w:val="306" w:hRule="exact"/>
          <w:jc w:val="center"/>
        </w:trPr>
        <w:tc>
          <w:tcPr>
            <w:tcW w:w="137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2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解华波</w:t>
            </w:r>
          </w:p>
        </w:tc>
        <w:tc>
          <w:tcPr>
            <w:tcW w:w="11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33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r>
      <w:tr>
        <w:tblPrEx>
          <w:tblCellMar>
            <w:top w:w="0" w:type="dxa"/>
            <w:left w:w="108" w:type="dxa"/>
            <w:bottom w:w="0" w:type="dxa"/>
            <w:right w:w="108" w:type="dxa"/>
          </w:tblCellMar>
        </w:tblPrEx>
        <w:trPr>
          <w:trHeight w:val="567" w:hRule="exact"/>
          <w:jc w:val="center"/>
        </w:trPr>
        <w:tc>
          <w:tcPr>
            <w:tcW w:w="137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20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3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45.2</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45.2</w:t>
            </w:r>
          </w:p>
        </w:tc>
        <w:tc>
          <w:tcPr>
            <w:tcW w:w="11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45.2</w:t>
            </w:r>
          </w:p>
        </w:tc>
        <w:tc>
          <w:tcPr>
            <w:tcW w:w="7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3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45.2</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45.2</w:t>
            </w:r>
          </w:p>
        </w:tc>
        <w:tc>
          <w:tcPr>
            <w:tcW w:w="11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45.2</w:t>
            </w:r>
          </w:p>
        </w:tc>
        <w:tc>
          <w:tcPr>
            <w:tcW w:w="7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3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46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1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46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32" w:hRule="exact"/>
          <w:jc w:val="center"/>
        </w:trPr>
        <w:tc>
          <w:tcPr>
            <w:tcW w:w="46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1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聘请公司为我局中控运行值守提供服务</w:t>
            </w:r>
          </w:p>
        </w:tc>
        <w:tc>
          <w:tcPr>
            <w:tcW w:w="346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按合同要求完成</w:t>
            </w:r>
          </w:p>
        </w:tc>
      </w:tr>
      <w:tr>
        <w:tblPrEx>
          <w:tblCellMar>
            <w:top w:w="0" w:type="dxa"/>
            <w:left w:w="108" w:type="dxa"/>
            <w:bottom w:w="0" w:type="dxa"/>
            <w:right w:w="108" w:type="dxa"/>
          </w:tblCellMar>
        </w:tblPrEx>
        <w:trPr>
          <w:trHeight w:val="830" w:hRule="exact"/>
          <w:jc w:val="center"/>
        </w:trPr>
        <w:tc>
          <w:tcPr>
            <w:tcW w:w="4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28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56" w:hRule="exact"/>
          <w:jc w:val="center"/>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负责局内各类</w:t>
            </w:r>
            <w:r>
              <w:rPr>
                <w:rFonts w:hint="eastAsia" w:ascii="仿宋_GB2312" w:hAnsi="宋体" w:eastAsia="仿宋_GB2312" w:cs="宋体"/>
                <w:kern w:val="0"/>
                <w:szCs w:val="21"/>
                <w:lang w:eastAsia="zh-CN"/>
              </w:rPr>
              <w:t>中控运行值守</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全年</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全年</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6" w:hRule="exact"/>
          <w:jc w:val="center"/>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88"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消防中控设备、设施的运行记录，故障报修处理</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运行设备良好、运行正常</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21" w:hRule="exact"/>
          <w:jc w:val="center"/>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监控摄像头，对监控设备设施进行看护</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实现目标管理</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1" w:hRule="exact"/>
          <w:jc w:val="center"/>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预算控制数</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45.2万元</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45.2万元</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1" w:hRule="exact"/>
          <w:jc w:val="center"/>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时效指标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eastAsia="zh-CN"/>
              </w:rPr>
              <w:t>按合同签订期限</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全年</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eastAsia="zh-CN"/>
              </w:rPr>
              <w:t>全年</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1" w:hRule="exact"/>
          <w:jc w:val="center"/>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最大限度减省能源消耗</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得到提高</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得到提高</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96" w:hRule="exact"/>
          <w:jc w:val="center"/>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实施24小时不间断值守</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无重大火灾、无责任事故</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71" w:hRule="exact"/>
          <w:jc w:val="center"/>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服务对象满意度</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70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4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方正小标宋简体" w:eastAsia="方正小标宋简体"/>
          <w:sz w:val="36"/>
          <w:szCs w:val="36"/>
        </w:rPr>
      </w:pP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075"/>
        <w:gridCol w:w="52"/>
        <w:gridCol w:w="1013"/>
        <w:gridCol w:w="1110"/>
        <w:gridCol w:w="608"/>
        <w:gridCol w:w="232"/>
        <w:gridCol w:w="306"/>
        <w:gridCol w:w="540"/>
        <w:gridCol w:w="710"/>
      </w:tblGrid>
      <w:tr>
        <w:tblPrEx>
          <w:tblCellMar>
            <w:top w:w="0" w:type="dxa"/>
            <w:left w:w="108" w:type="dxa"/>
            <w:bottom w:w="0" w:type="dxa"/>
            <w:right w:w="108" w:type="dxa"/>
          </w:tblCellMar>
        </w:tblPrEx>
        <w:trPr>
          <w:trHeight w:val="3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2023年食堂服务费</w:t>
            </w:r>
          </w:p>
        </w:tc>
      </w:tr>
      <w:tr>
        <w:tblPrEx>
          <w:tblCellMar>
            <w:top w:w="0" w:type="dxa"/>
            <w:left w:w="108" w:type="dxa"/>
            <w:bottom w:w="0" w:type="dxa"/>
            <w:right w:w="108" w:type="dxa"/>
          </w:tblCellMar>
        </w:tblPrEx>
        <w:trPr>
          <w:trHeight w:val="4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97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丰台区财政局</w:t>
            </w: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9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行政科</w:t>
            </w:r>
          </w:p>
        </w:tc>
      </w:tr>
      <w:tr>
        <w:tblPrEx>
          <w:tblCellMar>
            <w:top w:w="0" w:type="dxa"/>
            <w:left w:w="108" w:type="dxa"/>
            <w:bottom w:w="0" w:type="dxa"/>
            <w:right w:w="108" w:type="dxa"/>
          </w:tblCellMar>
        </w:tblPrEx>
        <w:trPr>
          <w:trHeight w:val="34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97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解华波</w:t>
            </w: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9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01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8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w:t>
            </w:r>
          </w:p>
        </w:tc>
        <w:tc>
          <w:tcPr>
            <w:tcW w:w="10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w:t>
            </w: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w:t>
            </w:r>
          </w:p>
        </w:tc>
        <w:tc>
          <w:tcPr>
            <w:tcW w:w="8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51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w:t>
            </w:r>
          </w:p>
        </w:tc>
        <w:tc>
          <w:tcPr>
            <w:tcW w:w="10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w:t>
            </w: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w:t>
            </w:r>
          </w:p>
        </w:tc>
        <w:tc>
          <w:tcPr>
            <w:tcW w:w="8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4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4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494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保障我局食堂服务工作，职工早、中、晚三餐制作与供应。严格遵守《食品卫生安全法》按国家饮食卫生标准执行各项操作。</w:t>
            </w:r>
          </w:p>
        </w:tc>
        <w:tc>
          <w:tcPr>
            <w:tcW w:w="35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按合同要求执行，完成我局职工食堂工作。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保证全局人员一日三餐</w:t>
            </w: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工作日</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w:t>
            </w:r>
          </w:p>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工作日</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保证食品安全合理膳食</w:t>
            </w: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按规定</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按规定</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按合同签订期限</w:t>
            </w: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全年</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预算控制数</w:t>
            </w: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49万</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49万</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聘请餐饮公司保障用餐需求</w:t>
            </w: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得到保障</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得到保障</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为工作人员提供餐饮服务</w:t>
            </w: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得到保障</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得到保障</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保证餐饮油烟排放环保节能</w:t>
            </w: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达标</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达标</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局工作人员满意度</w:t>
            </w: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4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100</w:t>
            </w:r>
          </w:p>
        </w:tc>
        <w:tc>
          <w:tcPr>
            <w:tcW w:w="12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702"/>
        <w:gridCol w:w="765"/>
        <w:gridCol w:w="1125"/>
        <w:gridCol w:w="900"/>
        <w:gridCol w:w="810"/>
        <w:gridCol w:w="1695"/>
        <w:gridCol w:w="196"/>
        <w:gridCol w:w="419"/>
        <w:gridCol w:w="285"/>
        <w:gridCol w:w="285"/>
        <w:gridCol w:w="561"/>
        <w:gridCol w:w="710"/>
      </w:tblGrid>
      <w:tr>
        <w:tblPrEx>
          <w:tblCellMar>
            <w:top w:w="0" w:type="dxa"/>
            <w:left w:w="108" w:type="dxa"/>
            <w:bottom w:w="0" w:type="dxa"/>
            <w:right w:w="108" w:type="dxa"/>
          </w:tblCellMar>
        </w:tblPrEx>
        <w:trPr>
          <w:trHeight w:val="306" w:hRule="exact"/>
          <w:jc w:val="center"/>
        </w:trPr>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75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2023年房屋修缮类项目</w:t>
            </w:r>
          </w:p>
        </w:tc>
      </w:tr>
      <w:tr>
        <w:tblPrEx>
          <w:tblCellMar>
            <w:top w:w="0" w:type="dxa"/>
            <w:left w:w="108" w:type="dxa"/>
            <w:bottom w:w="0" w:type="dxa"/>
            <w:right w:w="108" w:type="dxa"/>
          </w:tblCellMar>
        </w:tblPrEx>
        <w:trPr>
          <w:trHeight w:val="306" w:hRule="exact"/>
          <w:jc w:val="center"/>
        </w:trPr>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60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行政科</w:t>
            </w:r>
          </w:p>
        </w:tc>
        <w:tc>
          <w:tcPr>
            <w:tcW w:w="18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行政科</w:t>
            </w:r>
          </w:p>
        </w:tc>
      </w:tr>
      <w:tr>
        <w:tblPrEx>
          <w:tblCellMar>
            <w:top w:w="0" w:type="dxa"/>
            <w:left w:w="108" w:type="dxa"/>
            <w:bottom w:w="0" w:type="dxa"/>
            <w:right w:w="108" w:type="dxa"/>
          </w:tblCellMar>
        </w:tblPrEx>
        <w:trPr>
          <w:trHeight w:val="306" w:hRule="exact"/>
          <w:jc w:val="center"/>
        </w:trPr>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60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解华波</w:t>
            </w:r>
          </w:p>
        </w:tc>
        <w:tc>
          <w:tcPr>
            <w:tcW w:w="18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12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8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28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50</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50</w:t>
            </w:r>
          </w:p>
        </w:tc>
        <w:tc>
          <w:tcPr>
            <w:tcW w:w="18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50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28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50</w:t>
            </w: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50</w:t>
            </w:r>
          </w:p>
        </w:tc>
        <w:tc>
          <w:tcPr>
            <w:tcW w:w="18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50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28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28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3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415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30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为工作人员创造安全舒适的办公条件，加强设备设施的管理维护及更新，加强对空调、水电暖、电梯、消防等设备的检修维护，消除安全隐患</w:t>
            </w:r>
          </w:p>
        </w:tc>
        <w:tc>
          <w:tcPr>
            <w:tcW w:w="415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全部完成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70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7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7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6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0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数量指标</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lang w:eastAsia="zh-CN"/>
              </w:rPr>
              <w:t>定期检修维护</w:t>
            </w:r>
          </w:p>
        </w:tc>
        <w:tc>
          <w:tcPr>
            <w:tcW w:w="17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办公楼维修3次、空调维修清洗4次、灭火器检测1次</w:t>
            </w:r>
          </w:p>
        </w:tc>
        <w:tc>
          <w:tcPr>
            <w:tcW w:w="16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全部完成</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20</w:t>
            </w:r>
          </w:p>
        </w:tc>
        <w:tc>
          <w:tcPr>
            <w:tcW w:w="12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质量指标</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安全无事故</w:t>
            </w:r>
          </w:p>
        </w:tc>
        <w:tc>
          <w:tcPr>
            <w:tcW w:w="17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确保设备正常运转</w:t>
            </w:r>
          </w:p>
        </w:tc>
        <w:tc>
          <w:tcPr>
            <w:tcW w:w="16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完成日常</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维修养护</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12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时效指标</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lang w:val="en-US" w:eastAsia="zh-CN"/>
              </w:rPr>
              <w:t>按合同签订期限</w:t>
            </w:r>
          </w:p>
        </w:tc>
        <w:tc>
          <w:tcPr>
            <w:tcW w:w="17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以合同为依据</w:t>
            </w:r>
          </w:p>
        </w:tc>
        <w:tc>
          <w:tcPr>
            <w:tcW w:w="16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按合同执行</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15</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15</w:t>
            </w:r>
          </w:p>
        </w:tc>
        <w:tc>
          <w:tcPr>
            <w:tcW w:w="12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成本指标</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lang w:eastAsia="zh-CN"/>
              </w:rPr>
              <w:t>成本控制数</w:t>
            </w:r>
          </w:p>
        </w:tc>
        <w:tc>
          <w:tcPr>
            <w:tcW w:w="17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50万元</w:t>
            </w:r>
          </w:p>
        </w:tc>
        <w:tc>
          <w:tcPr>
            <w:tcW w:w="16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50万元</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15</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15</w:t>
            </w:r>
          </w:p>
        </w:tc>
        <w:tc>
          <w:tcPr>
            <w:tcW w:w="12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lang w:eastAsia="zh-CN"/>
              </w:rPr>
              <w:t>消除安全隐患、</w:t>
            </w:r>
            <w:r>
              <w:rPr>
                <w:rFonts w:hint="eastAsia" w:ascii="仿宋_GB2312" w:hAnsi="宋体" w:eastAsia="仿宋_GB2312" w:cs="宋体"/>
                <w:kern w:val="0"/>
                <w:szCs w:val="21"/>
                <w:lang w:eastAsia="zh-CN"/>
              </w:rPr>
              <w:t>节能环保</w:t>
            </w:r>
          </w:p>
        </w:tc>
        <w:tc>
          <w:tcPr>
            <w:tcW w:w="17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确保办公楼安全、环保</w:t>
            </w:r>
          </w:p>
        </w:tc>
        <w:tc>
          <w:tcPr>
            <w:tcW w:w="1695" w:type="dxa"/>
            <w:tcBorders>
              <w:top w:val="single" w:color="auto" w:sz="4" w:space="0"/>
              <w:left w:val="nil"/>
              <w:bottom w:val="single" w:color="auto" w:sz="4" w:space="0"/>
              <w:right w:val="single" w:color="auto" w:sz="4" w:space="0"/>
            </w:tcBorders>
            <w:noWrap w:val="0"/>
            <w:vAlign w:val="center"/>
          </w:tcPr>
          <w:p>
            <w:pPr>
              <w:widowControl/>
              <w:spacing w:line="240" w:lineRule="exact"/>
              <w:ind w:firstLine="210" w:firstLineChars="100"/>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消除隐患、达到环保标准</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12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58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27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黑体" w:hAnsi="黑体" w:eastAsia="黑体"/>
          <w:sz w:val="32"/>
          <w:szCs w:val="32"/>
        </w:rPr>
      </w:pPr>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13"/>
        <w:gridCol w:w="849"/>
        <w:gridCol w:w="1080"/>
        <w:gridCol w:w="950"/>
        <w:gridCol w:w="1180"/>
        <w:gridCol w:w="1155"/>
        <w:gridCol w:w="1073"/>
        <w:gridCol w:w="575"/>
        <w:gridCol w:w="575"/>
        <w:gridCol w:w="378"/>
        <w:gridCol w:w="710"/>
      </w:tblGrid>
      <w:tr>
        <w:tblPrEx>
          <w:tblCellMar>
            <w:top w:w="0" w:type="dxa"/>
            <w:left w:w="108" w:type="dxa"/>
            <w:bottom w:w="0" w:type="dxa"/>
            <w:right w:w="108" w:type="dxa"/>
          </w:tblCellMar>
        </w:tblPrEx>
        <w:trPr>
          <w:trHeight w:val="306"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7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办公楼物业费</w:t>
            </w:r>
          </w:p>
        </w:tc>
      </w:tr>
      <w:tr>
        <w:tblPrEx>
          <w:tblCellMar>
            <w:top w:w="0" w:type="dxa"/>
            <w:left w:w="108" w:type="dxa"/>
            <w:bottom w:w="0" w:type="dxa"/>
            <w:right w:w="108" w:type="dxa"/>
          </w:tblCellMar>
        </w:tblPrEx>
        <w:trPr>
          <w:trHeight w:val="306"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3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丰台区财政局</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3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行政科</w:t>
            </w:r>
          </w:p>
        </w:tc>
      </w:tr>
      <w:tr>
        <w:tblPrEx>
          <w:tblCellMar>
            <w:top w:w="0" w:type="dxa"/>
            <w:left w:w="108" w:type="dxa"/>
            <w:bottom w:w="0" w:type="dxa"/>
            <w:right w:w="108" w:type="dxa"/>
          </w:tblCellMar>
        </w:tblPrEx>
        <w:trPr>
          <w:trHeight w:val="306"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3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解华波</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3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p>
        </w:tc>
      </w:tr>
      <w:tr>
        <w:tblPrEx>
          <w:tblCellMar>
            <w:top w:w="0" w:type="dxa"/>
            <w:left w:w="108" w:type="dxa"/>
            <w:bottom w:w="0" w:type="dxa"/>
            <w:right w:w="108" w:type="dxa"/>
          </w:tblCellMar>
        </w:tblPrEx>
        <w:trPr>
          <w:trHeight w:val="567" w:hRule="exact"/>
          <w:jc w:val="center"/>
        </w:trPr>
        <w:tc>
          <w:tcPr>
            <w:tcW w:w="136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103.8</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103.8</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103.8</w:t>
            </w: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103.8</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103.8</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103.8</w:t>
            </w: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1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1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1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015" w:hRule="exact"/>
          <w:jc w:val="center"/>
        </w:trPr>
        <w:tc>
          <w:tcPr>
            <w:tcW w:w="5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21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保证财政局办公区卫生环境干净整洁，配套设施设备正常运行，办公区治安状况稳定。</w:t>
            </w:r>
          </w:p>
        </w:tc>
        <w:tc>
          <w:tcPr>
            <w:tcW w:w="331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卫生环境干净整洁，内部办公秩序井然，各项工作顺利开展。</w:t>
            </w:r>
          </w:p>
        </w:tc>
      </w:tr>
      <w:tr>
        <w:tblPrEx>
          <w:tblCellMar>
            <w:top w:w="0" w:type="dxa"/>
            <w:left w:w="108" w:type="dxa"/>
            <w:bottom w:w="0" w:type="dxa"/>
            <w:right w:w="108" w:type="dxa"/>
          </w:tblCellMar>
        </w:tblPrEx>
        <w:trPr>
          <w:trHeight w:val="785" w:hRule="exact"/>
          <w:jc w:val="center"/>
        </w:trPr>
        <w:tc>
          <w:tcPr>
            <w:tcW w:w="5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526" w:hRule="exact"/>
          <w:jc w:val="cent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为我局办公区提供物业服务</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8862㎡</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8862㎡</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4" w:hRule="exact"/>
          <w:jc w:val="cent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80" w:type="dxa"/>
            <w:vMerge w:val="restart"/>
            <w:tcBorders>
              <w:top w:val="single" w:color="auto" w:sz="4" w:space="0"/>
              <w:left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质量指标</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办公区保洁、保安、办公楼电气养护等工作正常运行</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各项工作</w:t>
            </w:r>
            <w:r>
              <w:rPr>
                <w:rFonts w:hint="eastAsia" w:ascii="仿宋_GB2312" w:hAnsi="宋体" w:eastAsia="仿宋_GB2312" w:cs="宋体"/>
                <w:kern w:val="0"/>
                <w:szCs w:val="21"/>
                <w:lang w:val="en-US" w:eastAsia="zh-CN"/>
              </w:rPr>
              <w:t>正常运行</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各项工作</w:t>
            </w:r>
            <w:r>
              <w:rPr>
                <w:rFonts w:hint="eastAsia" w:ascii="仿宋_GB2312" w:hAnsi="宋体" w:eastAsia="仿宋_GB2312" w:cs="宋体"/>
                <w:kern w:val="0"/>
                <w:szCs w:val="21"/>
                <w:lang w:val="en-US" w:eastAsia="zh-CN"/>
              </w:rPr>
              <w:t>正常运行</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34" w:hRule="exact"/>
          <w:jc w:val="cent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保安监控服务</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 xml:space="preserve">24小时 </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24小时</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31" w:hRule="exact"/>
          <w:jc w:val="cent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提供服务期限</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一年</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一年</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06" w:hRule="exact"/>
          <w:jc w:val="cent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成本控制数</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103.8</w:t>
            </w:r>
          </w:p>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万元</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103.8</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万元</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16" w:hRule="exact"/>
          <w:jc w:val="cent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仿宋_GB2312" w:eastAsia="仿宋_GB2312" w:cs="仿宋_GB2312"/>
                <w:color w:val="000000"/>
                <w:kern w:val="0"/>
                <w:sz w:val="21"/>
                <w:szCs w:val="21"/>
              </w:rPr>
              <w:t>设备运行良好无事故</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54" w:hRule="exact"/>
          <w:jc w:val="cent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从整体办公环境和基础设施建设上保证各项工作正常运行</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保障运行</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保障运行</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11" w:hRule="exact"/>
          <w:jc w:val="cent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 w:val="21"/>
                <w:szCs w:val="21"/>
              </w:rPr>
              <w:t>办公区干净卫生环境整洁</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得到提高</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得到提高</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21" w:hRule="exact"/>
          <w:jc w:val="cent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办公区内人员对物业服务满意度</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90%</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90%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80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100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398" w:type="dxa"/>
        <w:jc w:val="center"/>
        <w:tblLayout w:type="fixed"/>
        <w:tblCellMar>
          <w:top w:w="0" w:type="dxa"/>
          <w:left w:w="108" w:type="dxa"/>
          <w:bottom w:w="0" w:type="dxa"/>
          <w:right w:w="108" w:type="dxa"/>
        </w:tblCellMar>
      </w:tblPr>
      <w:tblGrid>
        <w:gridCol w:w="585"/>
        <w:gridCol w:w="975"/>
        <w:gridCol w:w="1105"/>
        <w:gridCol w:w="727"/>
        <w:gridCol w:w="1127"/>
        <w:gridCol w:w="283"/>
        <w:gridCol w:w="1131"/>
        <w:gridCol w:w="1155"/>
        <w:gridCol w:w="600"/>
        <w:gridCol w:w="640"/>
        <w:gridCol w:w="107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838" w:type="dxa"/>
            <w:gridSpan w:val="9"/>
            <w:tcBorders>
              <w:top w:val="single" w:color="auto" w:sz="4" w:space="0"/>
              <w:left w:val="nil"/>
              <w:bottom w:val="single" w:color="auto" w:sz="4" w:space="0"/>
              <w:right w:val="single" w:color="auto" w:sz="4" w:space="0"/>
            </w:tcBorders>
            <w:noWrap w:val="0"/>
            <w:vAlign w:val="center"/>
          </w:tcPr>
          <w:p>
            <w:pPr>
              <w:widowControl/>
              <w:tabs>
                <w:tab w:val="left" w:pos="2259"/>
              </w:tabs>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ab/>
            </w:r>
            <w:r>
              <w:rPr>
                <w:rFonts w:hint="eastAsia" w:ascii="仿宋_GB2312" w:hAnsi="宋体" w:eastAsia="仿宋_GB2312" w:cs="宋体"/>
                <w:kern w:val="0"/>
                <w:szCs w:val="21"/>
                <w:highlight w:val="none"/>
                <w:lang w:eastAsia="zh-CN"/>
              </w:rPr>
              <w:t>会计考试经费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37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北京市丰台区财政局</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3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会计科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37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张文东</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3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4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10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4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306.7685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306.7685</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10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p>
        </w:tc>
        <w:tc>
          <w:tcPr>
            <w:tcW w:w="14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306.7685</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306.7685</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34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4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348" w:type="dxa"/>
            <w:gridSpan w:val="6"/>
            <w:tcBorders>
              <w:top w:val="single" w:color="auto" w:sz="4" w:space="0"/>
              <w:left w:val="nil"/>
              <w:bottom w:val="single" w:color="auto" w:sz="4" w:space="0"/>
              <w:right w:val="single" w:color="auto" w:sz="4" w:space="0"/>
            </w:tcBorders>
            <w:noWrap w:val="0"/>
            <w:vAlign w:val="center"/>
          </w:tcPr>
          <w:p>
            <w:pPr>
              <w:widowControl/>
              <w:numPr>
                <w:ilvl w:val="0"/>
                <w:numId w:val="4"/>
              </w:numPr>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eastAsia="zh-CN"/>
              </w:rPr>
              <w:t>完成</w:t>
            </w:r>
            <w:r>
              <w:rPr>
                <w:rFonts w:hint="eastAsia" w:ascii="仿宋_GB2312" w:hAnsi="宋体" w:eastAsia="仿宋_GB2312" w:cs="宋体"/>
                <w:kern w:val="0"/>
                <w:szCs w:val="21"/>
                <w:lang w:val="en-US" w:eastAsia="zh-CN"/>
              </w:rPr>
              <w:t>2023年度会计专业技术初、中、高级报名及</w:t>
            </w:r>
          </w:p>
          <w:p>
            <w:pPr>
              <w:widowControl/>
              <w:numPr>
                <w:ilvl w:val="0"/>
                <w:numId w:val="0"/>
              </w:numPr>
              <w:spacing w:line="240" w:lineRule="exact"/>
              <w:jc w:val="both"/>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考试工作；</w:t>
            </w:r>
          </w:p>
          <w:p>
            <w:pPr>
              <w:widowControl/>
              <w:numPr>
                <w:ilvl w:val="0"/>
                <w:numId w:val="4"/>
              </w:numPr>
              <w:spacing w:line="240" w:lineRule="exact"/>
              <w:ind w:left="0" w:leftChars="0" w:firstLine="0" w:firstLineChars="0"/>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完成考务费、上缴财政部报名费、报名服务费等其</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他会计考试经费的支出。</w:t>
            </w:r>
          </w:p>
        </w:tc>
        <w:tc>
          <w:tcPr>
            <w:tcW w:w="3465" w:type="dxa"/>
            <w:gridSpan w:val="4"/>
            <w:tcBorders>
              <w:top w:val="single" w:color="auto" w:sz="4" w:space="0"/>
              <w:left w:val="nil"/>
              <w:bottom w:val="single" w:color="auto" w:sz="4" w:space="0"/>
              <w:right w:val="single" w:color="auto" w:sz="4" w:space="0"/>
            </w:tcBorders>
            <w:noWrap w:val="0"/>
            <w:vAlign w:val="center"/>
          </w:tcPr>
          <w:p>
            <w:pPr>
              <w:widowControl/>
              <w:numPr>
                <w:ilvl w:val="0"/>
                <w:numId w:val="0"/>
              </w:numPr>
              <w:spacing w:line="240" w:lineRule="exact"/>
              <w:jc w:val="both"/>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w:t>
            </w:r>
            <w:r>
              <w:rPr>
                <w:rFonts w:hint="eastAsia" w:ascii="仿宋_GB2312" w:hAnsi="宋体" w:eastAsia="仿宋_GB2312" w:cs="宋体"/>
                <w:kern w:val="0"/>
                <w:szCs w:val="21"/>
                <w:lang w:eastAsia="zh-CN"/>
              </w:rPr>
              <w:t>完成</w:t>
            </w:r>
            <w:r>
              <w:rPr>
                <w:rFonts w:hint="eastAsia" w:ascii="仿宋_GB2312" w:hAnsi="宋体" w:eastAsia="仿宋_GB2312" w:cs="宋体"/>
                <w:kern w:val="0"/>
                <w:szCs w:val="21"/>
                <w:lang w:val="en-US" w:eastAsia="zh-CN"/>
              </w:rPr>
              <w:t>2023年度会计专业技术初、中、高级报名及考试工作；</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2、完成考务费、上缴财政部报名费、报名服务费等其他会计考试经费的支出</w:t>
            </w:r>
          </w:p>
        </w:tc>
      </w:tr>
      <w:tr>
        <w:tblPrEx>
          <w:tblCellMar>
            <w:top w:w="0" w:type="dxa"/>
            <w:left w:w="108" w:type="dxa"/>
            <w:bottom w:w="0" w:type="dxa"/>
            <w:right w:w="108" w:type="dxa"/>
          </w:tblCellMar>
        </w:tblPrEx>
        <w:trPr>
          <w:trHeight w:val="91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8"/>
                <w:szCs w:val="18"/>
                <w:highlight w:val="none"/>
              </w:rPr>
              <w:t>措施</w:t>
            </w:r>
          </w:p>
        </w:tc>
      </w:tr>
      <w:tr>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组织会计考试报名</w:t>
            </w:r>
          </w:p>
        </w:tc>
        <w:tc>
          <w:tcPr>
            <w:tcW w:w="11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16347人、37149科次</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16347人、37149科</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组织会计考试报名咨询服务</w:t>
            </w:r>
          </w:p>
        </w:tc>
        <w:tc>
          <w:tcPr>
            <w:tcW w:w="11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16347人</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16347人</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组织规范性、准确性</w:t>
            </w:r>
          </w:p>
        </w:tc>
        <w:tc>
          <w:tcPr>
            <w:tcW w:w="11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报名工作按时完成</w:t>
            </w:r>
          </w:p>
        </w:tc>
        <w:tc>
          <w:tcPr>
            <w:tcW w:w="11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会计考试经费控制数</w:t>
            </w:r>
          </w:p>
        </w:tc>
        <w:tc>
          <w:tcPr>
            <w:tcW w:w="11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306.7685</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306.7685</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会计考试经费控制数</w:t>
            </w:r>
          </w:p>
        </w:tc>
        <w:tc>
          <w:tcPr>
            <w:tcW w:w="11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得到增加</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得到增加</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会计行业整体从业水准</w:t>
            </w:r>
          </w:p>
        </w:tc>
        <w:tc>
          <w:tcPr>
            <w:tcW w:w="1131" w:type="dxa"/>
            <w:tcBorders>
              <w:top w:val="single" w:color="auto" w:sz="4" w:space="0"/>
              <w:left w:val="nil"/>
              <w:bottom w:val="single" w:color="auto" w:sz="4" w:space="0"/>
              <w:right w:val="single" w:color="auto" w:sz="4" w:space="0"/>
            </w:tcBorders>
            <w:noWrap w:val="0"/>
            <w:vAlign w:val="center"/>
          </w:tcPr>
          <w:p>
            <w:pPr>
              <w:widowControl/>
              <w:tabs>
                <w:tab w:val="left" w:pos="254"/>
              </w:tabs>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得到提高</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得到提高</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会计专业资格考试</w:t>
            </w:r>
          </w:p>
        </w:tc>
        <w:tc>
          <w:tcPr>
            <w:tcW w:w="11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广泛关注</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广泛关注</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报名考生满意度</w:t>
            </w:r>
          </w:p>
        </w:tc>
        <w:tc>
          <w:tcPr>
            <w:tcW w:w="11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大于</w:t>
            </w:r>
            <w:r>
              <w:rPr>
                <w:rFonts w:hint="eastAsia" w:ascii="仿宋_GB2312" w:hAnsi="宋体" w:eastAsia="仿宋_GB2312" w:cs="宋体"/>
                <w:kern w:val="0"/>
                <w:szCs w:val="21"/>
                <w:lang w:val="en-US" w:eastAsia="zh-CN"/>
              </w:rPr>
              <w:t>99%</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大于</w:t>
            </w:r>
            <w:r>
              <w:rPr>
                <w:rFonts w:hint="eastAsia" w:ascii="仿宋_GB2312" w:hAnsi="宋体" w:eastAsia="仿宋_GB2312" w:cs="宋体"/>
                <w:kern w:val="0"/>
                <w:szCs w:val="21"/>
                <w:lang w:val="en-US" w:eastAsia="zh-CN"/>
              </w:rPr>
              <w:t>99%</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2" w:hRule="exact"/>
          <w:jc w:val="center"/>
        </w:trPr>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6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2023年内控外部评价费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北京市丰台区财政局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会计科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张文东</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2</w:t>
            </w:r>
            <w:r>
              <w:rPr>
                <w:rFonts w:hint="eastAsia" w:ascii="仿宋_GB2312" w:hAnsi="宋体" w:eastAsia="仿宋_GB2312" w:cs="宋体"/>
                <w:kern w:val="0"/>
                <w:szCs w:val="21"/>
                <w:lang w:val="en-US" w:eastAsia="zh-CN"/>
              </w:rPr>
              <w:t>.</w:t>
            </w:r>
            <w:r>
              <w:rPr>
                <w:rFonts w:hint="eastAsia" w:ascii="仿宋_GB2312" w:hAnsi="宋体" w:eastAsia="仿宋_GB2312" w:cs="宋体"/>
                <w:kern w:val="0"/>
                <w:szCs w:val="21"/>
              </w:rPr>
              <w:t>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2</w:t>
            </w:r>
            <w:r>
              <w:rPr>
                <w:rFonts w:hint="eastAsia" w:ascii="仿宋_GB2312" w:hAnsi="宋体" w:eastAsia="仿宋_GB2312" w:cs="宋体"/>
                <w:kern w:val="0"/>
                <w:szCs w:val="21"/>
                <w:lang w:val="en-US" w:eastAsia="zh-CN"/>
              </w:rPr>
              <w:t>.</w:t>
            </w:r>
            <w:r>
              <w:rPr>
                <w:rFonts w:hint="eastAsia" w:ascii="仿宋_GB2312" w:hAnsi="宋体" w:eastAsia="仿宋_GB2312" w:cs="宋体"/>
                <w:kern w:val="0"/>
                <w:szCs w:val="21"/>
              </w:rPr>
              <w:t>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开展丰台区行政事业单位内部控制报告编报培训，分析填报新要求新变化，对填报方法和内容进行规范指导，提高全区整体内部控制报告质量，组织全区行政事业单位按时完成2023年度内控报告编报工作。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按时开展内控编报培训</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有效</w:t>
            </w:r>
            <w:r>
              <w:rPr>
                <w:rFonts w:hint="eastAsia" w:ascii="仿宋_GB2312" w:hAnsi="宋体" w:eastAsia="仿宋_GB2312" w:cs="宋体"/>
                <w:kern w:val="0"/>
                <w:szCs w:val="21"/>
                <w:lang w:val="en-US" w:eastAsia="zh-CN"/>
              </w:rPr>
              <w:t>指导</w:t>
            </w:r>
            <w:r>
              <w:rPr>
                <w:rFonts w:hint="eastAsia" w:ascii="仿宋_GB2312" w:hAnsi="宋体" w:eastAsia="仿宋_GB2312" w:cs="宋体"/>
                <w:kern w:val="0"/>
                <w:szCs w:val="21"/>
              </w:rPr>
              <w:t>丰台区行政事业单位</w:t>
            </w:r>
            <w:r>
              <w:rPr>
                <w:rFonts w:hint="eastAsia" w:ascii="仿宋_GB2312" w:hAnsi="宋体" w:eastAsia="仿宋_GB2312" w:cs="宋体"/>
                <w:kern w:val="0"/>
                <w:szCs w:val="21"/>
                <w:lang w:val="en-US" w:eastAsia="zh-CN"/>
              </w:rPr>
              <w:t>内控编报，提高内控报告质量，顺利完成全区内控编报工作</w:t>
            </w: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9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组织内控报告编制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全区112家一级预算单位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全区112家一级预算单位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开展内控编报培训</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全区112家一级预算单位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全区112家一级预算单位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预算单位内控</w:t>
            </w:r>
            <w:r>
              <w:rPr>
                <w:rFonts w:hint="eastAsia" w:ascii="仿宋_GB2312" w:hAnsi="宋体" w:eastAsia="仿宋_GB2312" w:cs="宋体"/>
                <w:color w:val="000000"/>
                <w:kern w:val="0"/>
                <w:szCs w:val="21"/>
                <w:lang w:val="en-US" w:eastAsia="zh-CN"/>
              </w:rPr>
              <w:t>报告编报</w:t>
            </w:r>
            <w:r>
              <w:rPr>
                <w:rFonts w:hint="eastAsia" w:ascii="仿宋_GB2312" w:hAnsi="宋体" w:eastAsia="仿宋_GB2312" w:cs="宋体"/>
                <w:color w:val="000000"/>
                <w:kern w:val="0"/>
                <w:szCs w:val="21"/>
              </w:rPr>
              <w:t>是否</w:t>
            </w:r>
            <w:r>
              <w:rPr>
                <w:rFonts w:hint="eastAsia" w:ascii="仿宋_GB2312" w:hAnsi="宋体" w:eastAsia="仿宋_GB2312" w:cs="宋体"/>
                <w:color w:val="000000"/>
                <w:kern w:val="0"/>
                <w:szCs w:val="21"/>
                <w:lang w:val="en-US" w:eastAsia="zh-CN"/>
              </w:rPr>
              <w:t>真实、完整、规范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202</w:t>
            </w:r>
            <w:r>
              <w:rPr>
                <w:rFonts w:hint="eastAsia" w:ascii="仿宋_GB2312" w:hAnsi="宋体" w:eastAsia="仿宋_GB2312" w:cs="宋体"/>
                <w:color w:val="000000"/>
                <w:kern w:val="0"/>
                <w:szCs w:val="21"/>
                <w:lang w:val="en-US" w:eastAsia="zh-CN"/>
              </w:rPr>
              <w:t>3</w:t>
            </w:r>
            <w:r>
              <w:rPr>
                <w:rFonts w:hint="eastAsia" w:ascii="仿宋_GB2312" w:hAnsi="宋体" w:eastAsia="仿宋_GB2312" w:cs="宋体"/>
                <w:color w:val="000000"/>
                <w:kern w:val="0"/>
                <w:szCs w:val="21"/>
              </w:rPr>
              <w:t>年12月31日之前完成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成本控制在</w:t>
            </w:r>
            <w:r>
              <w:rPr>
                <w:rFonts w:hint="eastAsia" w:ascii="仿宋_GB2312" w:hAnsi="宋体" w:eastAsia="仿宋_GB2312" w:cs="宋体"/>
                <w:color w:val="000000"/>
                <w:kern w:val="0"/>
                <w:szCs w:val="21"/>
                <w:lang w:val="en-US" w:eastAsia="zh-CN"/>
              </w:rPr>
              <w:t>3</w:t>
            </w:r>
            <w:r>
              <w:rPr>
                <w:rFonts w:hint="eastAsia" w:ascii="仿宋_GB2312" w:hAnsi="宋体" w:eastAsia="仿宋_GB2312" w:cs="宋体"/>
                <w:color w:val="000000"/>
                <w:kern w:val="0"/>
                <w:szCs w:val="21"/>
              </w:rPr>
              <w:t>万元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lang w:val="en-US" w:eastAsia="zh-CN"/>
              </w:rPr>
              <w:t>3</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内部控制</w:t>
            </w:r>
            <w:r>
              <w:rPr>
                <w:rFonts w:hint="eastAsia" w:ascii="仿宋_GB2312" w:hAnsi="宋体" w:eastAsia="仿宋_GB2312" w:cs="宋体"/>
                <w:color w:val="000000"/>
                <w:kern w:val="0"/>
                <w:szCs w:val="21"/>
                <w:lang w:val="en-US" w:eastAsia="zh-CN"/>
              </w:rPr>
              <w:t>重视程度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广泛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关注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广泛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关注</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eastAsia="zh-CN"/>
              </w:rPr>
              <w:t>各预算单位满意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大于</w:t>
            </w:r>
            <w:r>
              <w:rPr>
                <w:rFonts w:hint="eastAsia" w:ascii="仿宋_GB2312" w:hAnsi="宋体" w:eastAsia="仿宋_GB2312" w:cs="宋体"/>
                <w:kern w:val="0"/>
                <w:szCs w:val="21"/>
                <w:lang w:val="en-US" w:eastAsia="zh-CN"/>
              </w:rPr>
              <w:t>99%</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大于</w:t>
            </w:r>
            <w:r>
              <w:rPr>
                <w:rFonts w:hint="eastAsia" w:ascii="仿宋_GB2312" w:hAnsi="宋体" w:eastAsia="仿宋_GB2312" w:cs="宋体"/>
                <w:kern w:val="0"/>
                <w:szCs w:val="21"/>
                <w:lang w:val="en-US" w:eastAsia="zh-CN"/>
              </w:rPr>
              <w:t>99%</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方正小标宋简体" w:eastAsia="方正小标宋简体"/>
          <w:sz w:val="36"/>
          <w:szCs w:val="36"/>
        </w:rPr>
      </w:pP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2023</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943"/>
        <w:gridCol w:w="184"/>
        <w:gridCol w:w="1132"/>
        <w:gridCol w:w="1094"/>
        <w:gridCol w:w="33"/>
        <w:gridCol w:w="534"/>
        <w:gridCol w:w="170"/>
        <w:gridCol w:w="397"/>
        <w:gridCol w:w="449"/>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绩效考评项目中介服务费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北京市丰台区财政局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刘旸</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313.4767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313.4767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313.4767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313.4767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74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 xml:space="preserve">    根据《中共北京市委  北京市人民政府关于全面实施预算绩效管理的实施意见》（京发〔2019〕12号），全面推进丰台区预算绩效管理工作，通过具体开展事前绩效评估、重点项目绩效评价、绩效运行监控、成本绩效分析和部门整体绩效评价等工作，协助预算部门及单位提升财政资金管理水平和使用效果，有效节约财政资金，优化财政资源配置。</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年度内顺利开展事前绩效评估、重点项目绩效评价、绩效运行监控、成本绩效分析和部门整体绩效评价等项目共90个，节约财政资金约2亿元，实现了预期目标。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仿宋_GB2312" w:eastAsia="仿宋_GB2312" w:cs="仿宋_GB2312"/>
                <w:color w:val="000000"/>
                <w:kern w:val="0"/>
                <w:szCs w:val="21"/>
                <w:lang w:bidi="ar"/>
              </w:rPr>
              <w:t>绩效考评项目</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仿宋_GB2312" w:eastAsia="仿宋_GB2312" w:cs="仿宋_GB2312"/>
                <w:color w:val="000000"/>
                <w:kern w:val="0"/>
                <w:szCs w:val="21"/>
                <w:lang w:bidi="ar"/>
              </w:rPr>
              <w:t>≥90个</w:t>
            </w:r>
          </w:p>
        </w:tc>
        <w:tc>
          <w:tcPr>
            <w:tcW w:w="10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仿宋_GB2312" w:eastAsia="仿宋_GB2312" w:cs="仿宋_GB2312"/>
                <w:color w:val="000000"/>
                <w:kern w:val="0"/>
                <w:szCs w:val="21"/>
                <w:lang w:bidi="ar"/>
              </w:rPr>
              <w:t>90个</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eastAsia="仿宋_GB2312"/>
              </w:rPr>
              <w:t>绩效考评项目程序规范性</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0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hint="eastAsia" w:ascii="仿宋_GB2312" w:hAnsi="宋体" w:eastAsia="仿宋_GB2312" w:cs="宋体"/>
                <w:kern w:val="0"/>
                <w:szCs w:val="21"/>
                <w:lang w:val="en-US" w:eastAsia="zh-CN"/>
              </w:rPr>
              <w:t>9</w:t>
            </w:r>
            <w:r>
              <w:rPr>
                <w:rFonts w:hint="eastAsia" w:ascii="仿宋_GB2312" w:hAnsi="宋体" w:eastAsia="仿宋_GB2312" w:cs="宋体"/>
                <w:kern w:val="0"/>
                <w:szCs w:val="21"/>
              </w:rPr>
              <w:t>%</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1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仿宋_GB2312" w:eastAsia="仿宋_GB2312" w:cs="仿宋_GB2312"/>
                <w:color w:val="000000"/>
                <w:kern w:val="0"/>
                <w:szCs w:val="21"/>
                <w:lang w:bidi="ar"/>
              </w:rPr>
              <w:t>项目绩效报告完成率</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szCs w:val="21"/>
              </w:rPr>
              <w:t>=</w:t>
            </w:r>
            <w:r>
              <w:rPr>
                <w:rFonts w:hint="eastAsia" w:ascii="仿宋_GB2312" w:hAnsi="仿宋_GB2312" w:eastAsia="仿宋_GB2312" w:cs="仿宋_GB2312"/>
                <w:color w:val="000000"/>
                <w:kern w:val="0"/>
                <w:szCs w:val="21"/>
                <w:lang w:bidi="ar"/>
              </w:rPr>
              <w:t>100%</w:t>
            </w:r>
          </w:p>
        </w:tc>
        <w:tc>
          <w:tcPr>
            <w:tcW w:w="10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仿宋_GB2312" w:eastAsia="仿宋_GB2312" w:cs="仿宋_GB2312"/>
                <w:color w:val="000000"/>
                <w:kern w:val="0"/>
                <w:szCs w:val="21"/>
                <w:lang w:bidi="ar"/>
              </w:rPr>
              <w:t>100%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经济成本指标</w:t>
            </w:r>
          </w:p>
        </w:tc>
        <w:tc>
          <w:tcPr>
            <w:tcW w:w="16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绩效考评项目委托费总成本</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≤650万元</w:t>
            </w:r>
          </w:p>
        </w:tc>
        <w:tc>
          <w:tcPr>
            <w:tcW w:w="10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313.4767</w:t>
            </w:r>
            <w:r>
              <w:rPr>
                <w:rFonts w:hint="eastAsia" w:ascii="仿宋_GB2312" w:hAnsi="宋体" w:eastAsia="仿宋_GB2312" w:cs="宋体"/>
                <w:kern w:val="0"/>
                <w:szCs w:val="21"/>
              </w:rPr>
              <w:t>万元</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8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有效节约财政资金，优化财政资源配置</w:t>
            </w:r>
          </w:p>
        </w:tc>
        <w:tc>
          <w:tcPr>
            <w:tcW w:w="13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有效节约财政资金指标</w:t>
            </w:r>
          </w:p>
        </w:tc>
        <w:tc>
          <w:tcPr>
            <w:tcW w:w="109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事前评估压减财政资金1.4亿元，成本应用节约5900万元</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仿宋_GB2312" w:eastAsia="仿宋_GB2312" w:cs="仿宋_GB2312"/>
                <w:color w:val="000000"/>
                <w:kern w:val="0"/>
                <w:szCs w:val="21"/>
                <w:lang w:bidi="ar"/>
              </w:rPr>
              <w:t>对绩效评价工作人员的满意度</w:t>
            </w: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仿宋_GB2312" w:eastAsia="仿宋_GB2312" w:cs="仿宋_GB2312"/>
                <w:color w:val="000000"/>
                <w:kern w:val="0"/>
                <w:szCs w:val="21"/>
                <w:lang w:bidi="ar"/>
              </w:rPr>
              <w:t>≥90%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97%</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4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15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2023年监督检查服务费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财政监督科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孙秀娟</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62.4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w:t>
            </w:r>
            <w:r>
              <w:rPr>
                <w:rFonts w:hint="eastAsia" w:ascii="仿宋_GB2312" w:hAnsi="宋体" w:eastAsia="仿宋_GB2312" w:cs="宋体"/>
                <w:kern w:val="0"/>
                <w:szCs w:val="21"/>
                <w:highlight w:val="none"/>
                <w:lang w:eastAsia="zh-CN"/>
              </w:rPr>
              <w:t>区科信局及其</w:t>
            </w:r>
            <w:r>
              <w:rPr>
                <w:rFonts w:hint="eastAsia" w:ascii="仿宋_GB2312" w:hAnsi="宋体" w:eastAsia="仿宋_GB2312" w:cs="宋体"/>
                <w:kern w:val="0"/>
                <w:szCs w:val="21"/>
                <w:highlight w:val="none"/>
                <w:lang w:val="en-US" w:eastAsia="zh-CN"/>
              </w:rPr>
              <w:t>2家</w:t>
            </w:r>
            <w:r>
              <w:rPr>
                <w:rFonts w:hint="eastAsia" w:ascii="仿宋_GB2312" w:hAnsi="宋体" w:eastAsia="仿宋_GB2312" w:cs="宋体"/>
                <w:kern w:val="0"/>
                <w:szCs w:val="21"/>
                <w:highlight w:val="none"/>
                <w:lang w:eastAsia="zh-CN"/>
              </w:rPr>
              <w:t>下属</w:t>
            </w:r>
            <w:r>
              <w:rPr>
                <w:rFonts w:hint="eastAsia" w:ascii="仿宋_GB2312" w:hAnsi="宋体" w:eastAsia="仿宋_GB2312" w:cs="宋体"/>
                <w:kern w:val="0"/>
                <w:szCs w:val="21"/>
                <w:highlight w:val="none"/>
              </w:rPr>
              <w:t>二级单位、</w:t>
            </w:r>
            <w:r>
              <w:rPr>
                <w:rFonts w:hint="eastAsia" w:ascii="仿宋_GB2312" w:hAnsi="宋体" w:eastAsia="仿宋_GB2312" w:cs="宋体"/>
                <w:kern w:val="0"/>
                <w:szCs w:val="21"/>
                <w:highlight w:val="none"/>
                <w:lang w:eastAsia="zh-CN"/>
              </w:rPr>
              <w:t>区文旅局及其</w:t>
            </w:r>
            <w:r>
              <w:rPr>
                <w:rFonts w:hint="eastAsia" w:ascii="仿宋_GB2312" w:hAnsi="宋体" w:eastAsia="仿宋_GB2312" w:cs="宋体"/>
                <w:kern w:val="0"/>
                <w:szCs w:val="21"/>
                <w:highlight w:val="none"/>
                <w:lang w:val="en-US" w:eastAsia="zh-CN"/>
              </w:rPr>
              <w:t>6家下属二级单位</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1家区属重点企业、3家</w:t>
            </w:r>
            <w:r>
              <w:rPr>
                <w:rFonts w:hint="eastAsia" w:ascii="仿宋_GB2312" w:hAnsi="宋体" w:eastAsia="仿宋_GB2312" w:cs="宋体"/>
                <w:kern w:val="0"/>
                <w:szCs w:val="21"/>
                <w:highlight w:val="none"/>
              </w:rPr>
              <w:t>代理记账机构会计信息质量检查。</w:t>
            </w: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、丰台区一级预算单位202</w:t>
            </w: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年度决算</w:t>
            </w:r>
            <w:r>
              <w:rPr>
                <w:rFonts w:hint="eastAsia" w:ascii="仿宋_GB2312" w:hAnsi="宋体" w:eastAsia="仿宋_GB2312" w:cs="宋体"/>
                <w:kern w:val="0"/>
                <w:szCs w:val="21"/>
                <w:highlight w:val="none"/>
                <w:lang w:eastAsia="zh-CN"/>
              </w:rPr>
              <w:t>以及</w:t>
            </w:r>
            <w:r>
              <w:rPr>
                <w:rFonts w:hint="eastAsia" w:ascii="仿宋_GB2312" w:hAnsi="宋体" w:eastAsia="仿宋_GB2312" w:cs="宋体"/>
                <w:kern w:val="0"/>
                <w:szCs w:val="21"/>
                <w:highlight w:val="none"/>
                <w:lang w:val="en-US" w:eastAsia="zh-CN"/>
              </w:rPr>
              <w:t>2022年度预算情况</w:t>
            </w:r>
            <w:r>
              <w:rPr>
                <w:rFonts w:hint="eastAsia" w:ascii="仿宋_GB2312" w:hAnsi="宋体" w:eastAsia="仿宋_GB2312" w:cs="宋体"/>
                <w:kern w:val="0"/>
                <w:szCs w:val="21"/>
                <w:highlight w:val="none"/>
              </w:rPr>
              <w:t>公开检查。</w:t>
            </w:r>
            <w:r>
              <w:rPr>
                <w:rFonts w:hint="eastAsia" w:ascii="仿宋_GB2312" w:hAnsi="宋体" w:eastAsia="仿宋_GB2312" w:cs="宋体"/>
                <w:kern w:val="0"/>
                <w:szCs w:val="21"/>
                <w:highlight w:val="none"/>
                <w:lang w:val="en-US" w:eastAsia="zh-CN"/>
              </w:rPr>
              <w:t>3、疫情防控经费及集中观察点运行运行经费审核。</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已根据年度计划完成财会监督相关工作。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指标1：会计信息检查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14家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14家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指标2：预决算公开情况检查（网上检查）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309家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309家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lang w:eastAsia="zh-CN"/>
              </w:rPr>
            </w:pPr>
            <w:r>
              <w:rPr>
                <w:rFonts w:hint="eastAsia" w:ascii="仿宋_GB2312" w:hAnsi="宋体" w:eastAsia="仿宋_GB2312" w:cs="宋体"/>
                <w:color w:val="000000"/>
                <w:kern w:val="0"/>
                <w:sz w:val="18"/>
                <w:szCs w:val="18"/>
                <w:highlight w:val="none"/>
              </w:rPr>
              <w:t>指标</w:t>
            </w:r>
            <w:r>
              <w:rPr>
                <w:rFonts w:hint="eastAsia" w:ascii="仿宋_GB2312" w:hAnsi="宋体" w:eastAsia="仿宋_GB2312" w:cs="宋体"/>
                <w:color w:val="000000"/>
                <w:kern w:val="0"/>
                <w:sz w:val="18"/>
                <w:szCs w:val="18"/>
                <w:highlight w:val="none"/>
                <w:lang w:val="en-US" w:eastAsia="zh-CN"/>
              </w:rPr>
              <w:t>3</w:t>
            </w:r>
            <w:r>
              <w:rPr>
                <w:rFonts w:hint="eastAsia" w:ascii="仿宋_GB2312" w:hAnsi="宋体" w:eastAsia="仿宋_GB2312" w:cs="宋体"/>
                <w:color w:val="000000"/>
                <w:kern w:val="0"/>
                <w:sz w:val="18"/>
                <w:szCs w:val="18"/>
                <w:highlight w:val="none"/>
              </w:rPr>
              <w:t>：</w:t>
            </w:r>
            <w:r>
              <w:rPr>
                <w:rFonts w:hint="eastAsia" w:ascii="仿宋_GB2312" w:hAnsi="宋体" w:eastAsia="仿宋_GB2312" w:cs="宋体"/>
                <w:color w:val="000000"/>
                <w:kern w:val="0"/>
                <w:sz w:val="18"/>
                <w:szCs w:val="18"/>
                <w:highlight w:val="none"/>
                <w:lang w:eastAsia="zh-CN"/>
              </w:rPr>
              <w:t>疫情防控经费检查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25家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25家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bidi="ar-SA"/>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指标1：会计信息检查单位完成整改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14家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14家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p>
        </w:tc>
      </w:tr>
      <w:tr>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指标2：预决算公开情况检查完成整改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309家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309家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w:t>
            </w:r>
            <w:r>
              <w:rPr>
                <w:rFonts w:hint="eastAsia" w:ascii="仿宋_GB2312" w:hAnsi="宋体" w:eastAsia="仿宋_GB2312" w:cs="宋体"/>
                <w:color w:val="000000"/>
                <w:kern w:val="0"/>
                <w:sz w:val="18"/>
                <w:szCs w:val="18"/>
                <w:highlight w:val="none"/>
                <w:lang w:val="en-US" w:eastAsia="zh-CN"/>
              </w:rPr>
              <w:t>3</w:t>
            </w:r>
            <w:r>
              <w:rPr>
                <w:rFonts w:hint="eastAsia" w:ascii="仿宋_GB2312" w:hAnsi="宋体" w:eastAsia="仿宋_GB2312" w:cs="宋体"/>
                <w:color w:val="000000"/>
                <w:kern w:val="0"/>
                <w:sz w:val="18"/>
                <w:szCs w:val="18"/>
                <w:highlight w:val="none"/>
              </w:rPr>
              <w:t>：</w:t>
            </w:r>
            <w:r>
              <w:rPr>
                <w:rFonts w:hint="eastAsia" w:ascii="仿宋_GB2312" w:hAnsi="宋体" w:eastAsia="仿宋_GB2312" w:cs="宋体"/>
                <w:color w:val="000000"/>
                <w:kern w:val="0"/>
                <w:sz w:val="18"/>
                <w:szCs w:val="18"/>
                <w:highlight w:val="none"/>
                <w:lang w:eastAsia="zh-CN"/>
              </w:rPr>
              <w:t>疫情防控经费使用规范性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25家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25家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5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lang w:eastAsia="zh-CN"/>
              </w:rPr>
            </w:pPr>
            <w:r>
              <w:rPr>
                <w:rFonts w:hint="eastAsia" w:ascii="仿宋_GB2312" w:hAnsi="宋体" w:eastAsia="仿宋_GB2312" w:cs="宋体"/>
                <w:color w:val="000000"/>
                <w:kern w:val="0"/>
                <w:sz w:val="18"/>
                <w:szCs w:val="18"/>
                <w:highlight w:val="none"/>
              </w:rPr>
              <w:t>指标1：</w:t>
            </w:r>
            <w:r>
              <w:rPr>
                <w:rFonts w:hint="eastAsia" w:ascii="仿宋_GB2312" w:hAnsi="宋体" w:eastAsia="仿宋_GB2312" w:cs="宋体"/>
                <w:color w:val="000000"/>
                <w:kern w:val="0"/>
                <w:sz w:val="18"/>
                <w:szCs w:val="18"/>
                <w:highlight w:val="none"/>
                <w:lang w:eastAsia="zh-CN"/>
              </w:rPr>
              <w:t>检查完成时间</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2023年12月</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2023年12月</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3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指标1：付中介检查费</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62.4万</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62.4万</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4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lang w:eastAsia="zh-CN"/>
              </w:rPr>
            </w:pPr>
            <w:r>
              <w:rPr>
                <w:rFonts w:hint="eastAsia" w:ascii="仿宋_GB2312" w:hAnsi="宋体" w:eastAsia="仿宋_GB2312" w:cs="宋体"/>
                <w:color w:val="000000"/>
                <w:kern w:val="0"/>
                <w:sz w:val="18"/>
                <w:szCs w:val="18"/>
                <w:highlight w:val="none"/>
              </w:rPr>
              <w:t>指标1：</w:t>
            </w:r>
            <w:r>
              <w:rPr>
                <w:rFonts w:hint="eastAsia" w:ascii="仿宋_GB2312" w:hAnsi="宋体" w:eastAsia="仿宋_GB2312" w:cs="宋体"/>
                <w:color w:val="000000"/>
                <w:kern w:val="0"/>
                <w:sz w:val="18"/>
                <w:szCs w:val="18"/>
                <w:highlight w:val="none"/>
                <w:lang w:eastAsia="zh-CN"/>
              </w:rPr>
              <w:t>高效使用财政资金</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highlight w:val="none"/>
                <w:lang w:val="en-US" w:eastAsia="zh-CN"/>
              </w:rPr>
            </w:pPr>
            <w:r>
              <w:rPr>
                <w:rFonts w:hint="eastAsia" w:ascii="仿宋_GB2312" w:hAnsi="宋体" w:eastAsia="仿宋_GB2312" w:cs="宋体"/>
                <w:color w:val="000000"/>
                <w:kern w:val="0"/>
                <w:sz w:val="18"/>
                <w:szCs w:val="18"/>
                <w:highlight w:val="none"/>
                <w:lang w:val="en-US" w:eastAsia="zh-CN"/>
              </w:rPr>
              <w:t>25家</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25家</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7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指标1：促进单位严格执行国家财经纪律、政策法规</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39家</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39家</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整改不到位</w:t>
            </w:r>
          </w:p>
        </w:tc>
      </w:tr>
      <w:tr>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指标1：</w:t>
            </w:r>
            <w:r>
              <w:rPr>
                <w:rFonts w:hint="eastAsia" w:ascii="仿宋_GB2312" w:hAnsi="宋体" w:eastAsia="仿宋_GB2312" w:cs="宋体"/>
                <w:color w:val="000000"/>
                <w:kern w:val="0"/>
                <w:sz w:val="18"/>
                <w:szCs w:val="18"/>
              </w:rPr>
              <w:t>被查单位满意度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39家</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39家</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外区隔离点审计经费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财政监督科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孙秀娟</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37.2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37.2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37.2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37.2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根据区集中隔离工作组要求，完成外区</w:t>
            </w:r>
            <w:r>
              <w:rPr>
                <w:rFonts w:hint="eastAsia" w:ascii="仿宋_GB2312" w:hAnsi="宋体" w:eastAsia="仿宋_GB2312" w:cs="宋体"/>
                <w:kern w:val="0"/>
                <w:szCs w:val="21"/>
                <w:highlight w:val="none"/>
                <w:lang w:val="en-US" w:eastAsia="zh-CN"/>
              </w:rPr>
              <w:t>56个集中隔离点运行经费审核工作。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已完成全部外区隔离点运行经费审核工作，并出具审核报告。</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lang w:eastAsia="zh-CN"/>
              </w:rPr>
            </w:pPr>
            <w:r>
              <w:rPr>
                <w:rFonts w:hint="eastAsia" w:ascii="仿宋_GB2312" w:hAnsi="宋体" w:eastAsia="仿宋_GB2312" w:cs="宋体"/>
                <w:color w:val="000000"/>
                <w:kern w:val="0"/>
                <w:sz w:val="18"/>
                <w:szCs w:val="18"/>
                <w:highlight w:val="none"/>
              </w:rPr>
              <w:t>指标</w:t>
            </w:r>
            <w:r>
              <w:rPr>
                <w:rFonts w:hint="eastAsia" w:ascii="仿宋_GB2312" w:hAnsi="宋体" w:eastAsia="仿宋_GB2312" w:cs="宋体"/>
                <w:color w:val="000000"/>
                <w:kern w:val="0"/>
                <w:sz w:val="18"/>
                <w:szCs w:val="18"/>
                <w:highlight w:val="none"/>
                <w:lang w:val="en-US" w:eastAsia="zh-CN"/>
              </w:rPr>
              <w:t>1</w:t>
            </w:r>
            <w:r>
              <w:rPr>
                <w:rFonts w:hint="eastAsia" w:ascii="仿宋_GB2312" w:hAnsi="宋体" w:eastAsia="仿宋_GB2312" w:cs="宋体"/>
                <w:color w:val="000000"/>
                <w:kern w:val="0"/>
                <w:sz w:val="18"/>
                <w:szCs w:val="18"/>
                <w:highlight w:val="none"/>
              </w:rPr>
              <w:t>：</w:t>
            </w:r>
            <w:r>
              <w:rPr>
                <w:rFonts w:hint="eastAsia" w:ascii="仿宋_GB2312" w:hAnsi="宋体" w:eastAsia="仿宋_GB2312" w:cs="宋体"/>
                <w:color w:val="000000"/>
                <w:kern w:val="0"/>
                <w:sz w:val="18"/>
                <w:szCs w:val="18"/>
                <w:highlight w:val="none"/>
                <w:lang w:eastAsia="zh-CN"/>
              </w:rPr>
              <w:t>集中隔离点运行经费审核工作</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56家</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56家</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5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lang w:eastAsia="zh-CN"/>
              </w:rPr>
            </w:pPr>
            <w:r>
              <w:rPr>
                <w:rFonts w:hint="eastAsia" w:ascii="仿宋_GB2312" w:hAnsi="宋体" w:eastAsia="仿宋_GB2312" w:cs="宋体"/>
                <w:color w:val="000000"/>
                <w:kern w:val="0"/>
                <w:sz w:val="18"/>
                <w:szCs w:val="18"/>
                <w:highlight w:val="none"/>
              </w:rPr>
              <w:t>指标1：</w:t>
            </w:r>
            <w:r>
              <w:rPr>
                <w:rFonts w:hint="eastAsia" w:ascii="仿宋_GB2312" w:hAnsi="宋体" w:eastAsia="仿宋_GB2312" w:cs="宋体"/>
                <w:color w:val="000000"/>
                <w:kern w:val="0"/>
                <w:sz w:val="18"/>
                <w:szCs w:val="18"/>
                <w:highlight w:val="none"/>
                <w:lang w:eastAsia="zh-CN"/>
              </w:rPr>
              <w:t>通过审核规范财政资金的使用</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56家</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56家</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p>
        </w:tc>
      </w:tr>
      <w:tr>
        <w:tblPrEx>
          <w:tblCellMar>
            <w:top w:w="0" w:type="dxa"/>
            <w:left w:w="108" w:type="dxa"/>
            <w:bottom w:w="0" w:type="dxa"/>
            <w:right w:w="108" w:type="dxa"/>
          </w:tblCellMar>
        </w:tblPrEx>
        <w:trPr>
          <w:trHeight w:val="5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lang w:eastAsia="zh-CN"/>
              </w:rPr>
            </w:pPr>
            <w:r>
              <w:rPr>
                <w:rFonts w:hint="eastAsia" w:ascii="仿宋_GB2312" w:hAnsi="宋体" w:eastAsia="仿宋_GB2312" w:cs="宋体"/>
                <w:color w:val="000000"/>
                <w:kern w:val="0"/>
                <w:sz w:val="18"/>
                <w:szCs w:val="18"/>
                <w:highlight w:val="none"/>
              </w:rPr>
              <w:t>指标1：</w:t>
            </w:r>
            <w:r>
              <w:rPr>
                <w:rFonts w:hint="eastAsia" w:ascii="仿宋_GB2312" w:hAnsi="宋体" w:eastAsia="仿宋_GB2312" w:cs="宋体"/>
                <w:color w:val="000000"/>
                <w:kern w:val="0"/>
                <w:sz w:val="18"/>
                <w:szCs w:val="18"/>
                <w:highlight w:val="none"/>
                <w:lang w:eastAsia="zh-CN"/>
              </w:rPr>
              <w:t>检查完成时间</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2023年12月</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2023年12月</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指标1：付中介检查费</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37.2万</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37.2万</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5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lang w:eastAsia="zh-CN"/>
              </w:rPr>
            </w:pPr>
            <w:r>
              <w:rPr>
                <w:rFonts w:hint="eastAsia" w:ascii="仿宋_GB2312" w:hAnsi="宋体" w:eastAsia="仿宋_GB2312" w:cs="宋体"/>
                <w:color w:val="000000"/>
                <w:kern w:val="0"/>
                <w:sz w:val="18"/>
                <w:szCs w:val="18"/>
                <w:highlight w:val="none"/>
              </w:rPr>
              <w:t>指标1：</w:t>
            </w:r>
            <w:r>
              <w:rPr>
                <w:rFonts w:hint="eastAsia" w:ascii="仿宋_GB2312" w:hAnsi="宋体" w:eastAsia="仿宋_GB2312" w:cs="宋体"/>
                <w:color w:val="000000"/>
                <w:kern w:val="0"/>
                <w:sz w:val="18"/>
                <w:szCs w:val="18"/>
                <w:highlight w:val="none"/>
                <w:lang w:eastAsia="zh-CN"/>
              </w:rPr>
              <w:t>促进高效使用财政资金</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highlight w:val="none"/>
                <w:lang w:val="en-US" w:eastAsia="zh-CN"/>
              </w:rPr>
            </w:pPr>
            <w:r>
              <w:rPr>
                <w:rFonts w:hint="eastAsia" w:ascii="仿宋_GB2312" w:hAnsi="宋体" w:eastAsia="仿宋_GB2312" w:cs="宋体"/>
                <w:color w:val="000000"/>
                <w:kern w:val="0"/>
                <w:sz w:val="18"/>
                <w:szCs w:val="18"/>
                <w:highlight w:val="none"/>
                <w:lang w:val="en-US" w:eastAsia="zh-CN"/>
              </w:rPr>
              <w:t>56家</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56家</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5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lang w:eastAsia="zh-CN"/>
              </w:rPr>
            </w:pPr>
            <w:r>
              <w:rPr>
                <w:rFonts w:hint="eastAsia" w:ascii="仿宋_GB2312" w:hAnsi="宋体" w:eastAsia="仿宋_GB2312" w:cs="宋体"/>
                <w:color w:val="000000"/>
                <w:kern w:val="0"/>
                <w:sz w:val="18"/>
                <w:szCs w:val="18"/>
                <w:highlight w:val="none"/>
              </w:rPr>
              <w:t>指标1：</w:t>
            </w:r>
            <w:r>
              <w:rPr>
                <w:rFonts w:hint="eastAsia" w:ascii="仿宋_GB2312" w:hAnsi="宋体" w:eastAsia="仿宋_GB2312" w:cs="宋体"/>
                <w:color w:val="000000"/>
                <w:kern w:val="0"/>
                <w:sz w:val="18"/>
                <w:szCs w:val="18"/>
                <w:highlight w:val="none"/>
                <w:lang w:eastAsia="zh-CN"/>
              </w:rPr>
              <w:t>加速外区隔离点运行经费的结算进度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56家</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56家</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项目过多</w:t>
            </w:r>
          </w:p>
        </w:tc>
      </w:tr>
      <w:tr>
        <w:tblPrEx>
          <w:tblCellMar>
            <w:top w:w="0" w:type="dxa"/>
            <w:left w:w="108" w:type="dxa"/>
            <w:bottom w:w="0" w:type="dxa"/>
            <w:right w:w="108" w:type="dxa"/>
          </w:tblCellMar>
        </w:tblPrEx>
        <w:trPr>
          <w:trHeight w:val="6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指标1：</w:t>
            </w:r>
            <w:r>
              <w:rPr>
                <w:rFonts w:hint="eastAsia" w:ascii="仿宋_GB2312" w:hAnsi="宋体" w:eastAsia="仿宋_GB2312" w:cs="宋体"/>
                <w:color w:val="000000"/>
                <w:kern w:val="0"/>
                <w:sz w:val="18"/>
                <w:szCs w:val="18"/>
              </w:rPr>
              <w:t>被查单位满意度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56家</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56家</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widowControl/>
        <w:spacing w:line="520" w:lineRule="exact"/>
        <w:jc w:val="left"/>
        <w:rPr>
          <w:rFonts w:hint="eastAsia" w:ascii="仿宋_GB2312" w:hAnsi="宋体" w:eastAsia="仿宋_GB2312" w:cs="宋体"/>
          <w:color w:val="000000"/>
          <w:kern w:val="0"/>
          <w:sz w:val="32"/>
          <w:szCs w:val="32"/>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丰台区PPP清理核查工作相关经费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经建科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经建科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沙晶</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落实党中央关于</w:t>
            </w:r>
            <w:r>
              <w:rPr>
                <w:rFonts w:hint="eastAsia" w:ascii="仿宋_GB2312" w:hAnsi="宋体" w:eastAsia="仿宋_GB2312" w:cs="宋体"/>
                <w:kern w:val="0"/>
                <w:szCs w:val="21"/>
                <w:highlight w:val="none"/>
                <w:lang w:val="en-US" w:eastAsia="zh-CN"/>
              </w:rPr>
              <w:t>ppp相关工作部署，</w:t>
            </w:r>
            <w:r>
              <w:rPr>
                <w:rFonts w:hint="eastAsia" w:ascii="仿宋_GB2312" w:hAnsi="宋体" w:eastAsia="仿宋_GB2312" w:cs="宋体"/>
                <w:kern w:val="0"/>
                <w:szCs w:val="21"/>
                <w:highlight w:val="none"/>
                <w:lang w:eastAsia="zh-CN"/>
              </w:rPr>
              <w:t>完成</w:t>
            </w:r>
            <w:r>
              <w:rPr>
                <w:rFonts w:hint="eastAsia" w:ascii="仿宋_GB2312" w:hAnsi="宋体" w:eastAsia="仿宋_GB2312" w:cs="宋体"/>
                <w:kern w:val="0"/>
                <w:szCs w:val="21"/>
                <w:highlight w:val="none"/>
                <w:lang w:val="en-US" w:eastAsia="zh-CN"/>
              </w:rPr>
              <w:t>ppp核查工作，为我区ppp存量项目处置形成数据支撑。</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2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形成工作成果报告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按时向北京市报送核查报告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不超市财政要求时限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不超市财政要求时限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eastAsia="zh-CN"/>
              </w:rPr>
              <w:t>完成存量项目处置方案，为政府和社会资本合作新机制奠定实施基础</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rFonts w:hint="eastAsia" w:eastAsia="宋体"/>
          <w:highlight w:val="none"/>
          <w:lang w:val="en-US" w:eastAsia="zh-CN"/>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大井村超转人员转居模式分析咨询费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经建科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经建科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沙晶</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参照“王四营”模式测算大井村超转人员财务费用，为大井村超转人员探索“以产养人”创新模式提供财政支撑。</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形成财务测算报告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大井村转居成本控制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不高于市级核定资金</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不高于市级核定资金</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指导大井村完成转居方案，形成超转路径探索丰台模式。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420"/>
        <w:gridCol w:w="1063"/>
        <w:gridCol w:w="1062"/>
        <w:gridCol w:w="847"/>
        <w:gridCol w:w="1127"/>
        <w:gridCol w:w="1176"/>
        <w:gridCol w:w="1100"/>
        <w:gridCol w:w="575"/>
        <w:gridCol w:w="575"/>
        <w:gridCol w:w="383"/>
        <w:gridCol w:w="710"/>
      </w:tblGrid>
      <w:tr>
        <w:tblPrEx>
          <w:tblCellMar>
            <w:top w:w="0" w:type="dxa"/>
            <w:left w:w="108" w:type="dxa"/>
            <w:bottom w:w="0" w:type="dxa"/>
            <w:right w:w="108" w:type="dxa"/>
          </w:tblCellMar>
        </w:tblPrEx>
        <w:trPr>
          <w:trHeight w:val="306" w:hRule="exact"/>
          <w:jc w:val="center"/>
        </w:trPr>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55" w:type="dxa"/>
            <w:gridSpan w:val="9"/>
            <w:tcBorders>
              <w:top w:val="single" w:color="auto" w:sz="4" w:space="0"/>
              <w:left w:val="nil"/>
              <w:bottom w:val="single" w:color="auto" w:sz="4" w:space="0"/>
              <w:right w:val="single" w:color="auto" w:sz="4" w:space="0"/>
            </w:tcBorders>
            <w:noWrap w:val="0"/>
            <w:vAlign w:val="center"/>
          </w:tcPr>
          <w:p>
            <w:pPr>
              <w:widowControl/>
              <w:tabs>
                <w:tab w:val="left" w:pos="1689"/>
              </w:tabs>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ab/>
            </w:r>
            <w:r>
              <w:rPr>
                <w:rFonts w:hint="eastAsia" w:ascii="仿宋_GB2312" w:hAnsi="宋体" w:eastAsia="仿宋_GB2312" w:cs="宋体"/>
                <w:kern w:val="0"/>
                <w:szCs w:val="21"/>
                <w:highlight w:val="none"/>
                <w:lang w:eastAsia="zh-CN"/>
              </w:rPr>
              <w:t>2023年投资评审费</w:t>
            </w:r>
          </w:p>
        </w:tc>
      </w:tr>
      <w:tr>
        <w:tblPrEx>
          <w:tblCellMar>
            <w:top w:w="0" w:type="dxa"/>
            <w:left w:w="108" w:type="dxa"/>
            <w:bottom w:w="0" w:type="dxa"/>
            <w:right w:w="108" w:type="dxa"/>
          </w:tblCellMar>
        </w:tblPrEx>
        <w:trPr>
          <w:trHeight w:val="306" w:hRule="exact"/>
          <w:jc w:val="center"/>
        </w:trPr>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预算评审科</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4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预算评审科</w:t>
            </w:r>
          </w:p>
        </w:tc>
      </w:tr>
      <w:tr>
        <w:tblPrEx>
          <w:tblCellMar>
            <w:top w:w="0" w:type="dxa"/>
            <w:left w:w="108" w:type="dxa"/>
            <w:bottom w:w="0" w:type="dxa"/>
            <w:right w:w="108" w:type="dxa"/>
          </w:tblCellMar>
        </w:tblPrEx>
        <w:trPr>
          <w:trHeight w:val="258" w:hRule="exact"/>
          <w:jc w:val="center"/>
        </w:trPr>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王晓帅</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4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48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9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4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200</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317.184</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317.184</w:t>
            </w: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9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4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200</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317.184</w:t>
            </w: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317.184</w:t>
            </w: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4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4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42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27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4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887" w:hRule="exact"/>
          <w:jc w:val="center"/>
        </w:trPr>
        <w:tc>
          <w:tcPr>
            <w:tcW w:w="42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27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针</w:t>
            </w:r>
            <w:r>
              <w:rPr>
                <w:rFonts w:hint="eastAsia" w:ascii="仿宋_GB2312" w:hAnsi="宋体" w:eastAsia="仿宋_GB2312" w:cs="宋体"/>
                <w:kern w:val="0"/>
                <w:szCs w:val="21"/>
                <w:highlight w:val="none"/>
              </w:rPr>
              <w:t>对2023年所有预算单位及支出科室委托项目进行评审并出具评审报告</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lang w:eastAsia="zh-CN"/>
              </w:rPr>
              <w:t>并</w:t>
            </w:r>
            <w:r>
              <w:rPr>
                <w:rFonts w:hint="eastAsia" w:ascii="仿宋_GB2312" w:hAnsi="宋体" w:eastAsia="仿宋_GB2312" w:cs="宋体"/>
                <w:kern w:val="0"/>
                <w:szCs w:val="21"/>
                <w:highlight w:val="none"/>
              </w:rPr>
              <w:t>严格按照合同规定的支付时间进行款项支付</w:t>
            </w:r>
            <w:r>
              <w:rPr>
                <w:rFonts w:hint="eastAsia" w:ascii="仿宋_GB2312" w:hAnsi="宋体" w:eastAsia="仿宋_GB2312" w:cs="宋体"/>
                <w:kern w:val="0"/>
                <w:szCs w:val="21"/>
                <w:highlight w:val="none"/>
                <w:lang w:eastAsia="zh-CN"/>
              </w:rPr>
              <w:t>评审费</w:t>
            </w:r>
            <w:r>
              <w:rPr>
                <w:rFonts w:hint="eastAsia" w:ascii="仿宋_GB2312" w:hAnsi="宋体" w:eastAsia="仿宋_GB2312" w:cs="宋体"/>
                <w:kern w:val="0"/>
                <w:szCs w:val="21"/>
                <w:highlight w:val="none"/>
              </w:rPr>
              <w:t>。通过项目的实施，</w:t>
            </w:r>
            <w:r>
              <w:rPr>
                <w:rFonts w:hint="eastAsia" w:ascii="仿宋_GB2312" w:hAnsi="宋体" w:eastAsia="仿宋_GB2312" w:cs="宋体"/>
                <w:kern w:val="0"/>
                <w:szCs w:val="21"/>
                <w:highlight w:val="none"/>
                <w:lang w:eastAsia="zh-CN"/>
              </w:rPr>
              <w:t>进一步</w:t>
            </w:r>
            <w:r>
              <w:rPr>
                <w:rFonts w:hint="eastAsia" w:ascii="仿宋_GB2312" w:hAnsi="宋体" w:eastAsia="仿宋_GB2312" w:cs="宋体"/>
                <w:kern w:val="0"/>
                <w:szCs w:val="21"/>
                <w:highlight w:val="none"/>
              </w:rPr>
              <w:t>提高财政资金的使用效益和财政风险防控水平，使我区财政预算支出管理更加精细化、规范化、科学化。</w:t>
            </w:r>
          </w:p>
        </w:tc>
        <w:tc>
          <w:tcPr>
            <w:tcW w:w="334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基本完成。</w:t>
            </w:r>
          </w:p>
        </w:tc>
      </w:tr>
      <w:tr>
        <w:tblPrEx>
          <w:tblCellMar>
            <w:top w:w="0" w:type="dxa"/>
            <w:left w:w="108" w:type="dxa"/>
            <w:bottom w:w="0" w:type="dxa"/>
            <w:right w:w="108" w:type="dxa"/>
          </w:tblCellMar>
        </w:tblPrEx>
        <w:trPr>
          <w:trHeight w:val="830" w:hRule="exact"/>
          <w:jc w:val="center"/>
        </w:trPr>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10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9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7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1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0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偏差原因分析及改进措施</w:t>
            </w:r>
          </w:p>
        </w:tc>
      </w:tr>
      <w:tr>
        <w:tblPrEx>
          <w:tblCellMar>
            <w:top w:w="0" w:type="dxa"/>
            <w:left w:w="108" w:type="dxa"/>
            <w:bottom w:w="0" w:type="dxa"/>
            <w:right w:w="108" w:type="dxa"/>
          </w:tblCellMar>
        </w:tblPrEx>
        <w:trPr>
          <w:trHeight w:val="578" w:hRule="exac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产出指标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974" w:type="dxa"/>
            <w:gridSpan w:val="2"/>
            <w:tcBorders>
              <w:top w:val="single" w:color="auto" w:sz="4" w:space="0"/>
              <w:left w:val="nil"/>
              <w:bottom w:val="single" w:color="auto" w:sz="4" w:space="0"/>
              <w:right w:val="single" w:color="auto" w:sz="4" w:space="0"/>
            </w:tcBorders>
            <w:noWrap w:val="0"/>
            <w:vAlign w:val="center"/>
          </w:tcPr>
          <w:p>
            <w:pPr>
              <w:widowControl/>
              <w:tabs>
                <w:tab w:val="center" w:pos="960"/>
              </w:tabs>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rPr>
              <w:t>指标：</w:t>
            </w:r>
            <w:r>
              <w:rPr>
                <w:rFonts w:hint="eastAsia" w:ascii="仿宋_GB2312" w:hAnsi="宋体" w:eastAsia="仿宋_GB2312" w:cs="宋体"/>
                <w:color w:val="000000"/>
                <w:kern w:val="0"/>
                <w:szCs w:val="21"/>
                <w:highlight w:val="none"/>
                <w:lang w:eastAsia="zh-CN"/>
              </w:rPr>
              <w:t>评审项目数</w:t>
            </w:r>
          </w:p>
        </w:tc>
        <w:tc>
          <w:tcPr>
            <w:tcW w:w="117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160</w:t>
            </w:r>
          </w:p>
        </w:tc>
        <w:tc>
          <w:tcPr>
            <w:tcW w:w="11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0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1" w:hRule="exac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9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指标：评审审减率</w:t>
            </w:r>
          </w:p>
        </w:tc>
        <w:tc>
          <w:tcPr>
            <w:tcW w:w="117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16.32%</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40</w:t>
            </w:r>
          </w:p>
        </w:tc>
        <w:tc>
          <w:tcPr>
            <w:tcW w:w="10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3" w:hRule="exac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成本指标</w:t>
            </w:r>
          </w:p>
        </w:tc>
        <w:tc>
          <w:tcPr>
            <w:tcW w:w="19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指标：评审总成本</w:t>
            </w:r>
            <w:r>
              <w:rPr>
                <w:rFonts w:hint="eastAsia" w:ascii="仿宋_GB2312" w:hAnsi="宋体" w:eastAsia="仿宋_GB2312" w:cs="宋体"/>
                <w:color w:val="000000"/>
                <w:kern w:val="0"/>
                <w:szCs w:val="21"/>
                <w:highlight w:val="none"/>
                <w:lang w:eastAsia="zh-CN"/>
              </w:rPr>
              <w:t>（万元）</w:t>
            </w:r>
          </w:p>
        </w:tc>
        <w:tc>
          <w:tcPr>
            <w:tcW w:w="117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600.00</w:t>
            </w:r>
          </w:p>
        </w:tc>
        <w:tc>
          <w:tcPr>
            <w:tcW w:w="11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317.184</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0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9" w:hRule="exac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效益指标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9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rPr>
              <w:t>指标：节约财政资金</w:t>
            </w:r>
            <w:r>
              <w:rPr>
                <w:rFonts w:hint="eastAsia" w:ascii="仿宋_GB2312" w:hAnsi="宋体" w:eastAsia="仿宋_GB2312" w:cs="宋体"/>
                <w:color w:val="000000"/>
                <w:kern w:val="0"/>
                <w:szCs w:val="21"/>
                <w:highlight w:val="none"/>
                <w:lang w:eastAsia="zh-CN"/>
              </w:rPr>
              <w:t>（亿元）</w:t>
            </w:r>
          </w:p>
        </w:tc>
        <w:tc>
          <w:tcPr>
            <w:tcW w:w="117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3.00</w:t>
            </w:r>
          </w:p>
        </w:tc>
        <w:tc>
          <w:tcPr>
            <w:tcW w:w="11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4.97</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0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9" w:hRule="exac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指标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97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指标：建设单位满意度</w:t>
            </w:r>
          </w:p>
        </w:tc>
        <w:tc>
          <w:tcPr>
            <w:tcW w:w="117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95%</w:t>
            </w:r>
          </w:p>
        </w:tc>
        <w:tc>
          <w:tcPr>
            <w:tcW w:w="11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0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7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0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pStyle w:val="2"/>
        <w:rPr>
          <w:rFonts w:hint="eastAsia"/>
        </w:rPr>
      </w:pPr>
    </w:p>
    <w:p>
      <w:pPr>
        <w:rPr>
          <w:highlight w:val="none"/>
        </w:rPr>
      </w:pPr>
    </w:p>
    <w:p>
      <w:pPr>
        <w:rPr>
          <w:rFonts w:hint="eastAsia" w:ascii="仿宋_GB2312" w:eastAsia="仿宋_GB2312"/>
          <w:vanish/>
          <w:sz w:val="32"/>
          <w:szCs w:val="32"/>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2023年基层党组织党建活动经费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丰台区财政局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局机关党委</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姚鑫</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3.9992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3.9992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4.02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3.9992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3.9992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根据《关于进一步加强基层党组织工作和活动经费管理的办法》的通知（丰组字【2015】14号】</w:t>
            </w:r>
            <w:r>
              <w:rPr>
                <w:rFonts w:hint="eastAsia" w:ascii="仿宋_GB2312" w:hAnsi="宋体" w:eastAsia="仿宋_GB2312" w:cs="宋体"/>
                <w:kern w:val="0"/>
                <w:szCs w:val="21"/>
                <w:highlight w:val="none"/>
                <w:lang w:eastAsia="zh-CN"/>
              </w:rPr>
              <w:t>，按照工作需要，用于党建活动。</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根据工作需要，</w:t>
            </w:r>
            <w:r>
              <w:rPr>
                <w:rFonts w:hint="eastAsia" w:ascii="仿宋_GB2312" w:hAnsi="宋体" w:eastAsia="仿宋_GB2312" w:cs="宋体"/>
                <w:kern w:val="0"/>
                <w:szCs w:val="21"/>
                <w:highlight w:val="none"/>
              </w:rPr>
              <w:t>购买</w:t>
            </w:r>
            <w:r>
              <w:rPr>
                <w:rFonts w:hint="eastAsia" w:ascii="仿宋_GB2312" w:hAnsi="宋体" w:eastAsia="仿宋_GB2312" w:cs="宋体"/>
                <w:kern w:val="0"/>
                <w:szCs w:val="21"/>
                <w:highlight w:val="none"/>
                <w:lang w:eastAsia="zh-CN"/>
              </w:rPr>
              <w:t>党建</w:t>
            </w:r>
            <w:r>
              <w:rPr>
                <w:rFonts w:hint="eastAsia" w:ascii="仿宋_GB2312" w:hAnsi="宋体" w:eastAsia="仿宋_GB2312" w:cs="宋体"/>
                <w:kern w:val="0"/>
                <w:szCs w:val="21"/>
                <w:highlight w:val="none"/>
              </w:rPr>
              <w:t>活动</w:t>
            </w:r>
            <w:r>
              <w:rPr>
                <w:rFonts w:hint="eastAsia" w:ascii="仿宋_GB2312" w:hAnsi="宋体" w:eastAsia="仿宋_GB2312" w:cs="宋体"/>
                <w:kern w:val="0"/>
                <w:szCs w:val="21"/>
                <w:highlight w:val="none"/>
                <w:lang w:eastAsia="zh-CN"/>
              </w:rPr>
              <w:t>有关</w:t>
            </w:r>
            <w:r>
              <w:rPr>
                <w:rFonts w:hint="eastAsia" w:ascii="仿宋_GB2312" w:hAnsi="宋体" w:eastAsia="仿宋_GB2312" w:cs="宋体"/>
                <w:kern w:val="0"/>
                <w:szCs w:val="21"/>
                <w:highlight w:val="none"/>
              </w:rPr>
              <w:t>奖杯、证书、奖品（书籍）</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rPr>
              <w:t>订阅开展党员教育的党报党刊；购买开展党员教育的禁毒电影《无毒岛》电影票</w:t>
            </w:r>
            <w:r>
              <w:rPr>
                <w:rFonts w:hint="eastAsia" w:ascii="仿宋_GB2312" w:hAnsi="宋体" w:eastAsia="仿宋_GB2312" w:cs="宋体"/>
                <w:kern w:val="0"/>
                <w:szCs w:val="21"/>
                <w:highlight w:val="none"/>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2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购买第二届“立足岗位搞研究，务实担当有作为”主题调研活动奖杯、证书、奖品（书籍）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订阅开展党员教育的党报党刊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购买开展党员教育的禁毒电影《无毒岛》电影票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开展党员教育学习</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按要求完成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按要求完成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提升党员学习自觉性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有效提升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有效提升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扩大党员知识面</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拓展知识</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拓展知识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服务满意度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772"/>
        <w:gridCol w:w="1092"/>
        <w:gridCol w:w="943"/>
        <w:gridCol w:w="941"/>
        <w:gridCol w:w="1140"/>
        <w:gridCol w:w="1152"/>
        <w:gridCol w:w="153"/>
        <w:gridCol w:w="459"/>
        <w:gridCol w:w="245"/>
        <w:gridCol w:w="343"/>
        <w:gridCol w:w="503"/>
        <w:gridCol w:w="710"/>
      </w:tblGrid>
      <w:tr>
        <w:tblPrEx>
          <w:tblCellMar>
            <w:top w:w="0" w:type="dxa"/>
            <w:left w:w="108" w:type="dxa"/>
            <w:bottom w:w="0" w:type="dxa"/>
            <w:right w:w="108" w:type="dxa"/>
          </w:tblCellMar>
        </w:tblPrEx>
        <w:trPr>
          <w:trHeight w:val="306" w:hRule="exact"/>
          <w:jc w:val="center"/>
        </w:trPr>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6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2023年产权登记服务费</w:t>
            </w:r>
          </w:p>
        </w:tc>
      </w:tr>
      <w:tr>
        <w:tblPrEx>
          <w:tblCellMar>
            <w:top w:w="0" w:type="dxa"/>
            <w:left w:w="108" w:type="dxa"/>
            <w:bottom w:w="0" w:type="dxa"/>
            <w:right w:w="108" w:type="dxa"/>
          </w:tblCellMar>
        </w:tblPrEx>
        <w:trPr>
          <w:trHeight w:val="306" w:hRule="exact"/>
          <w:jc w:val="center"/>
        </w:trPr>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1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丰台区财政局</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资产科</w:t>
            </w:r>
          </w:p>
        </w:tc>
      </w:tr>
      <w:tr>
        <w:tblPrEx>
          <w:tblCellMar>
            <w:top w:w="0" w:type="dxa"/>
            <w:left w:w="108" w:type="dxa"/>
            <w:bottom w:w="0" w:type="dxa"/>
            <w:right w:w="108" w:type="dxa"/>
          </w:tblCellMar>
        </w:tblPrEx>
        <w:trPr>
          <w:trHeight w:val="306" w:hRule="exact"/>
          <w:jc w:val="center"/>
        </w:trPr>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11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徐娜</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3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203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3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3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40" w:type="dxa"/>
            <w:tcBorders>
              <w:top w:val="nil"/>
              <w:left w:val="nil"/>
              <w:bottom w:val="single" w:color="auto" w:sz="4" w:space="0"/>
              <w:right w:val="single" w:color="auto" w:sz="4" w:space="0"/>
            </w:tcBorders>
            <w:noWrap w:val="0"/>
            <w:vAlign w:val="center"/>
          </w:tcPr>
          <w:p>
            <w:pPr>
              <w:widowControl/>
              <w:tabs>
                <w:tab w:val="left" w:pos="582"/>
              </w:tabs>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3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3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3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3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3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3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9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88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56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15"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88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按时完成年度事业单位及其所办企业产权登记相关工作事宜，完成电子材料、书面材料审核，完成登记材料汇总等工作。</w:t>
            </w:r>
          </w:p>
        </w:tc>
        <w:tc>
          <w:tcPr>
            <w:tcW w:w="356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已按要求完成材料审核、材料汇总等工作，实现预期目标。</w:t>
            </w:r>
          </w:p>
        </w:tc>
      </w:tr>
      <w:tr>
        <w:tblPrEx>
          <w:tblCellMar>
            <w:top w:w="0" w:type="dxa"/>
            <w:left w:w="108" w:type="dxa"/>
            <w:bottom w:w="0" w:type="dxa"/>
            <w:right w:w="108" w:type="dxa"/>
          </w:tblCellMar>
        </w:tblPrEx>
        <w:trPr>
          <w:trHeight w:val="918"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0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8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8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8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eastAsia="zh-CN"/>
              </w:rPr>
              <w:t>产权登记数量</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区属事业单位及所办企业</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328户</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8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按规定完成材料审核形成报告</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符合审核标准</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符合审核标准</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8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工作完成时限</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12月底前</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12月底前</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8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项目预算控制数</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20万元</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20万元</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保障国有资产安全完整</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得到保障</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得到保障</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提高财政管理水平和公共资源的配置效率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得到提高</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得到提高</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8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强化产权意识，明晰产权关系</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广泛关注</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广泛关注</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8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服务对象满意度</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满意</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满意</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62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2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信息系统运维类项目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综合科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万福群</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95.34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95.34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95.34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95.34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在202</w:t>
            </w:r>
            <w:r>
              <w:rPr>
                <w:rFonts w:hint="eastAsia" w:ascii="仿宋_GB2312" w:hAnsi="宋体" w:eastAsia="仿宋_GB2312" w:cs="宋体"/>
                <w:kern w:val="0"/>
                <w:szCs w:val="21"/>
                <w:highlight w:val="none"/>
                <w:lang w:val="en-US" w:eastAsia="zh-CN"/>
              </w:rPr>
              <w:t>3</w:t>
            </w:r>
            <w:r>
              <w:rPr>
                <w:rFonts w:hint="eastAsia" w:ascii="仿宋_GB2312" w:hAnsi="宋体" w:eastAsia="仿宋_GB2312" w:cs="宋体"/>
                <w:kern w:val="0"/>
                <w:szCs w:val="21"/>
                <w:highlight w:val="none"/>
              </w:rPr>
              <w:t>年度为丰台财政局的硬件设备、信息安全提供运行维护服务，保障丰台财政局信息化业务的稳定运行。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在</w:t>
            </w:r>
            <w:r>
              <w:rPr>
                <w:rFonts w:hint="eastAsia" w:ascii="仿宋_GB2312" w:hAnsi="宋体" w:eastAsia="仿宋_GB2312" w:cs="宋体"/>
                <w:kern w:val="0"/>
                <w:szCs w:val="21"/>
                <w:lang w:val="en-US" w:eastAsia="zh-CN"/>
              </w:rPr>
              <w:t>2023</w:t>
            </w:r>
            <w:r>
              <w:rPr>
                <w:rFonts w:hint="eastAsia" w:ascii="仿宋_GB2312" w:hAnsi="宋体" w:eastAsia="仿宋_GB2312" w:cs="宋体"/>
                <w:kern w:val="0"/>
                <w:szCs w:val="21"/>
                <w:lang w:eastAsia="zh-CN"/>
              </w:rPr>
              <w:t>年度丰台财政局的硬件设备、信息安全等运维服务有效开展，支撑财政业务系统稳定运行。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产出指标</w:t>
            </w:r>
          </w:p>
        </w:tc>
        <w:tc>
          <w:tcPr>
            <w:tcW w:w="1105"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1、硬件设备运维数量447台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447</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447</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2、安全运维服务数量8项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1、硬件设备运维：所有硬件设备在运维服务期间运行稳定、故障处理及时。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指标2、安全运维服务：所有安全运维服务在运维期间服务及时、服务报告完整。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9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硬件设备运维：在合同运维期内按合同要求完成硬件设备运维工作。在合同运维期结束前签订下一年度运维合同。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2、安全运维服务：在合同运维期内按合同要求完成安全运维服务工作。在合同运维期结束前签订下一年度运维合同。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eastAsia="zh-CN"/>
              </w:rPr>
              <w:t>：</w:t>
            </w:r>
            <w:r>
              <w:rPr>
                <w:rFonts w:hint="eastAsia" w:ascii="仿宋_GB2312" w:hAnsi="宋体" w:eastAsia="仿宋_GB2312" w:cs="宋体"/>
                <w:color w:val="000000"/>
                <w:kern w:val="0"/>
                <w:szCs w:val="21"/>
                <w:lang w:val="en-US" w:eastAsia="zh-CN"/>
              </w:rPr>
              <w:t>总成本控制在全年预算以内。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95.34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95.34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kern w:val="0"/>
                <w:szCs w:val="21"/>
                <w:lang w:eastAsia="zh-CN"/>
              </w:rPr>
              <w:t>硬件设备、信息安全等运维服务工作有效开展</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kern w:val="0"/>
                <w:szCs w:val="21"/>
                <w:lang w:eastAsia="zh-CN"/>
              </w:rPr>
              <w:t>支撑财政业务系统稳定运行。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1、硬件设备运维：服务对象在运维期间使用硬件设备稳定，服务对象满意度≥90%。</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8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2、安全运维服务：安全运维服务在运维期间降低服务对象的安全风险，处理安全事件及时有效，服务对象满意度≥90%。</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rPr>
          <w:rFonts w:hint="eastAsia" w:ascii="仿宋_GB2312" w:eastAsia="仿宋_GB2312"/>
          <w:vanish/>
          <w:sz w:val="32"/>
          <w:szCs w:val="32"/>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2024年信息安全服务项目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综合科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万福群</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81.42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81.42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81.42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81.42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年度为丰台财政局的信息安全提供运行维护服务，保障丰台财政局信息化业务的稳定运行。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年度为丰台财政局的信息安全提供运行维护服务，</w:t>
            </w:r>
            <w:r>
              <w:rPr>
                <w:rFonts w:hint="eastAsia" w:ascii="仿宋_GB2312" w:hAnsi="宋体" w:eastAsia="仿宋_GB2312" w:cs="宋体"/>
                <w:kern w:val="0"/>
                <w:szCs w:val="21"/>
                <w:highlight w:val="none"/>
                <w:lang w:eastAsia="zh-CN"/>
              </w:rPr>
              <w:t>有效支撑</w:t>
            </w:r>
            <w:r>
              <w:rPr>
                <w:rFonts w:hint="eastAsia" w:ascii="仿宋_GB2312" w:hAnsi="宋体" w:eastAsia="仿宋_GB2312" w:cs="宋体"/>
                <w:kern w:val="0"/>
                <w:szCs w:val="21"/>
                <w:highlight w:val="none"/>
              </w:rPr>
              <w:t>丰台财政局信息化业务的稳定运行。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cantSplit/>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安全运维服务数量8项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5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所有安全运维服务在运维期间服务及时、服务报告完整。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8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在合同运维期内按合同要求完成安全运维服务工作。在合同运维期结束前签订下一年度运维合同。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总成本控制在全年预算以内。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81.42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81.42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3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kern w:val="0"/>
                <w:szCs w:val="21"/>
                <w:lang w:eastAsia="zh-CN"/>
              </w:rPr>
              <w:t>信息安全运维服务工作有效开展</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kern w:val="0"/>
                <w:szCs w:val="21"/>
                <w:lang w:eastAsia="zh-CN"/>
              </w:rPr>
              <w:t>保障丰台财政局信息化业务系统的稳定运行。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8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安全运维服务在运维期间降低服务对象的安全风险，处理安全事件及时有效，服务对象满意度≥90%</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520" w:lineRule="exact"/>
        <w:ind w:firstLine="640" w:firstLineChars="200"/>
        <w:rPr>
          <w:rFonts w:hint="eastAsia" w:ascii="仿宋_GB2312" w:hAnsi="宋体" w:eastAsia="仿宋_GB2312" w:cs="宋体"/>
          <w:color w:val="000000"/>
          <w:kern w:val="0"/>
          <w:sz w:val="32"/>
          <w:szCs w:val="32"/>
          <w:highlight w:val="none"/>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2024年信息化基础设施运行维护项目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综合科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万福群</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年度为丰台财政局的硬件设备提供运行维护服务，保障丰台财政局信息化业务的稳定运行。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年度为丰台财政局的硬件设备提供运行维护服务，</w:t>
            </w:r>
            <w:r>
              <w:rPr>
                <w:rFonts w:hint="eastAsia" w:ascii="仿宋_GB2312" w:hAnsi="宋体" w:eastAsia="仿宋_GB2312" w:cs="宋体"/>
                <w:kern w:val="0"/>
                <w:szCs w:val="21"/>
                <w:highlight w:val="none"/>
                <w:lang w:eastAsia="zh-CN"/>
              </w:rPr>
              <w:t>有效支撑</w:t>
            </w:r>
            <w:r>
              <w:rPr>
                <w:rFonts w:hint="eastAsia" w:ascii="仿宋_GB2312" w:hAnsi="宋体" w:eastAsia="仿宋_GB2312" w:cs="宋体"/>
                <w:kern w:val="0"/>
                <w:szCs w:val="21"/>
                <w:highlight w:val="none"/>
              </w:rPr>
              <w:t>丰台财政局信息化业务的稳定运行。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8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硬件设备运维数量</w:t>
            </w:r>
            <w:r>
              <w:rPr>
                <w:rFonts w:hint="eastAsia" w:ascii="仿宋_GB2312" w:hAnsi="宋体" w:eastAsia="仿宋_GB2312" w:cs="宋体"/>
                <w:color w:val="000000"/>
                <w:kern w:val="0"/>
                <w:szCs w:val="21"/>
                <w:highlight w:val="none"/>
                <w:lang w:val="en-US" w:eastAsia="zh-CN"/>
              </w:rPr>
              <w:t>443台</w:t>
            </w:r>
            <w:r>
              <w:rPr>
                <w:rFonts w:hint="eastAsia" w:ascii="仿宋_GB2312" w:hAnsi="宋体" w:eastAsia="仿宋_GB2312" w:cs="宋体"/>
                <w:color w:val="000000"/>
                <w:kern w:val="0"/>
                <w:szCs w:val="21"/>
                <w:lang w:val="en-US" w:eastAsia="zh-CN"/>
              </w:rPr>
              <w:t>（包括服务器、存储、网络设备、台式机、机房空调、配电柜、机房UPS及蓄电池、机房消防设备等）</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443</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443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所有硬件设备在运维服务期间运行稳定、故障处理及时。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6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在合同运维期内按合同要求完成硬件设备运维工作。在合同运维期结束前签订下一年度运维合同。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总成本控制在全年预算以内。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kern w:val="0"/>
                <w:szCs w:val="21"/>
                <w:lang w:eastAsia="zh-CN"/>
              </w:rPr>
              <w:t>硬件设备运维服务工作有效开展</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kern w:val="0"/>
                <w:szCs w:val="21"/>
                <w:lang w:eastAsia="zh-CN"/>
              </w:rPr>
              <w:t>有效支撑丰台财政局信息化业务系统的稳定运行。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服务对象在运维期间使用硬件设备稳定，服务对象满意度≥90%</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rPr>
          <w:rFonts w:hint="eastAsia"/>
        </w:rPr>
      </w:pP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2024年丰台财政管理信息系统及预算管理一体化系统运维服务项目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综合科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万福群</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tabs>
                <w:tab w:val="left" w:pos="563"/>
              </w:tabs>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ab/>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61.92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年度为丰台财政管理信息系统</w:t>
            </w:r>
            <w:r>
              <w:rPr>
                <w:rFonts w:hint="eastAsia" w:ascii="仿宋_GB2312" w:hAnsi="宋体" w:eastAsia="仿宋_GB2312" w:cs="宋体"/>
                <w:kern w:val="0"/>
                <w:szCs w:val="21"/>
                <w:highlight w:val="none"/>
                <w:lang w:eastAsia="zh-CN"/>
              </w:rPr>
              <w:t>和</w:t>
            </w:r>
            <w:r>
              <w:rPr>
                <w:rFonts w:hint="eastAsia" w:ascii="仿宋_GB2312" w:hAnsi="宋体" w:eastAsia="仿宋_GB2312" w:cs="宋体"/>
                <w:kern w:val="0"/>
                <w:szCs w:val="21"/>
                <w:highlight w:val="none"/>
              </w:rPr>
              <w:t>预算管理一体化系统提供运行维护服务，保障丰台财政局信息化业务的稳定运行。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年度为丰台财政管理信息系统</w:t>
            </w:r>
            <w:r>
              <w:rPr>
                <w:rFonts w:hint="eastAsia" w:ascii="仿宋_GB2312" w:hAnsi="宋体" w:eastAsia="仿宋_GB2312" w:cs="宋体"/>
                <w:kern w:val="0"/>
                <w:szCs w:val="21"/>
                <w:highlight w:val="none"/>
                <w:lang w:eastAsia="zh-CN"/>
              </w:rPr>
              <w:t>和</w:t>
            </w:r>
            <w:r>
              <w:rPr>
                <w:rFonts w:hint="eastAsia" w:ascii="仿宋_GB2312" w:hAnsi="宋体" w:eastAsia="仿宋_GB2312" w:cs="宋体"/>
                <w:kern w:val="0"/>
                <w:szCs w:val="21"/>
                <w:highlight w:val="none"/>
              </w:rPr>
              <w:t>预算管理一体化系统提供运行维护服务，</w:t>
            </w:r>
            <w:r>
              <w:rPr>
                <w:rFonts w:hint="eastAsia" w:ascii="仿宋_GB2312" w:hAnsi="宋体" w:eastAsia="仿宋_GB2312" w:cs="宋体"/>
                <w:kern w:val="0"/>
                <w:szCs w:val="21"/>
                <w:highlight w:val="none"/>
                <w:lang w:eastAsia="zh-CN"/>
              </w:rPr>
              <w:t>有效支撑财政业务工作开展</w:t>
            </w: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24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业务系统运行维护数量</w:t>
            </w:r>
            <w:r>
              <w:rPr>
                <w:rFonts w:hint="eastAsia" w:ascii="仿宋_GB2312" w:hAnsi="宋体" w:eastAsia="仿宋_GB2312" w:cs="宋体"/>
                <w:color w:val="000000"/>
                <w:kern w:val="0"/>
                <w:szCs w:val="21"/>
                <w:highlight w:val="none"/>
                <w:lang w:val="en-US" w:eastAsia="zh-CN"/>
              </w:rPr>
              <w:t>2</w:t>
            </w:r>
            <w:r>
              <w:rPr>
                <w:rFonts w:hint="eastAsia" w:ascii="仿宋_GB2312" w:hAnsi="宋体" w:eastAsia="仿宋_GB2312" w:cs="宋体"/>
                <w:color w:val="000000"/>
                <w:kern w:val="0"/>
                <w:szCs w:val="21"/>
                <w:lang w:val="en-US" w:eastAsia="zh-CN"/>
              </w:rPr>
              <w:t>个</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业务系统可用率达到99%以上；保证客户服务请求响应及时率大于99%。</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val="en-US" w:eastAsia="zh-CN"/>
              </w:rPr>
              <w:t>≥99%</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在合同运维期内按合同要求完成业务系统运维工作。在合同运维期结束前签订下一年度运维合同。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总成本控制在全年预算以内。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61.92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61.92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kern w:val="0"/>
                <w:szCs w:val="21"/>
                <w:lang w:eastAsia="zh-CN"/>
              </w:rPr>
              <w:t>业务系统运维服务工作有效开展</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kern w:val="0"/>
                <w:szCs w:val="21"/>
                <w:lang w:eastAsia="zh-CN"/>
              </w:rPr>
              <w:t>保障业务系统的稳定运行。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eastAsia="zh-CN"/>
              </w:rPr>
              <w:t>业务</w:t>
            </w:r>
            <w:r>
              <w:rPr>
                <w:rFonts w:hint="eastAsia" w:ascii="仿宋_GB2312" w:hAnsi="宋体" w:eastAsia="仿宋_GB2312" w:cs="宋体"/>
                <w:color w:val="000000"/>
                <w:kern w:val="0"/>
                <w:szCs w:val="21"/>
                <w:lang w:val="en-US" w:eastAsia="zh-CN"/>
              </w:rPr>
              <w:t>系统最大月故障中断时间小于8小时。服务对象满意度≥99%</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val="en-US" w:eastAsia="zh-CN"/>
              </w:rPr>
              <w:t>≥99%</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2023年信息系统运维类项目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综合科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万福群</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146.61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213.7403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213.7403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146.61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213.7403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213.7403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在202</w:t>
            </w:r>
            <w:r>
              <w:rPr>
                <w:rFonts w:hint="eastAsia" w:ascii="仿宋_GB2312" w:hAnsi="宋体" w:eastAsia="仿宋_GB2312" w:cs="宋体"/>
                <w:kern w:val="0"/>
                <w:szCs w:val="21"/>
                <w:highlight w:val="none"/>
                <w:lang w:val="en-US" w:eastAsia="zh-CN"/>
              </w:rPr>
              <w:t>3</w:t>
            </w:r>
            <w:r>
              <w:rPr>
                <w:rFonts w:hint="eastAsia" w:ascii="仿宋_GB2312" w:hAnsi="宋体" w:eastAsia="仿宋_GB2312" w:cs="宋体"/>
                <w:kern w:val="0"/>
                <w:szCs w:val="21"/>
                <w:highlight w:val="none"/>
              </w:rPr>
              <w:t>年度为丰台财政局的业务系统、硬件设备、信息安全提供运行维护服务，保障丰台财政局信息化业务的稳定运行。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在</w:t>
            </w:r>
            <w:r>
              <w:rPr>
                <w:rFonts w:hint="eastAsia" w:ascii="仿宋_GB2312" w:hAnsi="宋体" w:eastAsia="仿宋_GB2312" w:cs="宋体"/>
                <w:kern w:val="0"/>
                <w:szCs w:val="21"/>
                <w:lang w:val="en-US" w:eastAsia="zh-CN"/>
              </w:rPr>
              <w:t>2023</w:t>
            </w:r>
            <w:r>
              <w:rPr>
                <w:rFonts w:hint="eastAsia" w:ascii="仿宋_GB2312" w:hAnsi="宋体" w:eastAsia="仿宋_GB2312" w:cs="宋体"/>
                <w:kern w:val="0"/>
                <w:szCs w:val="21"/>
                <w:lang w:eastAsia="zh-CN"/>
              </w:rPr>
              <w:t>年度丰台财政局的业务系统、硬件设备、信息安全等运维服务有效开展，有效支撑丰台财政局信息化业务系统稳定运行。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9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eastAsia="zh-CN"/>
              </w:rPr>
              <w:t>、</w:t>
            </w:r>
            <w:r>
              <w:rPr>
                <w:rFonts w:hint="eastAsia" w:ascii="仿宋_GB2312" w:hAnsi="宋体" w:eastAsia="仿宋_GB2312" w:cs="宋体"/>
                <w:color w:val="000000"/>
                <w:kern w:val="0"/>
                <w:szCs w:val="21"/>
                <w:lang w:val="en-US" w:eastAsia="zh-CN"/>
              </w:rPr>
              <w:t>业务系统运维及升级改造数量5个</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指标2</w:t>
            </w:r>
            <w:r>
              <w:rPr>
                <w:rFonts w:hint="eastAsia" w:ascii="仿宋_GB2312" w:hAnsi="宋体" w:eastAsia="仿宋_GB2312" w:cs="宋体"/>
                <w:color w:val="000000"/>
                <w:kern w:val="0"/>
                <w:szCs w:val="21"/>
                <w:highlight w:val="none"/>
                <w:lang w:eastAsia="zh-CN"/>
              </w:rPr>
              <w:t>、</w:t>
            </w:r>
            <w:r>
              <w:rPr>
                <w:rFonts w:hint="eastAsia" w:ascii="仿宋_GB2312" w:hAnsi="宋体" w:eastAsia="仿宋_GB2312" w:cs="宋体"/>
                <w:color w:val="000000"/>
                <w:kern w:val="0"/>
                <w:szCs w:val="21"/>
                <w:lang w:val="en-US" w:eastAsia="zh-CN"/>
              </w:rPr>
              <w:t>硬件设备运维数量447台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447</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447</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3、安全运维服务数量8项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eastAsia="zh-CN"/>
              </w:rPr>
              <w:t>、</w:t>
            </w:r>
            <w:r>
              <w:rPr>
                <w:rFonts w:hint="eastAsia" w:ascii="仿宋_GB2312" w:hAnsi="宋体" w:eastAsia="仿宋_GB2312" w:cs="宋体"/>
                <w:color w:val="000000"/>
                <w:kern w:val="0"/>
                <w:szCs w:val="21"/>
                <w:lang w:val="en-US" w:eastAsia="zh-CN"/>
              </w:rPr>
              <w:t>业务系统运维：系统可用率达到99%以上；保证客户服务请求响应及时率大于99%。</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val="en-US" w:eastAsia="zh-CN"/>
              </w:rPr>
              <w:t>≥99%</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指标2</w:t>
            </w:r>
            <w:r>
              <w:rPr>
                <w:rFonts w:hint="eastAsia" w:ascii="仿宋_GB2312" w:hAnsi="宋体" w:eastAsia="仿宋_GB2312" w:cs="宋体"/>
                <w:color w:val="000000"/>
                <w:kern w:val="0"/>
                <w:szCs w:val="21"/>
                <w:highlight w:val="none"/>
                <w:lang w:eastAsia="zh-CN"/>
              </w:rPr>
              <w:t>、</w:t>
            </w:r>
            <w:r>
              <w:rPr>
                <w:rFonts w:hint="eastAsia" w:ascii="仿宋_GB2312" w:hAnsi="宋体" w:eastAsia="仿宋_GB2312" w:cs="宋体"/>
                <w:color w:val="000000"/>
                <w:kern w:val="0"/>
                <w:szCs w:val="21"/>
                <w:lang w:val="en-US" w:eastAsia="zh-CN"/>
              </w:rPr>
              <w:t>业务系统升级改造：按合同要求完成升级改造任务，上线正常使用。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w:t>
            </w:r>
            <w:r>
              <w:rPr>
                <w:rFonts w:hint="eastAsia" w:ascii="仿宋_GB2312" w:hAnsi="宋体" w:eastAsia="仿宋_GB2312" w:cs="宋体"/>
                <w:color w:val="000000"/>
                <w:kern w:val="0"/>
                <w:szCs w:val="21"/>
                <w:highlight w:val="none"/>
                <w:lang w:val="en-US" w:eastAsia="zh-CN"/>
              </w:rPr>
              <w:t>3</w:t>
            </w:r>
            <w:r>
              <w:rPr>
                <w:rFonts w:hint="eastAsia" w:ascii="仿宋_GB2312" w:hAnsi="宋体" w:eastAsia="仿宋_GB2312" w:cs="宋体"/>
                <w:color w:val="000000"/>
                <w:kern w:val="0"/>
                <w:szCs w:val="21"/>
                <w:highlight w:val="none"/>
                <w:lang w:eastAsia="zh-CN"/>
              </w:rPr>
              <w:t>、</w:t>
            </w:r>
            <w:r>
              <w:rPr>
                <w:rFonts w:hint="eastAsia" w:ascii="仿宋_GB2312" w:hAnsi="宋体" w:eastAsia="仿宋_GB2312" w:cs="宋体"/>
                <w:color w:val="000000"/>
                <w:kern w:val="0"/>
                <w:szCs w:val="21"/>
                <w:lang w:val="en-US" w:eastAsia="zh-CN"/>
              </w:rPr>
              <w:t>硬件设备运维：所有硬件设备在运维服务期间运行稳定、故障处理及时。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lang w:val="en-US" w:eastAsia="zh-CN"/>
              </w:rPr>
              <w:t>指标4、安全运维服务：所有安全运维服务在运维期间服务及时、服务报告完整。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eastAsia="zh-CN"/>
              </w:rPr>
              <w:t>、</w:t>
            </w:r>
            <w:r>
              <w:rPr>
                <w:rFonts w:hint="eastAsia" w:ascii="仿宋_GB2312" w:hAnsi="宋体" w:eastAsia="仿宋_GB2312" w:cs="宋体"/>
                <w:color w:val="000000"/>
                <w:kern w:val="0"/>
                <w:szCs w:val="21"/>
                <w:lang w:val="en-US" w:eastAsia="zh-CN"/>
              </w:rPr>
              <w:t>业务系统运维：在合同运维期内按合同要求完成业务系统运维工作。在合同运维期结束前签订下一年度运维合同。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指标2</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业务系统升级改造：按合同约定时间完成业务系统升级改造工作。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3</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硬件设备运维：在合同运维期内按合同要求完成硬件设备运维工作。在合同运维期结束前签订下一年度运维合同。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4、安全运维服务：在合同运维期内按合同要求完成安全运维服务工作。在合同运维期结束前签订下一年度运维合同。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lang w:val="en-US" w:eastAsia="zh-CN"/>
              </w:rPr>
              <w:t>总成本控制在全年预算以内。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213.7403</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213.7403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kern w:val="0"/>
                <w:szCs w:val="21"/>
                <w:lang w:eastAsia="zh-CN"/>
              </w:rPr>
              <w:t>业务系统、硬件设备、信息安全等运维服务工作有效开展</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kern w:val="0"/>
                <w:szCs w:val="21"/>
                <w:lang w:eastAsia="zh-CN"/>
              </w:rPr>
              <w:t>保障丰台财政局信息化业务系统的稳定运行。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稳定</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稳定</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1、应用系统:应用系统最大月故障中断时间小于8小时。服务对象满意度≥99%</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lang w:val="en-US" w:eastAsia="zh-CN"/>
              </w:rPr>
              <w:t>≥99%</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2、硬件设备运维：服务对象在运维期间使用硬件设备稳定，服务对象满意度≥90%</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r>
              <w:rPr>
                <w:rFonts w:hint="eastAsia" w:ascii="仿宋_GB2312" w:hAnsi="宋体" w:eastAsia="仿宋_GB2312" w:cs="宋体"/>
                <w:color w:val="000000"/>
                <w:kern w:val="0"/>
                <w:szCs w:val="21"/>
                <w:lang w:val="en-US" w:eastAsia="zh-CN"/>
              </w:rPr>
              <w:t>3、安全运维服务：安全运维服务在运维期间降低服务对象的安全风险，处理安全事件及时有效，服务对象满意度≥90%</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2023</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11"/>
        <w:tblW w:w="9363" w:type="dxa"/>
        <w:jc w:val="center"/>
        <w:tblLayout w:type="fixed"/>
        <w:tblCellMar>
          <w:top w:w="0" w:type="dxa"/>
          <w:left w:w="108" w:type="dxa"/>
          <w:bottom w:w="0" w:type="dxa"/>
          <w:right w:w="108" w:type="dxa"/>
        </w:tblCellMar>
      </w:tblPr>
      <w:tblGrid>
        <w:gridCol w:w="585"/>
        <w:gridCol w:w="975"/>
        <w:gridCol w:w="1274"/>
        <w:gridCol w:w="558"/>
        <w:gridCol w:w="1127"/>
        <w:gridCol w:w="289"/>
        <w:gridCol w:w="855"/>
        <w:gridCol w:w="875"/>
        <w:gridCol w:w="400"/>
        <w:gridCol w:w="250"/>
        <w:gridCol w:w="294"/>
        <w:gridCol w:w="594"/>
        <w:gridCol w:w="313"/>
        <w:gridCol w:w="974"/>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803"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val="en-US" w:eastAsia="zh-CN"/>
              </w:rPr>
              <w:t>2023年</w:t>
            </w:r>
            <w:r>
              <w:rPr>
                <w:rFonts w:hint="eastAsia" w:ascii="仿宋_GB2312" w:hAnsi="宋体" w:eastAsia="仿宋_GB2312" w:cs="宋体"/>
                <w:kern w:val="0"/>
                <w:szCs w:val="21"/>
                <w:lang w:eastAsia="zh-CN"/>
              </w:rPr>
              <w:t>票据印刷费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0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丰台区财政局</w:t>
            </w: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4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丰台区财政局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10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万福群</w:t>
            </w: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4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bookmarkStart w:id="129" w:name="_GoBack"/>
            <w:bookmarkEnd w:id="129"/>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9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2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70万</w:t>
            </w:r>
          </w:p>
        </w:tc>
        <w:tc>
          <w:tcPr>
            <w:tcW w:w="11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149.338万</w:t>
            </w: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149.338万</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9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70万</w:t>
            </w:r>
          </w:p>
        </w:tc>
        <w:tc>
          <w:tcPr>
            <w:tcW w:w="11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149.338万</w:t>
            </w: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149.338万</w:t>
            </w: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7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70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7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rPr>
              <w:t>通过财政票据的印制和发放，规范行政事业单位、非营利性医疗机构、社会团体等单位各类财政票据的</w:t>
            </w:r>
            <w:r>
              <w:rPr>
                <w:rFonts w:hint="eastAsia" w:ascii="仿宋_GB2312" w:hAnsi="仿宋_GB2312" w:eastAsia="仿宋_GB2312" w:cs="仿宋_GB2312"/>
                <w:color w:val="000000"/>
                <w:kern w:val="0"/>
                <w:sz w:val="24"/>
                <w:szCs w:val="24"/>
                <w:lang w:eastAsia="zh-CN"/>
              </w:rPr>
              <w:t>管</w:t>
            </w:r>
            <w:r>
              <w:rPr>
                <w:rFonts w:hint="eastAsia" w:ascii="仿宋_GB2312" w:hAnsi="仿宋_GB2312" w:eastAsia="仿宋_GB2312" w:cs="仿宋_GB2312"/>
                <w:color w:val="000000"/>
                <w:kern w:val="0"/>
                <w:sz w:val="24"/>
                <w:szCs w:val="24"/>
              </w:rPr>
              <w:t>理和使用</w:t>
            </w:r>
          </w:p>
        </w:tc>
        <w:tc>
          <w:tcPr>
            <w:tcW w:w="370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lang w:eastAsia="zh-CN"/>
              </w:rPr>
              <w:t>圆满完成全区用票单位财政票据的印制、审核、发放</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一级指标</w:t>
            </w:r>
          </w:p>
        </w:tc>
        <w:tc>
          <w:tcPr>
            <w:tcW w:w="127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二级指标</w:t>
            </w:r>
          </w:p>
        </w:tc>
        <w:tc>
          <w:tcPr>
            <w:tcW w:w="197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三级指标</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年度</w:t>
            </w:r>
          </w:p>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指标值</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实际</w:t>
            </w:r>
          </w:p>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完成值</w:t>
            </w:r>
          </w:p>
        </w:tc>
        <w:tc>
          <w:tcPr>
            <w:tcW w:w="6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分值</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得分</w:t>
            </w:r>
          </w:p>
        </w:tc>
        <w:tc>
          <w:tcPr>
            <w:tcW w:w="1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偏差原因分析及改进</w:t>
            </w:r>
          </w:p>
          <w:p>
            <w:pPr>
              <w:widowControl/>
              <w:spacing w:line="24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措施</w:t>
            </w:r>
          </w:p>
        </w:tc>
      </w:tr>
      <w:tr>
        <w:tblPrEx>
          <w:tblCellMar>
            <w:top w:w="0" w:type="dxa"/>
            <w:left w:w="108" w:type="dxa"/>
            <w:bottom w:w="0" w:type="dxa"/>
            <w:right w:w="108" w:type="dxa"/>
          </w:tblCellMar>
        </w:tblPrEx>
        <w:trPr>
          <w:trHeight w:val="6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产出指标</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数量指标</w:t>
            </w:r>
          </w:p>
        </w:tc>
        <w:tc>
          <w:tcPr>
            <w:tcW w:w="197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印刷数量</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5000箱以上</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5676箱</w:t>
            </w:r>
          </w:p>
        </w:tc>
        <w:tc>
          <w:tcPr>
            <w:tcW w:w="6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1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p>
        </w:tc>
      </w:tr>
      <w:tr>
        <w:tblPrEx>
          <w:tblCellMar>
            <w:top w:w="0" w:type="dxa"/>
            <w:left w:w="108" w:type="dxa"/>
            <w:bottom w:w="0" w:type="dxa"/>
            <w:right w:w="108" w:type="dxa"/>
          </w:tblCellMar>
        </w:tblPrEx>
        <w:trPr>
          <w:trHeight w:val="6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质量指标</w:t>
            </w:r>
          </w:p>
        </w:tc>
        <w:tc>
          <w:tcPr>
            <w:tcW w:w="197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印刷合格率</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6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w:t>
            </w:r>
          </w:p>
        </w:tc>
        <w:tc>
          <w:tcPr>
            <w:tcW w:w="1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p>
        </w:tc>
      </w:tr>
      <w:tr>
        <w:tblPrEx>
          <w:tblCellMar>
            <w:top w:w="0" w:type="dxa"/>
            <w:left w:w="108" w:type="dxa"/>
            <w:bottom w:w="0" w:type="dxa"/>
            <w:right w:w="108" w:type="dxa"/>
          </w:tblCellMar>
        </w:tblPrEx>
        <w:trPr>
          <w:trHeight w:val="8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社会效益</w:t>
            </w:r>
          </w:p>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指标</w:t>
            </w:r>
          </w:p>
        </w:tc>
        <w:tc>
          <w:tcPr>
            <w:tcW w:w="197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保障用票单位正常运转</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得到保障</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得到保障</w:t>
            </w:r>
          </w:p>
        </w:tc>
        <w:tc>
          <w:tcPr>
            <w:tcW w:w="6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w:t>
            </w:r>
          </w:p>
        </w:tc>
        <w:tc>
          <w:tcPr>
            <w:tcW w:w="1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p>
        </w:tc>
      </w:tr>
      <w:tr>
        <w:tblPrEx>
          <w:tblCellMar>
            <w:top w:w="0" w:type="dxa"/>
            <w:left w:w="108" w:type="dxa"/>
            <w:bottom w:w="0" w:type="dxa"/>
            <w:right w:w="108" w:type="dxa"/>
          </w:tblCellMar>
        </w:tblPrEx>
        <w:trPr>
          <w:trHeight w:val="11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满意度</w:t>
            </w:r>
          </w:p>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指标</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服务对象满意度标</w:t>
            </w:r>
          </w:p>
        </w:tc>
        <w:tc>
          <w:tcPr>
            <w:tcW w:w="197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用票单位满意度</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95%以上</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100%</w:t>
            </w:r>
          </w:p>
        </w:tc>
        <w:tc>
          <w:tcPr>
            <w:tcW w:w="6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1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4"/>
                <w:szCs w:val="24"/>
                <w:highlight w:val="none"/>
              </w:rPr>
            </w:pPr>
          </w:p>
        </w:tc>
      </w:tr>
      <w:tr>
        <w:tblPrEx>
          <w:tblCellMar>
            <w:top w:w="0" w:type="dxa"/>
            <w:left w:w="108" w:type="dxa"/>
            <w:bottom w:w="0" w:type="dxa"/>
            <w:right w:w="108" w:type="dxa"/>
          </w:tblCellMar>
        </w:tblPrEx>
        <w:trPr>
          <w:trHeight w:val="477" w:hRule="exact"/>
          <w:jc w:val="center"/>
        </w:trPr>
        <w:tc>
          <w:tcPr>
            <w:tcW w:w="653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6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2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rPr>
          <w:rFonts w:hint="eastAsia" w:eastAsia="宋体"/>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97114F"/>
    <w:multiLevelType w:val="singleLevel"/>
    <w:tmpl w:val="E197114F"/>
    <w:lvl w:ilvl="0" w:tentative="0">
      <w:start w:val="2"/>
      <w:numFmt w:val="chineseCounting"/>
      <w:suff w:val="nothing"/>
      <w:lvlText w:val="（%1）"/>
      <w:lvlJc w:val="left"/>
      <w:rPr>
        <w:rFonts w:hint="eastAsia"/>
      </w:rPr>
    </w:lvl>
  </w:abstractNum>
  <w:abstractNum w:abstractNumId="1">
    <w:nsid w:val="0B566102"/>
    <w:multiLevelType w:val="singleLevel"/>
    <w:tmpl w:val="0B566102"/>
    <w:lvl w:ilvl="0" w:tentative="0">
      <w:start w:val="2"/>
      <w:numFmt w:val="decimal"/>
      <w:lvlText w:val="%1."/>
      <w:lvlJc w:val="left"/>
      <w:pPr>
        <w:tabs>
          <w:tab w:val="left" w:pos="312"/>
        </w:tabs>
      </w:pPr>
    </w:lvl>
  </w:abstractNum>
  <w:abstractNum w:abstractNumId="2">
    <w:nsid w:val="3A8B2B19"/>
    <w:multiLevelType w:val="singleLevel"/>
    <w:tmpl w:val="3A8B2B19"/>
    <w:lvl w:ilvl="0" w:tentative="0">
      <w:start w:val="6"/>
      <w:numFmt w:val="chineseCounting"/>
      <w:suff w:val="nothing"/>
      <w:lvlText w:val="%1、"/>
      <w:lvlJc w:val="left"/>
      <w:rPr>
        <w:rFonts w:hint="eastAsia"/>
      </w:rPr>
    </w:lvl>
  </w:abstractNum>
  <w:abstractNum w:abstractNumId="3">
    <w:nsid w:val="6349D93E"/>
    <w:multiLevelType w:val="singleLevel"/>
    <w:tmpl w:val="6349D93E"/>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6181B"/>
    <w:rsid w:val="0C8F7A08"/>
    <w:rsid w:val="0F0023E5"/>
    <w:rsid w:val="159D3103"/>
    <w:rsid w:val="278F3DF3"/>
    <w:rsid w:val="2B0D250B"/>
    <w:rsid w:val="2EBB347F"/>
    <w:rsid w:val="2EFB513A"/>
    <w:rsid w:val="376F6533"/>
    <w:rsid w:val="481A5D5A"/>
    <w:rsid w:val="4B387B46"/>
    <w:rsid w:val="54B2794B"/>
    <w:rsid w:val="591914FF"/>
    <w:rsid w:val="689B3B7B"/>
    <w:rsid w:val="72C66C8B"/>
    <w:rsid w:val="7626181B"/>
    <w:rsid w:val="7B717FB6"/>
    <w:rsid w:val="7C3F1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36"/>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ind w:leftChars="200"/>
      <w:jc w:val="left"/>
      <w:outlineLvl w:val="1"/>
    </w:pPr>
    <w:rPr>
      <w:rFonts w:ascii="Arial" w:hAnsi="Arial" w:eastAsia="黑体" w:cstheme="minorBidi"/>
      <w:sz w:val="32"/>
    </w:rPr>
  </w:style>
  <w:style w:type="paragraph" w:styleId="5">
    <w:name w:val="heading 3"/>
    <w:basedOn w:val="1"/>
    <w:next w:val="1"/>
    <w:semiHidden/>
    <w:unhideWhenUsed/>
    <w:qFormat/>
    <w:uiPriority w:val="0"/>
    <w:pPr>
      <w:keepNext/>
      <w:keepLines/>
      <w:spacing w:before="20" w:beforeLines="0" w:beforeAutospacing="0" w:after="20" w:afterLines="0" w:afterAutospacing="0" w:line="240" w:lineRule="auto"/>
      <w:ind w:leftChars="0"/>
      <w:jc w:val="left"/>
      <w:outlineLvl w:val="2"/>
    </w:pPr>
    <w:rPr>
      <w:rFonts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pPr>
  </w:style>
  <w:style w:type="paragraph" w:styleId="7">
    <w:name w:val="Normal Indent"/>
    <w:basedOn w:val="1"/>
    <w:qFormat/>
    <w:uiPriority w:val="0"/>
    <w:pPr>
      <w:ind w:firstLine="420"/>
    </w:pPr>
    <w:rPr>
      <w:szCs w:val="20"/>
    </w:rPr>
  </w:style>
  <w:style w:type="paragraph" w:styleId="8">
    <w:name w:val="Body Text Indent 2"/>
    <w:basedOn w:val="1"/>
    <w:unhideWhenUsed/>
    <w:uiPriority w:val="99"/>
    <w:pPr>
      <w:spacing w:after="120" w:line="480" w:lineRule="auto"/>
      <w:ind w:left="420" w:leftChars="200"/>
    </w:p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大标题"/>
    <w:basedOn w:val="10"/>
    <w:qFormat/>
    <w:uiPriority w:val="0"/>
    <w:rPr>
      <w:rFonts w:hint="eastAsia" w:ascii="Arial" w:hAnsi="Arial" w:eastAsia="方正小标宋简体" w:cs="Times New Roman"/>
      <w:b w:val="0"/>
      <w:sz w:val="36"/>
    </w:rPr>
  </w:style>
  <w:style w:type="paragraph" w:customStyle="1" w:styleId="15">
    <w:name w:val="综合科调研正文"/>
    <w:basedOn w:val="1"/>
    <w:qFormat/>
    <w:uiPriority w:val="0"/>
    <w:pPr>
      <w:spacing w:line="500" w:lineRule="exact"/>
      <w:jc w:val="both"/>
    </w:pPr>
    <w:rPr>
      <w:rFonts w:hint="eastAsia" w:eastAsia="宋体" w:cs="仿宋_GB231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20675</Words>
  <Characters>23111</Characters>
  <Lines>0</Lines>
  <Paragraphs>0</Paragraphs>
  <TotalTime>7</TotalTime>
  <ScaleCrop>false</ScaleCrop>
  <LinksUpToDate>false</LinksUpToDate>
  <CharactersWithSpaces>24532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2024-06-24T06:32:00Z</dcterms:created>
  <dc:creator>徐坚</dc:creator>
  <cp:lastModifiedBy>XYSD</cp:lastModifiedBy>
  <dcterms:modified xsi:type="dcterms:W3CDTF">2026-02-05T02:31:12Z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