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jc w:val="left"/>
        <w:textAlignment w:val="auto"/>
        <w:rPr>
          <w:rFonts w:hint="default" w:ascii="方正小标宋简体" w:eastAsia="方正小标宋简体"/>
          <w:sz w:val="36"/>
          <w:szCs w:val="36"/>
          <w:lang w:val="en-US"/>
        </w:rPr>
      </w:pPr>
      <w:r>
        <w:rPr>
          <w:rFonts w:hint="eastAsia" w:ascii="方正黑体_GBK" w:hAnsi="方正黑体_GBK" w:eastAsia="方正黑体_GBK" w:cs="方正黑体_GBK"/>
          <w:sz w:val="32"/>
          <w:lang w:eastAsia="zh-CN"/>
        </w:rPr>
        <w:t>附件</w:t>
      </w:r>
      <w:r>
        <w:rPr>
          <w:rFonts w:hint="eastAsia" w:ascii="方正黑体_GBK" w:hAnsi="方正黑体_GBK" w:eastAsia="方正黑体_GBK" w:cs="方正黑体_GBK"/>
          <w:sz w:val="32"/>
          <w:lang w:val="en-US" w:eastAsia="zh-CN"/>
        </w:rPr>
        <w:t>4</w:t>
      </w:r>
    </w:p>
    <w:p>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eastAsia="方正小标宋简体"/>
          <w:sz w:val="36"/>
          <w:szCs w:val="36"/>
          <w:lang w:eastAsia="zh-CN"/>
        </w:rPr>
      </w:pPr>
      <w:r>
        <w:rPr>
          <w:rFonts w:hint="eastAsia" w:ascii="方正小标宋简体" w:eastAsia="方正小标宋简体"/>
          <w:sz w:val="36"/>
          <w:szCs w:val="36"/>
          <w:lang w:eastAsia="zh-CN"/>
        </w:rPr>
        <w:t>丰台区发展和改革委员会</w:t>
      </w:r>
    </w:p>
    <w:p>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eastAsia="方正小标宋简体"/>
          <w:sz w:val="36"/>
          <w:szCs w:val="36"/>
        </w:rPr>
      </w:pPr>
      <w:r>
        <w:rPr>
          <w:rFonts w:hint="eastAsia" w:ascii="方正小标宋简体" w:eastAsia="方正小标宋简体"/>
          <w:sz w:val="36"/>
          <w:szCs w:val="36"/>
          <w:lang w:eastAsia="zh-CN"/>
        </w:rPr>
        <w:t>部门</w:t>
      </w:r>
      <w:r>
        <w:rPr>
          <w:rFonts w:hint="eastAsia" w:ascii="方正小标宋简体" w:eastAsia="方正小标宋简体"/>
          <w:sz w:val="36"/>
          <w:szCs w:val="36"/>
        </w:rPr>
        <w:t>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keepNext w:val="0"/>
        <w:keepLines w:val="0"/>
        <w:pageBreakBefore w:val="0"/>
        <w:kinsoku/>
        <w:wordWrap/>
        <w:overflowPunct/>
        <w:topLinePunct w:val="0"/>
        <w:autoSpaceDE/>
        <w:autoSpaceDN/>
        <w:bidi w:val="0"/>
        <w:spacing w:line="560" w:lineRule="exact"/>
        <w:jc w:val="center"/>
        <w:textAlignment w:val="auto"/>
        <w:rPr>
          <w:rFonts w:ascii="仿宋_GB2312"/>
          <w:szCs w:val="30"/>
        </w:rPr>
      </w:pP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1.机构设置</w:t>
      </w:r>
    </w:p>
    <w:p>
      <w:pPr>
        <w:keepNext w:val="0"/>
        <w:keepLines w:val="0"/>
        <w:pageBreakBefore w:val="0"/>
        <w:tabs>
          <w:tab w:val="left" w:pos="720"/>
        </w:tabs>
        <w:kinsoku/>
        <w:wordWrap/>
        <w:overflowPunct/>
        <w:topLinePunct w:val="0"/>
        <w:autoSpaceDE/>
        <w:autoSpaceDN/>
        <w:bidi w:val="0"/>
        <w:snapToGrid w:val="0"/>
        <w:spacing w:line="560" w:lineRule="exact"/>
        <w:ind w:firstLine="640" w:firstLineChars="200"/>
        <w:textAlignment w:val="auto"/>
        <w:rPr>
          <w:rFonts w:hint="eastAsia" w:ascii="仿宋_GB2312" w:eastAsia="仿宋_GB2312" w:cs="仿宋_GB2312"/>
          <w:kern w:val="0"/>
          <w:sz w:val="32"/>
          <w:szCs w:val="32"/>
        </w:rPr>
      </w:pPr>
      <w:r>
        <w:rPr>
          <w:rFonts w:hint="eastAsia" w:ascii="仿宋_GB2312" w:eastAsia="仿宋_GB2312" w:cs="仿宋_GB2312"/>
          <w:kern w:val="0"/>
          <w:sz w:val="32"/>
          <w:szCs w:val="32"/>
        </w:rPr>
        <w:t>区发展改革委是负责全区国民经济和社会发展统筹协调的区政府工作部门，加挂北京市丰台区军民融合办牌子，同时承担区委财经委员会办公室、区委区政府推进京津冀协同发展领导小组办公室、区疏整促专项行动领导小组办公室、区倍增追赶合作发展领导小组办公室</w:t>
      </w: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rPr>
        <w:t>区支援合作工作联席会议办公室</w:t>
      </w:r>
      <w:r>
        <w:rPr>
          <w:rFonts w:hint="eastAsia" w:ascii="仿宋_GB2312" w:eastAsia="仿宋_GB2312" w:cs="仿宋_GB2312"/>
          <w:kern w:val="0"/>
          <w:sz w:val="32"/>
          <w:szCs w:val="32"/>
          <w:lang w:val="en-US" w:eastAsia="zh-CN"/>
        </w:rPr>
        <w:t>等</w:t>
      </w:r>
      <w:r>
        <w:rPr>
          <w:rFonts w:hint="eastAsia" w:ascii="仿宋_GB2312" w:eastAsia="仿宋_GB2312" w:cs="仿宋_GB2312"/>
          <w:kern w:val="0"/>
          <w:sz w:val="32"/>
          <w:szCs w:val="32"/>
        </w:rPr>
        <w:t>职能。下设4家</w:t>
      </w:r>
      <w:r>
        <w:rPr>
          <w:rFonts w:ascii="仿宋_GB2312" w:eastAsia="仿宋_GB2312" w:cs="仿宋_GB2312"/>
          <w:kern w:val="0"/>
          <w:sz w:val="32"/>
          <w:szCs w:val="32"/>
        </w:rPr>
        <w:t>事业</w:t>
      </w:r>
      <w:r>
        <w:rPr>
          <w:rFonts w:hint="eastAsia" w:ascii="仿宋_GB2312" w:eastAsia="仿宋_GB2312" w:cs="仿宋_GB2312"/>
          <w:kern w:val="0"/>
          <w:sz w:val="32"/>
          <w:szCs w:val="32"/>
        </w:rPr>
        <w:t>单位，均为公益一类，分别为区政府采购中心（参公）、区公共资源交易中心、区经济社会发展研究中心、区价格事务所（区价格认证中心）。</w:t>
      </w:r>
    </w:p>
    <w:p>
      <w:pPr>
        <w:keepNext w:val="0"/>
        <w:keepLines w:val="0"/>
        <w:pageBreakBefore w:val="0"/>
        <w:kinsoku/>
        <w:wordWrap/>
        <w:overflowPunct/>
        <w:topLinePunct w:val="0"/>
        <w:autoSpaceDE/>
        <w:autoSpaceDN/>
        <w:bidi w:val="0"/>
        <w:spacing w:line="56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2.职责：</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（1）贯彻落实国家和北京市关于国民经济和社会发展、经济体制改革和对外开放的法律、法规、规章和政策。</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拟订本区国民经济和社会发展战略、中长期规划和年度计划，并组织实施；根据北京市宏观调控要求，统筹协调本区经济社会发展，研究提出本区经济社会发展、经济结构调整的目标和措施；受区政府委托，向区人民代表大会报告本区国民经济和社会发展计划及执行情况。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（3）研究分析区域内外的经济形势和发展情况，对本区国民经济运行进行监测、预测，提出应急预案；综合研究并协调本区国民经济和社会发展方面的重大问题，提出措施和建议。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（4）负责汇总分析本区财政、税务、金融等方面的情况，提出深化投融资体制改革的建议，会同有关单位拟订区政府重大项目融资方案。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（5）承担指导推进和综合协调本区经济体制改革的责任；研究本区经济体制改革的重大问题，组织拟订综合性经济体制改革方案，协调有关专项经济体制改革，指导和协调经济体制改革试点工作。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6）提出本区全社会固定资产投资规模、投资结构；组织拟订本区重大项目计划，规划重大项目的布局；拟订本区政府投资计划，安排财政性建设资金；按规定权限审批、核准、审核和上报固定资产投资建设项目；按规定指导和协调招标投标工作。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（7）推进本区经济结构战略性调整，衔接有关专项规划和政策；监督检查本区综合性产业政策的执行情况；指导本区工业和促进中小企业发展；组织协调区域经济合作工作。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（8）承担本区价格管理责任；负责监测分析本区价格运行情况，提出相关措施建议；负责指导本区价格政策的执行情况，并提出相关政策建议。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9）推进本区可持续发展战略；组织编制发展循环经济、全社会能源资源节约和综合利用规划及措施；负责本区节能监督管理工作，负责节能综合协调，组织拟订本区节约能源综合规划，组织实施节能监察和考核工作。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（10）负责组织拟订本区国民经济动员规划、计划；负责组织实施国民经济动员有关工作。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（11）负责研究拟订人口调控规划，综合协调人口工作。 </w:t>
      </w:r>
    </w:p>
    <w:p>
      <w:pPr>
        <w:keepNext w:val="0"/>
        <w:keepLines w:val="0"/>
        <w:pageBreakBefore w:val="0"/>
        <w:kinsoku/>
        <w:wordWrap/>
        <w:overflowPunct/>
        <w:topLinePunct w:val="0"/>
        <w:autoSpaceDE/>
        <w:autoSpaceDN/>
        <w:bidi w:val="0"/>
        <w:spacing w:line="560" w:lineRule="exact"/>
        <w:ind w:firstLine="648"/>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（12）统筹协调本区</w:t>
      </w:r>
      <w:r>
        <w:rPr>
          <w:rFonts w:hint="eastAsia" w:ascii="仿宋_GB2312" w:hAnsi="仿宋_GB2312" w:eastAsia="仿宋_GB2312" w:cs="仿宋_GB2312"/>
          <w:sz w:val="32"/>
          <w:szCs w:val="32"/>
          <w:lang w:eastAsia="zh-CN"/>
        </w:rPr>
        <w:t>对口支援合作工作，支持对口支援和协作地区巩固脱贫攻坚成果，实现乡村振兴战略</w:t>
      </w:r>
      <w:r>
        <w:rPr>
          <w:rFonts w:hint="eastAsia" w:ascii="仿宋_GB2312" w:hAnsi="仿宋_GB2312" w:eastAsia="仿宋_GB2312" w:cs="仿宋_GB2312"/>
          <w:sz w:val="32"/>
          <w:szCs w:val="32"/>
        </w:rPr>
        <w:t xml:space="preserve">。 </w:t>
      </w:r>
    </w:p>
    <w:p>
      <w:pPr>
        <w:keepNext w:val="0"/>
        <w:keepLines w:val="0"/>
        <w:pageBreakBefore w:val="0"/>
        <w:kinsoku/>
        <w:wordWrap/>
        <w:overflowPunct/>
        <w:topLinePunct w:val="0"/>
        <w:autoSpaceDE/>
        <w:autoSpaceDN/>
        <w:bidi w:val="0"/>
        <w:spacing w:line="560" w:lineRule="exact"/>
        <w:ind w:firstLine="648"/>
        <w:textAlignment w:val="auto"/>
        <w:rPr>
          <w:rFonts w:hint="eastAsia"/>
        </w:rPr>
      </w:pPr>
      <w:r>
        <w:rPr>
          <w:rFonts w:hint="eastAsia" w:ascii="仿宋_GB2312" w:hAnsi="仿宋_GB2312" w:eastAsia="仿宋_GB2312" w:cs="仿宋_GB2312"/>
          <w:sz w:val="32"/>
          <w:szCs w:val="32"/>
        </w:rPr>
        <w:t>（13）完成区委、区政府交办的其他任务。</w:t>
      </w:r>
    </w:p>
    <w:p>
      <w:pPr>
        <w:keepNext w:val="0"/>
        <w:keepLines w:val="0"/>
        <w:pageBreakBefore w:val="0"/>
        <w:numPr>
          <w:ilvl w:val="0"/>
          <w:numId w:val="1"/>
        </w:numPr>
        <w:kinsoku/>
        <w:wordWrap/>
        <w:overflowPunct/>
        <w:topLinePunct w:val="0"/>
        <w:autoSpaceDE/>
        <w:autoSpaceDN/>
        <w:bidi w:val="0"/>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部门整体绩效目标设立情况。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2023年是全面贯彻落实党的二十大精神的开局之年，是实施“十四五”规划的关键之年。在区委坚强领导下，区发展改革委坚持以习近平新时代中国特色社会主义思想为指导，深入学习贯彻党的二十大精神，坚持稳中求进工作总基调，完整、准确、全面贯彻新发展理念，坚持以新时代首都发展为统领，坚决贯彻落实区委区政府各项决策部署，发挥好参谋助手作用，积极作为、笃行不怠，全力推动全区经济社会高质量发展。</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20355.79</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2667.83</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w:t>
      </w:r>
      <w:r>
        <w:rPr>
          <w:rFonts w:hint="eastAsia" w:ascii="仿宋_GB2312" w:hAnsi="宋体" w:eastAsia="仿宋_GB2312" w:cs="宋体"/>
          <w:color w:val="000000"/>
          <w:kern w:val="0"/>
          <w:sz w:val="32"/>
          <w:szCs w:val="32"/>
          <w:highlight w:val="none"/>
          <w:lang w:val="en-US" w:eastAsia="zh-CN"/>
        </w:rPr>
        <w:t>17687.96</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20068.07</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lang w:val="en-US" w:eastAsia="zh-CN"/>
        </w:rPr>
        <w:t>2380.17</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17687.96</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98.6%</w:t>
      </w:r>
      <w:r>
        <w:rPr>
          <w:rFonts w:hint="eastAsia" w:ascii="仿宋_GB2312" w:hAnsi="宋体" w:eastAsia="仿宋_GB2312" w:cs="宋体"/>
          <w:color w:val="000000"/>
          <w:kern w:val="0"/>
          <w:sz w:val="32"/>
          <w:szCs w:val="32"/>
          <w:highlight w:val="none"/>
        </w:rPr>
        <w:t>。</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楷体_GB2312" w:eastAsia="楷体_GB2312"/>
          <w:sz w:val="32"/>
          <w:szCs w:val="32"/>
          <w:highlight w:val="none"/>
        </w:rPr>
      </w:pPr>
      <w:r>
        <w:rPr>
          <w:rFonts w:hint="eastAsia" w:ascii="楷体_GB2312" w:eastAsia="楷体_GB2312"/>
          <w:sz w:val="32"/>
          <w:szCs w:val="32"/>
          <w:highlight w:val="none"/>
        </w:rPr>
        <w:t>（一）产出完成情况分析</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1.产出数量</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lang w:eastAsia="zh-CN"/>
        </w:rPr>
      </w:pP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2023年以来，</w:t>
      </w:r>
      <w:r>
        <w:rPr>
          <w:rFonts w:hint="eastAsia" w:ascii="仿宋_GB2312" w:hAnsi="仿宋_GB2312" w:eastAsia="仿宋_GB2312" w:cs="仿宋_GB2312"/>
          <w:sz w:val="32"/>
          <w:szCs w:val="32"/>
          <w:highlight w:val="none"/>
          <w:lang w:val="en-US" w:eastAsia="zh-CN"/>
        </w:rPr>
        <w:t>完成“十四五”规划中期评估工作，重点围绕《纲要》提出的20项主要指标（22项细分指标）和275项重点任务实施情况进行评估，对标新形势变化和新发展要求，评估发展不足和短板。</w:t>
      </w:r>
      <w:r>
        <w:rPr>
          <w:rFonts w:hint="eastAsia" w:ascii="仿宋_GB2312" w:hAnsi="仿宋_GB2312" w:eastAsia="仿宋_GB2312" w:cs="仿宋_GB2312"/>
          <w:kern w:val="2"/>
          <w:sz w:val="32"/>
          <w:szCs w:val="32"/>
          <w:lang w:val="en-US" w:eastAsia="zh-CN" w:bidi="ar-SA"/>
        </w:rPr>
        <w:t>完成“丰九条”第一、二条政策兑现，惠及企业526家。</w:t>
      </w:r>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rPr>
        <w:t>共为“服务包”企业解决诉求</w:t>
      </w:r>
      <w:r>
        <w:rPr>
          <w:rFonts w:hint="eastAsia" w:ascii="仿宋_GB2312" w:hAnsi="仿宋_GB2312" w:eastAsia="仿宋_GB2312" w:cs="仿宋_GB2312"/>
          <w:sz w:val="32"/>
          <w:szCs w:val="32"/>
          <w:lang w:val="en-US" w:eastAsia="zh-CN"/>
        </w:rPr>
        <w:t>3072</w:t>
      </w:r>
      <w:r>
        <w:rPr>
          <w:rFonts w:hint="eastAsia" w:ascii="仿宋_GB2312" w:hAnsi="仿宋_GB2312" w:eastAsia="仿宋_GB2312" w:cs="仿宋_GB2312"/>
          <w:sz w:val="32"/>
          <w:szCs w:val="32"/>
        </w:rPr>
        <w:t>项，办结率、满意率均为100%</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rPr>
        <w:t>丰台区与房山区结对协作推动生态涵养区建设</w:t>
      </w:r>
      <w:bookmarkStart w:id="0" w:name="_GoBack"/>
      <w:bookmarkEnd w:id="0"/>
      <w:r>
        <w:rPr>
          <w:rFonts w:hint="eastAsia" w:ascii="仿宋_GB2312" w:hAnsi="仿宋_GB2312" w:eastAsia="仿宋_GB2312" w:cs="仿宋_GB2312"/>
          <w:sz w:val="32"/>
          <w:szCs w:val="32"/>
        </w:rPr>
        <w:t>，统筹20家单位完成深化公共服务领域协作、干部人才交流等20项工作任务。</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2.产出</w:t>
      </w:r>
      <w:r>
        <w:rPr>
          <w:rFonts w:ascii="仿宋_GB2312" w:hAnsi="宋体" w:eastAsia="仿宋_GB2312" w:cs="宋体"/>
          <w:color w:val="000000"/>
          <w:kern w:val="0"/>
          <w:sz w:val="32"/>
          <w:szCs w:val="32"/>
          <w:highlight w:val="none"/>
        </w:rPr>
        <w:t>质量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2023年以来，我委</w:t>
      </w:r>
      <w:r>
        <w:rPr>
          <w:rFonts w:hint="eastAsia" w:ascii="仿宋_GB2312" w:hAnsi="宋体" w:eastAsia="仿宋_GB2312" w:cs="宋体"/>
          <w:color w:val="000000"/>
          <w:kern w:val="0"/>
          <w:sz w:val="32"/>
          <w:szCs w:val="32"/>
        </w:rPr>
        <w:t>统筹</w:t>
      </w:r>
      <w:r>
        <w:rPr>
          <w:rFonts w:ascii="仿宋_GB2312" w:hAnsi="宋体" w:eastAsia="仿宋_GB2312" w:cs="宋体"/>
          <w:color w:val="000000"/>
          <w:kern w:val="0"/>
          <w:sz w:val="32"/>
          <w:szCs w:val="32"/>
        </w:rPr>
        <w:t>抓好</w:t>
      </w:r>
      <w:r>
        <w:rPr>
          <w:rFonts w:hint="eastAsia" w:ascii="仿宋_GB2312" w:hAnsi="宋体" w:eastAsia="仿宋_GB2312" w:cs="宋体"/>
          <w:color w:val="000000"/>
          <w:kern w:val="0"/>
          <w:sz w:val="32"/>
          <w:szCs w:val="32"/>
        </w:rPr>
        <w:t>经济运行</w:t>
      </w:r>
      <w:r>
        <w:rPr>
          <w:rFonts w:ascii="仿宋_GB2312" w:hAnsi="宋体" w:eastAsia="仿宋_GB2312" w:cs="宋体"/>
          <w:color w:val="000000"/>
          <w:kern w:val="0"/>
          <w:sz w:val="32"/>
          <w:szCs w:val="32"/>
        </w:rPr>
        <w:t>与</w:t>
      </w:r>
      <w:r>
        <w:rPr>
          <w:rFonts w:hint="eastAsia" w:ascii="仿宋_GB2312" w:hAnsi="宋体" w:eastAsia="仿宋_GB2312" w:cs="宋体"/>
          <w:color w:val="000000"/>
          <w:kern w:val="0"/>
          <w:sz w:val="32"/>
          <w:szCs w:val="32"/>
        </w:rPr>
        <w:t>投资</w:t>
      </w:r>
      <w:r>
        <w:rPr>
          <w:rFonts w:ascii="仿宋_GB2312" w:hAnsi="宋体" w:eastAsia="仿宋_GB2312" w:cs="宋体"/>
          <w:color w:val="000000"/>
          <w:kern w:val="0"/>
          <w:sz w:val="32"/>
          <w:szCs w:val="32"/>
        </w:rPr>
        <w:t>调度，</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全力推动全区经济社会高质量发展。</w:t>
      </w:r>
      <w:r>
        <w:rPr>
          <w:rFonts w:hint="eastAsia" w:ascii="仿宋_GB2312" w:hAnsi="仿宋_GB2312" w:eastAsia="仿宋_GB2312" w:cs="仿宋_GB2312"/>
          <w:b/>
          <w:bCs/>
          <w:color w:val="000000" w:themeColor="text1"/>
          <w:kern w:val="0"/>
          <w:sz w:val="32"/>
          <w:szCs w:val="32"/>
          <w:lang w:eastAsia="zh-CN" w:bidi="ar"/>
          <w14:textFill>
            <w14:solidFill>
              <w14:schemeClr w14:val="tx1"/>
            </w14:solidFill>
          </w14:textFill>
        </w:rPr>
        <w:t>一是</w:t>
      </w:r>
      <w:r>
        <w:rPr>
          <w:rFonts w:hint="eastAsia" w:ascii="仿宋_GB2312" w:hAnsi="Times New Roman" w:eastAsia="仿宋_GB2312" w:cs="Times New Roman"/>
          <w:sz w:val="32"/>
          <w:szCs w:val="32"/>
          <w:lang w:eastAsia="zh-CN"/>
        </w:rPr>
        <w:t>精准开展投资挖潜</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坚持抓新开、抓续建、抓增量</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抓储备“</w:t>
      </w:r>
      <w:r>
        <w:rPr>
          <w:rFonts w:hint="eastAsia" w:ascii="仿宋_GB2312" w:hAnsi="宋体" w:eastAsia="仿宋_GB2312" w:cs="宋体"/>
          <w:color w:val="000000"/>
          <w:kern w:val="0"/>
          <w:sz w:val="32"/>
          <w:szCs w:val="32"/>
        </w:rPr>
        <w:t>四抓</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促</w:t>
      </w:r>
      <w:r>
        <w:rPr>
          <w:rFonts w:ascii="仿宋_GB2312" w:hAnsi="宋体" w:eastAsia="仿宋_GB2312" w:cs="宋体"/>
          <w:color w:val="000000"/>
          <w:kern w:val="0"/>
          <w:sz w:val="32"/>
          <w:szCs w:val="32"/>
        </w:rPr>
        <w:t>投资</w:t>
      </w:r>
      <w:r>
        <w:rPr>
          <w:rFonts w:hint="eastAsia" w:ascii="仿宋_GB2312" w:hAnsi="宋体" w:eastAsia="仿宋_GB2312" w:cs="宋体"/>
          <w:color w:val="000000"/>
          <w:kern w:val="0"/>
          <w:sz w:val="32"/>
          <w:szCs w:val="32"/>
        </w:rPr>
        <w:t>，全力保障政府投资项目建设资金</w:t>
      </w:r>
      <w:r>
        <w:rPr>
          <w:rFonts w:hint="eastAsia" w:ascii="仿宋_GB2312" w:hAnsi="宋体" w:eastAsia="仿宋_GB2312" w:cs="宋体"/>
          <w:color w:val="000000"/>
          <w:kern w:val="0"/>
          <w:sz w:val="32"/>
          <w:szCs w:val="32"/>
          <w:lang w:eastAsia="zh-CN"/>
        </w:rPr>
        <w:t>，开展</w:t>
      </w:r>
      <w:r>
        <w:rPr>
          <w:rFonts w:hint="eastAsia" w:ascii="仿宋_GB2312" w:hAnsi="宋体" w:eastAsia="仿宋_GB2312" w:cs="宋体"/>
          <w:color w:val="000000"/>
          <w:kern w:val="0"/>
          <w:sz w:val="32"/>
          <w:szCs w:val="32"/>
        </w:rPr>
        <w:t>重大项目规划谋划工作</w:t>
      </w:r>
      <w:r>
        <w:rPr>
          <w:rFonts w:hint="eastAsia" w:ascii="仿宋_GB2312" w:hAnsi="宋体" w:eastAsia="仿宋_GB2312" w:cs="宋体"/>
          <w:color w:val="000000"/>
          <w:kern w:val="0"/>
          <w:sz w:val="32"/>
          <w:szCs w:val="32"/>
          <w:lang w:eastAsia="zh-CN"/>
        </w:rPr>
        <w:t>，</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灾后恢复重建加速推进</w:t>
      </w:r>
      <w:r>
        <w:rPr>
          <w:rFonts w:hint="eastAsia" w:ascii="仿宋_GB2312" w:hAnsi="仿宋_GB2312" w:eastAsia="仿宋_GB2312" w:cs="仿宋_GB2312"/>
          <w:color w:val="000000" w:themeColor="text1"/>
          <w:kern w:val="0"/>
          <w:sz w:val="32"/>
          <w:szCs w:val="32"/>
          <w:lang w:eastAsia="zh-CN" w:bidi="ar"/>
          <w14:textFill>
            <w14:solidFill>
              <w14:schemeClr w14:val="tx1"/>
            </w14:solidFill>
          </w14:textFill>
        </w:rPr>
        <w:t>。</w:t>
      </w:r>
      <w:r>
        <w:rPr>
          <w:rFonts w:hint="eastAsia" w:ascii="仿宋_GB2312" w:hAnsi="宋体" w:eastAsia="仿宋_GB2312" w:cs="宋体"/>
          <w:b/>
          <w:bCs/>
          <w:color w:val="000000"/>
          <w:kern w:val="0"/>
          <w:sz w:val="32"/>
          <w:szCs w:val="32"/>
          <w:lang w:eastAsia="zh-CN"/>
        </w:rPr>
        <w:t>二是</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做优做强企业服务，</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营商环境持续优化提升</w:t>
      </w:r>
      <w:r>
        <w:rPr>
          <w:rFonts w:hint="eastAsia" w:ascii="仿宋_GB2312" w:hAnsi="仿宋_GB2312" w:eastAsia="仿宋_GB2312" w:cs="仿宋_GB2312"/>
          <w:color w:val="000000" w:themeColor="text1"/>
          <w:kern w:val="0"/>
          <w:sz w:val="32"/>
          <w:szCs w:val="32"/>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创新推出“服务包”双管家服务机制。</w:t>
      </w:r>
      <w:r>
        <w:rPr>
          <w:rFonts w:hint="eastAsia" w:ascii="仿宋_GB2312" w:hAnsi="仿宋_GB2312" w:eastAsia="仿宋_GB2312" w:cs="仿宋_GB2312"/>
          <w:b/>
          <w:bCs/>
          <w:color w:val="000000" w:themeColor="text1"/>
          <w:kern w:val="0"/>
          <w:sz w:val="32"/>
          <w:szCs w:val="32"/>
          <w:lang w:eastAsia="zh-CN" w:bidi="ar"/>
          <w14:textFill>
            <w14:solidFill>
              <w14:schemeClr w14:val="tx1"/>
            </w14:solidFill>
          </w14:textFill>
        </w:rPr>
        <w:t>三是</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科学谋划，</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京津冀协同发展深入实施</w:t>
      </w:r>
      <w:r>
        <w:rPr>
          <w:rFonts w:hint="eastAsia" w:ascii="仿宋_GB2312" w:hAnsi="仿宋_GB2312" w:eastAsia="仿宋_GB2312" w:cs="仿宋_GB2312"/>
          <w:color w:val="000000" w:themeColor="text1"/>
          <w:kern w:val="0"/>
          <w:sz w:val="32"/>
          <w:szCs w:val="32"/>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率先开展京雄科创走廊建设研究，围绕加强京津冀区域产业协作，促进京津冀资源交互共享、科技成果转化，推动产业链延伸布局。</w:t>
      </w:r>
      <w:r>
        <w:rPr>
          <w:rFonts w:hint="eastAsia" w:ascii="仿宋_GB2312" w:hAnsi="仿宋_GB2312" w:eastAsia="仿宋_GB2312" w:cs="仿宋_GB2312"/>
          <w:b/>
          <w:bCs/>
          <w:color w:val="000000" w:themeColor="text1"/>
          <w:kern w:val="0"/>
          <w:sz w:val="32"/>
          <w:szCs w:val="32"/>
          <w:lang w:eastAsia="zh-CN" w:bidi="ar"/>
          <w14:textFill>
            <w14:solidFill>
              <w14:schemeClr w14:val="tx1"/>
            </w14:solidFill>
          </w14:textFill>
        </w:rPr>
        <w:t>四是</w:t>
      </w:r>
      <w:r>
        <w:rPr>
          <w:rFonts w:hint="eastAsia" w:ascii="仿宋_GB2312" w:hAnsi="仿宋_GB2312" w:eastAsia="仿宋_GB2312" w:cs="仿宋_GB2312"/>
          <w:color w:val="000000" w:themeColor="text1"/>
          <w:kern w:val="0"/>
          <w:sz w:val="32"/>
          <w:szCs w:val="32"/>
          <w:lang w:val="en-GB" w:bidi="ar"/>
          <w14:textFill>
            <w14:solidFill>
              <w14:schemeClr w14:val="tx1"/>
            </w14:solidFill>
          </w14:textFill>
        </w:rPr>
        <w:t>“疏整促”专项行动实施有力</w:t>
      </w:r>
      <w:r>
        <w:rPr>
          <w:rFonts w:hint="eastAsia" w:ascii="仿宋_GB2312" w:hAnsi="仿宋_GB2312" w:eastAsia="仿宋_GB2312" w:cs="仿宋_GB2312"/>
          <w:color w:val="000000" w:themeColor="text1"/>
          <w:kern w:val="0"/>
          <w:sz w:val="32"/>
          <w:szCs w:val="32"/>
          <w:lang w:val="en-GB" w:eastAsia="zh-CN" w:bidi="ar"/>
          <w14:textFill>
            <w14:solidFill>
              <w14:schemeClr w14:val="tx1"/>
            </w14:solidFill>
          </w14:textFill>
        </w:rPr>
        <w:t>，</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21项疏整促量化任务指标全部完成，养老助餐点等6项任务超额完成</w:t>
      </w:r>
      <w:r>
        <w:rPr>
          <w:rFonts w:hint="eastAsia" w:ascii="仿宋_GB2312" w:hAnsi="仿宋_GB2312" w:eastAsia="仿宋_GB2312" w:cs="仿宋_GB2312"/>
          <w:color w:val="000000" w:themeColor="text1"/>
          <w:kern w:val="0"/>
          <w:sz w:val="32"/>
          <w:szCs w:val="32"/>
          <w:lang w:val="en-GB" w:bidi="ar"/>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产出进度</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各项工作目标任务均按时效进度推进完成。</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产出成本</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成本控制在预算批复内，达到了预期绩效目标。</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1.经济</w:t>
      </w:r>
      <w:r>
        <w:rPr>
          <w:rFonts w:ascii="仿宋_GB2312" w:hAnsi="宋体" w:eastAsia="仿宋_GB2312" w:cs="宋体"/>
          <w:color w:val="000000"/>
          <w:kern w:val="0"/>
          <w:sz w:val="32"/>
          <w:szCs w:val="32"/>
          <w:highlight w:val="none"/>
        </w:rPr>
        <w:t>效益</w:t>
      </w:r>
    </w:p>
    <w:p>
      <w:pPr>
        <w:spacing w:line="560" w:lineRule="exact"/>
        <w:ind w:firstLine="642" w:firstLineChars="200"/>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val="en-US" w:eastAsia="zh-CN" w:bidi="ar"/>
          <w14:textFill>
            <w14:solidFill>
              <w14:schemeClr w14:val="tx1"/>
            </w14:solidFill>
          </w14:textFill>
        </w:rPr>
        <w:t>一是</w:t>
      </w:r>
      <w:r>
        <w:rPr>
          <w:rFonts w:hint="eastAsia" w:ascii="仿宋_GB2312" w:hAnsi="宋体" w:eastAsia="仿宋_GB2312" w:cs="Times New Roman"/>
          <w:sz w:val="32"/>
          <w:szCs w:val="32"/>
        </w:rPr>
        <w:t>发布倍增计划、伙伴计划，成功举办首届倍增追赶合作发展丰台大会，公布首批45家链长单位、456家发展伙伴名单，凝聚合作发展共识，深化政企合作共建</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有效推动各类发展伙伴共同参与创新生态建设</w:t>
      </w:r>
      <w:r>
        <w:rPr>
          <w:rFonts w:hint="eastAsia" w:ascii="仿宋_GB2312" w:hAnsi="宋体" w:eastAsia="仿宋_GB2312" w:cs="Times New Roman"/>
          <w:sz w:val="32"/>
          <w:szCs w:val="32"/>
          <w:lang w:eastAsia="zh-CN"/>
        </w:rPr>
        <w:t>。</w:t>
      </w:r>
      <w:r>
        <w:rPr>
          <w:rFonts w:hint="eastAsia" w:ascii="仿宋_GB2312" w:hAnsi="宋体" w:eastAsia="仿宋_GB2312" w:cs="Times New Roman"/>
          <w:b/>
          <w:bCs/>
          <w:sz w:val="32"/>
          <w:szCs w:val="32"/>
          <w:lang w:eastAsia="zh-CN"/>
        </w:rPr>
        <w:t>二是</w:t>
      </w:r>
      <w:r>
        <w:rPr>
          <w:rFonts w:hint="eastAsia" w:ascii="仿宋_GB2312" w:hAnsi="宋体" w:eastAsia="仿宋_GB2312" w:cs="Times New Roman"/>
          <w:sz w:val="32"/>
          <w:szCs w:val="32"/>
          <w:lang w:eastAsia="zh-CN"/>
        </w:rPr>
        <w:t>深化前瞻性产业研究，</w:t>
      </w:r>
      <w:r>
        <w:rPr>
          <w:rFonts w:hint="eastAsia" w:ascii="仿宋_GB2312" w:hAnsi="宋体" w:eastAsia="仿宋_GB2312" w:cs="Times New Roman"/>
          <w:sz w:val="32"/>
          <w:szCs w:val="32"/>
        </w:rPr>
        <w:t>牵头推动13个领域完成产业链图谱绘制，发布智能建造、高端商务等7个重点产业领域支持政策，促进产业蓬勃发展。</w:t>
      </w:r>
      <w:r>
        <w:rPr>
          <w:rFonts w:hint="eastAsia" w:ascii="仿宋_GB2312" w:hAnsi="宋体" w:eastAsia="仿宋_GB2312" w:cs="Times New Roman"/>
          <w:b/>
          <w:bCs/>
          <w:sz w:val="32"/>
          <w:szCs w:val="32"/>
          <w:lang w:eastAsia="zh-CN"/>
        </w:rPr>
        <w:t>三是</w:t>
      </w:r>
      <w:r>
        <w:rPr>
          <w:rFonts w:hint="eastAsia" w:ascii="仿宋_GB2312" w:hAnsi="宋体" w:eastAsia="仿宋_GB2312" w:cs="Times New Roman"/>
          <w:sz w:val="32"/>
          <w:szCs w:val="32"/>
          <w:lang w:eastAsia="zh-CN"/>
        </w:rPr>
        <w:t>积极开展项目策划谋划储存投资动能，着眼稳存量、拓增量，紧盯重大项目建设，优化投资结构，全力推动投资规模量质提升。</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2.社会效益</w:t>
      </w:r>
    </w:p>
    <w:p>
      <w:pPr>
        <w:pStyle w:val="2"/>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eastAsia="仿宋_GB2312"/>
          <w:lang w:eastAsia="zh-CN"/>
        </w:rPr>
      </w:pPr>
      <w:r>
        <w:rPr>
          <w:rFonts w:hint="eastAsia" w:ascii="仿宋_GB2312" w:hAnsi="仿宋_GB2312" w:eastAsia="仿宋_GB2312" w:cs="仿宋_GB2312"/>
          <w:b/>
          <w:bCs/>
          <w:color w:val="000000" w:themeColor="text1"/>
          <w:kern w:val="0"/>
          <w:sz w:val="32"/>
          <w:szCs w:val="32"/>
          <w:lang w:val="en-US" w:eastAsia="zh-CN" w:bidi="ar"/>
          <w14:textFill>
            <w14:solidFill>
              <w14:schemeClr w14:val="tx1"/>
            </w14:solidFill>
          </w14:textFill>
        </w:rPr>
        <w:t>一是</w:t>
      </w:r>
      <w:r>
        <w:rPr>
          <w:rFonts w:hint="eastAsia" w:ascii="仿宋" w:hAnsi="仿宋" w:eastAsia="仿宋_GB2312" w:cs="仿宋_GB2312"/>
          <w:bCs/>
          <w:color w:val="auto"/>
          <w:sz w:val="32"/>
          <w:szCs w:val="32"/>
        </w:rPr>
        <w:t>大力优化区域营商环境</w:t>
      </w:r>
      <w:r>
        <w:rPr>
          <w:rFonts w:hint="eastAsia" w:ascii="仿宋" w:hAnsi="仿宋" w:eastAsia="仿宋_GB2312" w:cs="仿宋_GB2312"/>
          <w:bCs/>
          <w:color w:val="auto"/>
          <w:sz w:val="32"/>
          <w:szCs w:val="32"/>
          <w:lang w:eastAsia="zh-CN"/>
        </w:rPr>
        <w:t>，</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全面落实营商环境6.0版改革任务</w:t>
      </w:r>
      <w:r>
        <w:rPr>
          <w:rFonts w:hint="eastAsia" w:ascii="仿宋_GB2312" w:hAnsi="仿宋_GB2312" w:eastAsia="仿宋_GB2312" w:cs="仿宋_GB2312"/>
          <w:color w:val="000000" w:themeColor="text1"/>
          <w:kern w:val="0"/>
          <w:sz w:val="32"/>
          <w:szCs w:val="32"/>
          <w:lang w:eastAsia="zh-CN" w:bidi="ar"/>
          <w14:textFill>
            <w14:solidFill>
              <w14:schemeClr w14:val="tx1"/>
            </w14:solidFill>
          </w14:textFill>
        </w:rPr>
        <w:t>。</w:t>
      </w:r>
      <w:r>
        <w:rPr>
          <w:rFonts w:hint="eastAsia" w:ascii="仿宋_GB2312" w:hAnsi="仿宋_GB2312" w:eastAsia="仿宋_GB2312" w:cs="仿宋_GB2312"/>
          <w:b/>
          <w:bCs/>
          <w:color w:val="000000" w:themeColor="text1"/>
          <w:kern w:val="0"/>
          <w:sz w:val="32"/>
          <w:szCs w:val="32"/>
          <w:lang w:eastAsia="zh-CN" w:bidi="ar"/>
          <w14:textFill>
            <w14:solidFill>
              <w14:schemeClr w14:val="tx1"/>
            </w14:solidFill>
          </w14:textFill>
        </w:rPr>
        <w:t>二是</w:t>
      </w:r>
      <w:r>
        <w:rPr>
          <w:rFonts w:hint="eastAsia" w:ascii="仿宋_GB2312" w:hAnsi="仿宋_GB2312" w:eastAsia="仿宋_GB2312" w:cs="仿宋_GB2312"/>
          <w:sz w:val="32"/>
          <w:szCs w:val="32"/>
          <w:lang w:val="en-GB"/>
        </w:rPr>
        <w:t>纵深推进新一轮“疏解整治促提升”专项行动，全力推动倍增追赶、合作发展，平稳有序推动“疏整促”专项任务实施</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b/>
          <w:bCs/>
          <w:sz w:val="32"/>
          <w:szCs w:val="32"/>
          <w:lang w:val="en-GB" w:eastAsia="zh-CN"/>
        </w:rPr>
        <w:t>三是</w:t>
      </w:r>
      <w:r>
        <w:rPr>
          <w:rFonts w:hint="eastAsia" w:ascii="仿宋_GB2312" w:hAnsi="仿宋_GB2312" w:eastAsia="仿宋_GB2312" w:cs="仿宋_GB2312"/>
          <w:sz w:val="32"/>
          <w:szCs w:val="32"/>
          <w:lang w:val="en-US" w:eastAsia="zh-CN"/>
        </w:rPr>
        <w:t>开展节能宣传周活动，通过发放宣传资料、张贴海报等多种途径向市民普及绿色发展理念，引导全民开展节粮、节水、节电、绿色消费、绿色出行等绿色低碳实践，推动形成绿色低碳的生产方式。</w:t>
      </w:r>
      <w:r>
        <w:rPr>
          <w:rFonts w:hint="eastAsia" w:ascii="仿宋_GB2312" w:hAnsi="仿宋_GB2312" w:eastAsia="仿宋_GB2312" w:cs="仿宋_GB2312"/>
          <w:b/>
          <w:bCs/>
          <w:sz w:val="32"/>
          <w:szCs w:val="32"/>
          <w:lang w:val="en-US" w:eastAsia="zh-CN"/>
        </w:rPr>
        <w:t>四是</w:t>
      </w:r>
      <w:r>
        <w:rPr>
          <w:rFonts w:hint="eastAsia" w:ascii="仿宋_GB2312" w:eastAsia="仿宋_GB2312"/>
          <w:sz w:val="32"/>
          <w:szCs w:val="32"/>
        </w:rPr>
        <w:t>聚焦人民群众生产生活秩序，生活必需品价稳量足</w:t>
      </w:r>
      <w:r>
        <w:rPr>
          <w:rFonts w:hint="eastAsia" w:ascii="仿宋_GB2312"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 xml:space="preserve">3. </w:t>
      </w:r>
      <w:r>
        <w:rPr>
          <w:rFonts w:hint="eastAsia" w:ascii="仿宋_GB2312" w:hAnsi="宋体" w:eastAsia="仿宋_GB2312" w:cs="宋体"/>
          <w:color w:val="000000"/>
          <w:kern w:val="0"/>
          <w:sz w:val="32"/>
          <w:szCs w:val="32"/>
          <w:highlight w:val="none"/>
        </w:rPr>
        <w:t>环境效益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2023年以来，我委</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充分发挥区委生态文明委推动形成绿色发展方式和生活方式工作小组牵头作用，印发实施2023年绿色小组工作要点和塑料污染治理工作要点。围绕“节能降碳，你我同行”主题，开展系列政企联动、线上线下互通的节能宣传周活动。</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楷体_GB2312" w:eastAsia="楷体_GB2312"/>
          <w:sz w:val="32"/>
          <w:szCs w:val="32"/>
          <w:highlight w:val="none"/>
        </w:rPr>
      </w:pPr>
      <w:r>
        <w:rPr>
          <w:rFonts w:hint="eastAsia" w:ascii="楷体_GB2312" w:eastAsia="楷体_GB2312"/>
          <w:sz w:val="32"/>
          <w:szCs w:val="32"/>
          <w:highlight w:val="none"/>
        </w:rPr>
        <w:t>（一）财务管理</w:t>
      </w:r>
    </w:p>
    <w:p>
      <w:pPr>
        <w:keepNext w:val="0"/>
        <w:keepLines w:val="0"/>
        <w:pageBreakBefore w:val="0"/>
        <w:kinsoku/>
        <w:wordWrap/>
        <w:overflowPunct/>
        <w:topLinePunct w:val="0"/>
        <w:autoSpaceDE/>
        <w:autoSpaceDN/>
        <w:bidi w:val="0"/>
        <w:adjustRightInd/>
        <w:snapToGrid/>
        <w:spacing w:line="560" w:lineRule="exact"/>
        <w:ind w:left="105" w:leftChars="50" w:firstLine="480" w:firstLineChars="15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eastAsia="zh-CN"/>
        </w:rPr>
        <w:t>依据相关法律法规，</w:t>
      </w:r>
      <w:r>
        <w:rPr>
          <w:rFonts w:hint="eastAsia" w:ascii="仿宋_GB2312" w:hAnsi="宋体" w:eastAsia="仿宋_GB2312" w:cs="宋体"/>
          <w:color w:val="000000"/>
          <w:kern w:val="0"/>
          <w:sz w:val="32"/>
          <w:szCs w:val="32"/>
          <w:lang w:val="en-US" w:eastAsia="zh-CN" w:bidi="ar-SA"/>
        </w:rPr>
        <w:t>结合单位实际情况</w:t>
      </w:r>
      <w:r>
        <w:rPr>
          <w:rFonts w:hint="eastAsia" w:ascii="仿宋_GB2312" w:eastAsia="仿宋_GB2312" w:cs="宋体"/>
          <w:color w:val="000000"/>
          <w:kern w:val="0"/>
          <w:sz w:val="32"/>
          <w:szCs w:val="32"/>
          <w:lang w:val="en-US" w:eastAsia="zh-CN" w:bidi="ar-SA"/>
        </w:rPr>
        <w:t>，</w:t>
      </w:r>
      <w:r>
        <w:rPr>
          <w:rFonts w:hint="eastAsia" w:ascii="仿宋_GB2312" w:hAnsi="宋体" w:eastAsia="仿宋_GB2312" w:cs="宋体"/>
          <w:color w:val="000000"/>
          <w:kern w:val="0"/>
          <w:sz w:val="32"/>
          <w:szCs w:val="32"/>
          <w:lang w:val="en-US" w:eastAsia="zh-CN" w:bidi="ar-SA"/>
        </w:rPr>
        <w:t>严格按照《政府会计制度》等相关文件规定，以及丰台区发展和改革委员会内部控制制度进行项目管理。</w:t>
      </w:r>
    </w:p>
    <w:p>
      <w:pPr>
        <w:keepNext w:val="0"/>
        <w:keepLines w:val="0"/>
        <w:pageBreakBefore w:val="0"/>
        <w:kinsoku/>
        <w:wordWrap/>
        <w:overflowPunct/>
        <w:topLinePunct w:val="0"/>
        <w:autoSpaceDE/>
        <w:autoSpaceDN/>
        <w:bidi w:val="0"/>
        <w:adjustRightInd/>
        <w:snapToGrid/>
        <w:spacing w:line="560" w:lineRule="exact"/>
        <w:ind w:left="105" w:leftChars="50" w:firstLine="480" w:firstLineChars="15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bidi="ar-SA"/>
        </w:rPr>
        <w:t>严格资金支出审批流程，按照业务事项审批和财务事项审批并行的管理模式，按规定权限履行经费审批手续，合理合规使用预算资金。</w:t>
      </w:r>
    </w:p>
    <w:p>
      <w:pPr>
        <w:keepNext w:val="0"/>
        <w:keepLines w:val="0"/>
        <w:pageBreakBefore w:val="0"/>
        <w:kinsoku/>
        <w:wordWrap/>
        <w:overflowPunct/>
        <w:topLinePunct w:val="0"/>
        <w:autoSpaceDE/>
        <w:autoSpaceDN/>
        <w:bidi w:val="0"/>
        <w:adjustRightInd/>
        <w:snapToGrid/>
        <w:spacing w:line="560" w:lineRule="exact"/>
        <w:ind w:left="105" w:leftChars="50" w:firstLine="480" w:firstLineChars="150"/>
        <w:textAlignment w:val="auto"/>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keepNext w:val="0"/>
        <w:keepLines w:val="0"/>
        <w:pageBreakBefore w:val="0"/>
        <w:kinsoku/>
        <w:wordWrap/>
        <w:overflowPunct/>
        <w:topLinePunct w:val="0"/>
        <w:autoSpaceDE/>
        <w:autoSpaceDN/>
        <w:bidi w:val="0"/>
        <w:adjustRightInd/>
        <w:snapToGrid/>
        <w:spacing w:line="560" w:lineRule="exact"/>
        <w:ind w:left="105" w:leftChars="50" w:firstLine="480" w:firstLineChars="15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本委</w:t>
      </w:r>
      <w:r>
        <w:rPr>
          <w:rFonts w:hint="eastAsia" w:ascii="仿宋_GB2312" w:hAnsi="宋体" w:eastAsia="仿宋_GB2312" w:cs="宋体"/>
          <w:color w:val="000000"/>
          <w:kern w:val="0"/>
          <w:sz w:val="32"/>
          <w:szCs w:val="32"/>
        </w:rPr>
        <w:t>严格根据经济业务实际，按照《中华人民共和国会计法》《中华人民共和国预算法》和《政府会计准则》开展会计核算、编制财务报表报告。使用“</w:t>
      </w:r>
      <w:r>
        <w:rPr>
          <w:rFonts w:hint="eastAsia" w:ascii="仿宋_GB2312" w:hAnsi="宋体" w:eastAsia="仿宋_GB2312" w:cs="宋体"/>
          <w:color w:val="000000"/>
          <w:kern w:val="0"/>
          <w:sz w:val="32"/>
          <w:szCs w:val="32"/>
          <w:lang w:eastAsia="zh-CN"/>
        </w:rPr>
        <w:t>预算</w:t>
      </w:r>
      <w:r>
        <w:rPr>
          <w:rFonts w:hint="eastAsia" w:ascii="仿宋_GB2312" w:hAnsi="宋体" w:eastAsia="仿宋_GB2312" w:cs="宋体"/>
          <w:color w:val="000000"/>
          <w:kern w:val="0"/>
          <w:sz w:val="32"/>
          <w:szCs w:val="32"/>
        </w:rPr>
        <w:t>一体化管理平台”的预算管理模块开展预算申报、审核和编制工作</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指标查询和执行进度管理等工作；使用用友</w:t>
      </w:r>
      <w:r>
        <w:rPr>
          <w:rFonts w:hint="eastAsia" w:ascii="仿宋_GB2312" w:hAnsi="宋体" w:eastAsia="仿宋_GB2312" w:cs="宋体"/>
          <w:color w:val="000000"/>
          <w:kern w:val="0"/>
          <w:sz w:val="32"/>
          <w:szCs w:val="32"/>
          <w:lang w:val="en-US" w:eastAsia="zh-CN"/>
        </w:rPr>
        <w:t>A++</w:t>
      </w:r>
      <w:r>
        <w:rPr>
          <w:rFonts w:hint="eastAsia" w:ascii="仿宋_GB2312" w:hAnsi="宋体" w:eastAsia="仿宋_GB2312" w:cs="宋体"/>
          <w:color w:val="000000"/>
          <w:kern w:val="0"/>
          <w:sz w:val="32"/>
          <w:szCs w:val="32"/>
        </w:rPr>
        <w:t>会计核算，保证了各项财务会计信息的真实、完整、准确。</w:t>
      </w:r>
    </w:p>
    <w:p>
      <w:pPr>
        <w:keepNext w:val="0"/>
        <w:keepLines w:val="0"/>
        <w:pageBreakBefore w:val="0"/>
        <w:numPr>
          <w:ilvl w:val="0"/>
          <w:numId w:val="2"/>
        </w:numPr>
        <w:kinsoku/>
        <w:wordWrap/>
        <w:overflowPunct/>
        <w:topLinePunct w:val="0"/>
        <w:autoSpaceDE/>
        <w:autoSpaceDN/>
        <w:bidi w:val="0"/>
        <w:adjustRightInd/>
        <w:snapToGrid/>
        <w:spacing w:line="560" w:lineRule="exact"/>
        <w:ind w:left="105" w:leftChars="50" w:firstLine="480" w:firstLineChars="150"/>
        <w:textAlignment w:val="auto"/>
        <w:rPr>
          <w:rFonts w:hint="eastAsia" w:ascii="楷体_GB2312" w:eastAsia="楷体_GB2312"/>
          <w:sz w:val="32"/>
          <w:szCs w:val="32"/>
        </w:rPr>
      </w:pPr>
      <w:r>
        <w:rPr>
          <w:rFonts w:hint="eastAsia" w:ascii="楷体_GB2312" w:eastAsia="楷体_GB2312"/>
          <w:sz w:val="32"/>
          <w:szCs w:val="32"/>
        </w:rPr>
        <w:t>资产管理</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楷体_GB2312" w:eastAsia="仿宋_GB2312"/>
          <w:sz w:val="32"/>
          <w:szCs w:val="32"/>
          <w:lang w:eastAsia="zh-CN"/>
        </w:rPr>
      </w:pPr>
      <w:r>
        <w:rPr>
          <w:rFonts w:hint="eastAsia" w:ascii="仿宋_GB2312" w:hAnsi="宋体" w:eastAsia="仿宋_GB2312" w:cs="宋体"/>
          <w:color w:val="000000"/>
          <w:kern w:val="0"/>
          <w:sz w:val="32"/>
          <w:szCs w:val="32"/>
        </w:rPr>
        <w:t>明确职责分工，细化工作流程，建立固定资产购置、登记、发放、调拨、报废、清查的全过程监管机制，保障资产的安全和完整，提高资产使用效率，有效保证单位行政运行的需要</w:t>
      </w:r>
      <w:r>
        <w:rPr>
          <w:rFonts w:hint="eastAsia" w:ascii="仿宋_GB2312"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防止国有资产的流失</w:t>
      </w:r>
      <w:r>
        <w:rPr>
          <w:rFonts w:hint="eastAsia" w:ascii="仿宋_GB2312" w:hAnsi="宋体" w:eastAsia="仿宋_GB2312" w:cs="宋体"/>
          <w:color w:val="000000"/>
          <w:kern w:val="0"/>
          <w:sz w:val="32"/>
          <w:szCs w:val="32"/>
        </w:rPr>
        <w:t>。</w:t>
      </w:r>
    </w:p>
    <w:p>
      <w:pPr>
        <w:keepNext w:val="0"/>
        <w:keepLines w:val="0"/>
        <w:pageBreakBefore w:val="0"/>
        <w:kinsoku/>
        <w:wordWrap/>
        <w:overflowPunct/>
        <w:topLinePunct w:val="0"/>
        <w:autoSpaceDE/>
        <w:autoSpaceDN/>
        <w:bidi w:val="0"/>
        <w:spacing w:line="560" w:lineRule="exact"/>
        <w:ind w:left="105" w:leftChars="50" w:firstLine="480" w:firstLineChars="150"/>
        <w:textAlignment w:val="auto"/>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alibri" w:eastAsia="仿宋_GB2312" w:cs="仿宋_GB2312"/>
          <w:kern w:val="0"/>
          <w:sz w:val="32"/>
          <w:szCs w:val="32"/>
          <w:lang w:val="en-US" w:eastAsia="zh-CN" w:bidi="ar"/>
        </w:rPr>
      </w:pPr>
      <w:r>
        <w:rPr>
          <w:rFonts w:hint="eastAsia" w:ascii="仿宋_GB2312" w:hAnsi="宋体" w:eastAsia="仿宋_GB2312" w:cs="宋体"/>
          <w:color w:val="000000"/>
          <w:kern w:val="0"/>
          <w:sz w:val="32"/>
          <w:szCs w:val="32"/>
          <w:lang w:eastAsia="zh-CN"/>
        </w:rPr>
        <w:t>区</w:t>
      </w:r>
      <w:r>
        <w:rPr>
          <w:rFonts w:hint="eastAsia" w:ascii="仿宋_GB2312" w:hAnsi="宋体" w:eastAsia="仿宋_GB2312" w:cs="宋体"/>
          <w:color w:val="000000"/>
          <w:kern w:val="0"/>
          <w:sz w:val="32"/>
          <w:szCs w:val="32"/>
        </w:rPr>
        <w:t>发展改革委</w:t>
      </w:r>
      <w:r>
        <w:rPr>
          <w:rFonts w:hint="eastAsia" w:ascii="仿宋_GB2312" w:eastAsia="仿宋_GB2312"/>
          <w:sz w:val="32"/>
          <w:szCs w:val="32"/>
        </w:rPr>
        <w:t>严把预算关口，</w:t>
      </w:r>
      <w:r>
        <w:rPr>
          <w:rFonts w:hint="eastAsia" w:ascii="仿宋_GB2312" w:hAnsi="Calibri" w:eastAsia="仿宋_GB2312" w:cs="Calibri"/>
          <w:sz w:val="32"/>
          <w:szCs w:val="32"/>
        </w:rPr>
        <w:t>贯彻落实</w:t>
      </w:r>
      <w:r>
        <w:rPr>
          <w:rFonts w:hint="eastAsia" w:ascii="仿宋_GB2312" w:hAnsi="宋体" w:eastAsia="仿宋_GB2312" w:cs="宋体"/>
          <w:color w:val="000000"/>
          <w:kern w:val="0"/>
          <w:sz w:val="32"/>
          <w:szCs w:val="32"/>
        </w:rPr>
        <w:t>全面预算绩效管理要求，深化全过程预算绩效管理，</w:t>
      </w:r>
      <w:r>
        <w:rPr>
          <w:rFonts w:hint="eastAsia" w:ascii="仿宋_GB2312" w:hAnsi="Calibri" w:eastAsia="仿宋_GB2312" w:cs="仿宋_GB2312"/>
          <w:kern w:val="0"/>
          <w:sz w:val="32"/>
          <w:szCs w:val="32"/>
          <w:lang w:val="en-US" w:eastAsia="zh-CN" w:bidi="ar"/>
        </w:rPr>
        <w:t>强化预算部门绩效管理的主体责任，将绩效目标、绩效监控、部门自评等绩效工具，作为提高资金使用效益的重要抓手。</w:t>
      </w:r>
      <w:r>
        <w:rPr>
          <w:rFonts w:hint="eastAsia" w:ascii="仿宋_GB2312" w:eastAsia="仿宋_GB2312"/>
          <w:sz w:val="32"/>
          <w:szCs w:val="32"/>
        </w:rPr>
        <w:t>扎实</w:t>
      </w:r>
      <w:r>
        <w:rPr>
          <w:rFonts w:hint="eastAsia" w:ascii="仿宋_GB2312" w:hAnsi="Calibri" w:eastAsia="仿宋_GB2312" w:cs="Calibri"/>
          <w:sz w:val="32"/>
          <w:szCs w:val="32"/>
        </w:rPr>
        <w:t>开展项目经费</w:t>
      </w:r>
      <w:r>
        <w:rPr>
          <w:rFonts w:hint="eastAsia" w:ascii="仿宋_GB2312" w:eastAsia="仿宋_GB2312"/>
          <w:sz w:val="32"/>
          <w:szCs w:val="32"/>
        </w:rPr>
        <w:t>预算绩效评价工作。组织</w:t>
      </w:r>
      <w:r>
        <w:rPr>
          <w:rFonts w:hint="eastAsia" w:ascii="仿宋_GB2312" w:eastAsia="仿宋_GB2312"/>
          <w:sz w:val="32"/>
          <w:szCs w:val="32"/>
          <w:lang w:eastAsia="zh-CN"/>
        </w:rPr>
        <w:t>各科室、办、中心</w:t>
      </w:r>
      <w:r>
        <w:rPr>
          <w:rFonts w:hint="eastAsia" w:ascii="仿宋_GB2312" w:eastAsia="仿宋_GB2312"/>
          <w:sz w:val="32"/>
          <w:szCs w:val="32"/>
        </w:rPr>
        <w:t>有序开展绩效评价工作，</w:t>
      </w:r>
      <w:r>
        <w:rPr>
          <w:rFonts w:hint="eastAsia" w:ascii="仿宋_GB2312" w:hAnsi="Calibri" w:eastAsia="仿宋_GB2312" w:cs="Calibri"/>
          <w:sz w:val="32"/>
          <w:szCs w:val="32"/>
        </w:rPr>
        <w:t>一方面</w:t>
      </w:r>
      <w:r>
        <w:rPr>
          <w:rFonts w:hint="eastAsia" w:ascii="仿宋_GB2312" w:eastAsia="仿宋_GB2312"/>
          <w:sz w:val="32"/>
          <w:szCs w:val="32"/>
        </w:rPr>
        <w:t>积极收集、分析项目绩效执行信息，认真分析研判未完成绩效目标及指标的原因，研究并提出解决措施</w:t>
      </w:r>
      <w:r>
        <w:rPr>
          <w:rFonts w:hint="eastAsia" w:ascii="仿宋_GB2312" w:eastAsia="仿宋_GB2312"/>
          <w:sz w:val="32"/>
          <w:szCs w:val="32"/>
          <w:lang w:eastAsia="zh-CN"/>
        </w:rPr>
        <w:t>。</w:t>
      </w:r>
    </w:p>
    <w:p>
      <w:pPr>
        <w:keepNext w:val="0"/>
        <w:keepLines w:val="0"/>
        <w:pageBreakBefore w:val="0"/>
        <w:numPr>
          <w:ilvl w:val="0"/>
          <w:numId w:val="2"/>
        </w:numPr>
        <w:kinsoku/>
        <w:wordWrap/>
        <w:overflowPunct/>
        <w:topLinePunct w:val="0"/>
        <w:autoSpaceDE/>
        <w:autoSpaceDN/>
        <w:bidi w:val="0"/>
        <w:spacing w:line="560" w:lineRule="exact"/>
        <w:ind w:left="105" w:leftChars="50" w:firstLine="480" w:firstLineChars="150"/>
        <w:textAlignment w:val="auto"/>
        <w:rPr>
          <w:rFonts w:hint="eastAsia" w:ascii="楷体_GB2312" w:eastAsia="楷体_GB2312"/>
          <w:sz w:val="32"/>
          <w:szCs w:val="32"/>
          <w:highlight w:val="none"/>
        </w:rPr>
      </w:pPr>
      <w:r>
        <w:rPr>
          <w:rFonts w:hint="eastAsia" w:ascii="楷体_GB2312" w:eastAsia="楷体_GB2312"/>
          <w:sz w:val="32"/>
          <w:szCs w:val="32"/>
          <w:highlight w:val="none"/>
        </w:rPr>
        <w:t>结转结余率</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firstLine="640" w:firstLineChars="200"/>
        <w:jc w:val="both"/>
        <w:textAlignment w:val="auto"/>
      </w:pPr>
      <w:r>
        <w:rPr>
          <w:rFonts w:hint="eastAsia" w:ascii="仿宋_GB2312" w:hAnsi="Times New Roman" w:eastAsia="仿宋_GB2312" w:cs="Times New Roman"/>
          <w:kern w:val="2"/>
          <w:sz w:val="32"/>
          <w:szCs w:val="32"/>
          <w:lang w:val="en-US" w:eastAsia="zh-CN" w:bidi="ar-SA"/>
        </w:rPr>
        <w:t>2023年资金结转结余率1%。</w:t>
      </w:r>
    </w:p>
    <w:p>
      <w:pPr>
        <w:keepNext w:val="0"/>
        <w:keepLines w:val="0"/>
        <w:pageBreakBefore w:val="0"/>
        <w:numPr>
          <w:ilvl w:val="0"/>
          <w:numId w:val="2"/>
        </w:numPr>
        <w:kinsoku/>
        <w:wordWrap/>
        <w:overflowPunct/>
        <w:topLinePunct w:val="0"/>
        <w:autoSpaceDE/>
        <w:autoSpaceDN/>
        <w:bidi w:val="0"/>
        <w:spacing w:line="560" w:lineRule="exact"/>
        <w:ind w:left="105" w:leftChars="50" w:firstLine="480" w:firstLineChars="150"/>
        <w:textAlignment w:val="auto"/>
        <w:rPr>
          <w:rFonts w:ascii="楷体_GB2312" w:eastAsia="楷体_GB2312"/>
          <w:sz w:val="32"/>
          <w:szCs w:val="32"/>
          <w:highlight w:val="none"/>
        </w:rPr>
      </w:pPr>
      <w:r>
        <w:rPr>
          <w:rFonts w:hint="eastAsia" w:ascii="楷体_GB2312" w:eastAsia="楷体_GB2312"/>
          <w:sz w:val="32"/>
          <w:szCs w:val="32"/>
          <w:highlight w:val="none"/>
        </w:rPr>
        <w:t>部门</w:t>
      </w:r>
      <w:r>
        <w:rPr>
          <w:rFonts w:ascii="楷体_GB2312" w:eastAsia="楷体_GB2312"/>
          <w:sz w:val="32"/>
          <w:szCs w:val="32"/>
          <w:highlight w:val="none"/>
        </w:rPr>
        <w:t>预决算差异率</w:t>
      </w:r>
    </w:p>
    <w:p>
      <w:pPr>
        <w:keepNext w:val="0"/>
        <w:keepLines w:val="0"/>
        <w:pageBreakBefore w:val="0"/>
        <w:pBdr>
          <w:bottom w:val="single" w:color="FFFFFF" w:sz="4" w:space="31"/>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年部门预决算差异率为</w:t>
      </w:r>
      <w:r>
        <w:rPr>
          <w:rFonts w:hint="eastAsia" w:ascii="仿宋_GB2312" w:eastAsia="仿宋_GB2312"/>
          <w:sz w:val="32"/>
          <w:szCs w:val="32"/>
          <w:lang w:val="en-US" w:eastAsia="zh-CN"/>
        </w:rPr>
        <w:t>73</w:t>
      </w:r>
      <w:r>
        <w:rPr>
          <w:rFonts w:hint="eastAsia" w:ascii="仿宋_GB2312" w:eastAsia="仿宋_GB2312"/>
          <w:sz w:val="32"/>
          <w:szCs w:val="32"/>
        </w:rPr>
        <w:t>%。</w:t>
      </w:r>
    </w:p>
    <w:p>
      <w:pPr>
        <w:keepNext w:val="0"/>
        <w:keepLines w:val="0"/>
        <w:pageBreakBefore w:val="0"/>
        <w:numPr>
          <w:ilvl w:val="0"/>
          <w:numId w:val="3"/>
        </w:numPr>
        <w:pBdr>
          <w:bottom w:val="single" w:color="FFFFFF" w:sz="4" w:space="31"/>
        </w:pBdr>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总体</w:t>
      </w:r>
      <w:r>
        <w:rPr>
          <w:rFonts w:ascii="黑体" w:hAnsi="黑体" w:eastAsia="黑体"/>
          <w:sz w:val="32"/>
          <w:szCs w:val="32"/>
          <w:highlight w:val="none"/>
        </w:rPr>
        <w:t>评价结论</w:t>
      </w:r>
    </w:p>
    <w:p>
      <w:pPr>
        <w:keepNext w:val="0"/>
        <w:keepLines w:val="0"/>
        <w:pageBreakBefore w:val="0"/>
        <w:numPr>
          <w:ilvl w:val="0"/>
          <w:numId w:val="0"/>
        </w:numPr>
        <w:pBdr>
          <w:bottom w:val="single" w:color="FFFFFF" w:sz="4" w:space="31"/>
        </w:pBdr>
        <w:kinsoku/>
        <w:wordWrap/>
        <w:overflowPunct/>
        <w:topLinePunct w:val="0"/>
        <w:autoSpaceDE/>
        <w:autoSpaceDN/>
        <w:bidi w:val="0"/>
        <w:adjustRightInd w:val="0"/>
        <w:snapToGrid w:val="0"/>
        <w:spacing w:line="560" w:lineRule="exact"/>
        <w:ind w:firstLine="640" w:firstLineChars="200"/>
        <w:textAlignment w:val="auto"/>
        <w:rPr>
          <w:rFonts w:hint="eastAsia"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keepNext w:val="0"/>
        <w:keepLines w:val="0"/>
        <w:pageBreakBefore w:val="0"/>
        <w:pBdr>
          <w:bottom w:val="single" w:color="FFFFFF" w:sz="4" w:space="31"/>
        </w:pBdr>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我委开展了2023年度部门整体绩效评价，评价得分98分，评价总体结果为：优秀。</w:t>
      </w:r>
    </w:p>
    <w:p>
      <w:pPr>
        <w:keepNext w:val="0"/>
        <w:keepLines w:val="0"/>
        <w:pageBreakBefore w:val="0"/>
        <w:pBdr>
          <w:bottom w:val="single" w:color="FFFFFF" w:sz="4" w:space="31"/>
        </w:pBdr>
        <w:kinsoku/>
        <w:wordWrap/>
        <w:overflowPunct/>
        <w:topLinePunct w:val="0"/>
        <w:autoSpaceDE/>
        <w:autoSpaceDN/>
        <w:bidi w:val="0"/>
        <w:adjustRightInd w:val="0"/>
        <w:snapToGrid w:val="0"/>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（二）存在的问题及原因分析</w:t>
      </w:r>
    </w:p>
    <w:p>
      <w:pPr>
        <w:keepNext w:val="0"/>
        <w:keepLines w:val="0"/>
        <w:pageBreakBefore w:val="0"/>
        <w:pBdr>
          <w:bottom w:val="single" w:color="FFFFFF" w:sz="4" w:space="31"/>
        </w:pBdr>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我委本</w:t>
      </w:r>
      <w:r>
        <w:rPr>
          <w:rFonts w:hint="eastAsia" w:ascii="仿宋_GB2312" w:eastAsia="仿宋_GB2312"/>
          <w:sz w:val="32"/>
          <w:szCs w:val="32"/>
        </w:rPr>
        <w:t>年度财政项目支出和任务开展操作规范、依据明确，能够紧紧围绕全委中心工作，合理安排项目推进步骤，科学使用各项预算经费，资金使用合规，项目效益突出，为</w:t>
      </w:r>
      <w:r>
        <w:rPr>
          <w:rFonts w:ascii="仿宋_GB2312" w:eastAsia="仿宋_GB2312"/>
          <w:sz w:val="32"/>
          <w:szCs w:val="32"/>
        </w:rPr>
        <w:t>各项</w:t>
      </w:r>
      <w:r>
        <w:rPr>
          <w:rFonts w:hint="eastAsia" w:ascii="仿宋_GB2312" w:eastAsia="仿宋_GB2312"/>
          <w:sz w:val="32"/>
          <w:szCs w:val="32"/>
        </w:rPr>
        <w:t>发展改革工作有序开展提供了有力支撑。但在绩效评价</w:t>
      </w:r>
      <w:r>
        <w:rPr>
          <w:rFonts w:ascii="仿宋_GB2312" w:eastAsia="仿宋_GB2312"/>
          <w:sz w:val="32"/>
          <w:szCs w:val="32"/>
        </w:rPr>
        <w:t>过程中，</w:t>
      </w:r>
      <w:r>
        <w:rPr>
          <w:rFonts w:hint="eastAsia" w:ascii="仿宋_GB2312" w:eastAsia="仿宋_GB2312"/>
          <w:sz w:val="32"/>
          <w:szCs w:val="32"/>
        </w:rPr>
        <w:t>也发现个别绩效指标</w:t>
      </w:r>
      <w:r>
        <w:rPr>
          <w:rFonts w:ascii="仿宋_GB2312" w:eastAsia="仿宋_GB2312"/>
          <w:sz w:val="32"/>
          <w:szCs w:val="32"/>
        </w:rPr>
        <w:t>设置</w:t>
      </w:r>
      <w:r>
        <w:rPr>
          <w:rFonts w:hint="eastAsia" w:ascii="仿宋_GB2312" w:eastAsia="仿宋_GB2312"/>
          <w:sz w:val="32"/>
          <w:szCs w:val="32"/>
        </w:rPr>
        <w:t>的</w:t>
      </w:r>
      <w:r>
        <w:rPr>
          <w:rFonts w:ascii="仿宋_GB2312" w:eastAsia="仿宋_GB2312"/>
          <w:sz w:val="32"/>
          <w:szCs w:val="32"/>
        </w:rPr>
        <w:t>系统性</w:t>
      </w:r>
      <w:r>
        <w:rPr>
          <w:rFonts w:hint="eastAsia" w:ascii="仿宋_GB2312" w:eastAsia="仿宋_GB2312"/>
          <w:sz w:val="32"/>
          <w:szCs w:val="32"/>
        </w:rPr>
        <w:t>、</w:t>
      </w:r>
      <w:r>
        <w:rPr>
          <w:rFonts w:ascii="仿宋_GB2312" w:eastAsia="仿宋_GB2312"/>
          <w:sz w:val="32"/>
          <w:szCs w:val="32"/>
        </w:rPr>
        <w:t>完整性</w:t>
      </w:r>
      <w:r>
        <w:rPr>
          <w:rFonts w:hint="eastAsia" w:ascii="仿宋_GB2312" w:eastAsia="仿宋_GB2312"/>
          <w:sz w:val="32"/>
          <w:szCs w:val="32"/>
        </w:rPr>
        <w:t>还不够</w:t>
      </w:r>
      <w:r>
        <w:rPr>
          <w:rFonts w:ascii="仿宋_GB2312" w:eastAsia="仿宋_GB2312"/>
          <w:sz w:val="32"/>
          <w:szCs w:val="32"/>
        </w:rPr>
        <w:t>强，</w:t>
      </w:r>
      <w:r>
        <w:rPr>
          <w:rFonts w:hint="eastAsia" w:ascii="仿宋_GB2312" w:eastAsia="仿宋_GB2312"/>
          <w:sz w:val="32"/>
          <w:szCs w:val="32"/>
        </w:rPr>
        <w:t>需要进一步完善</w:t>
      </w:r>
      <w:r>
        <w:rPr>
          <w:rFonts w:ascii="仿宋_GB2312" w:eastAsia="仿宋_GB2312"/>
          <w:sz w:val="32"/>
          <w:szCs w:val="32"/>
        </w:rPr>
        <w:t>和改进。</w:t>
      </w:r>
    </w:p>
    <w:p>
      <w:pPr>
        <w:keepNext w:val="0"/>
        <w:keepLines w:val="0"/>
        <w:pageBreakBefore w:val="0"/>
        <w:pBdr>
          <w:bottom w:val="single" w:color="FFFFFF" w:sz="4" w:space="31"/>
        </w:pBd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Times New Roman"/>
          <w:sz w:val="32"/>
          <w:szCs w:val="32"/>
          <w:highlight w:val="none"/>
        </w:rPr>
      </w:pPr>
      <w:r>
        <w:rPr>
          <w:rFonts w:hint="eastAsia" w:ascii="黑体" w:hAnsi="黑体" w:eastAsia="黑体" w:cs="Times New Roman"/>
          <w:sz w:val="32"/>
          <w:szCs w:val="32"/>
          <w:highlight w:val="none"/>
          <w:lang w:eastAsia="zh-CN"/>
        </w:rPr>
        <w:t>六、</w:t>
      </w:r>
      <w:r>
        <w:rPr>
          <w:rFonts w:hint="eastAsia" w:ascii="黑体" w:hAnsi="黑体" w:eastAsia="黑体" w:cs="Times New Roman"/>
          <w:sz w:val="32"/>
          <w:szCs w:val="32"/>
          <w:highlight w:val="none"/>
        </w:rPr>
        <w:t>措施建议</w:t>
      </w:r>
    </w:p>
    <w:p>
      <w:pPr>
        <w:keepNext w:val="0"/>
        <w:keepLines w:val="0"/>
        <w:pageBreakBefore w:val="0"/>
        <w:numPr>
          <w:ilvl w:val="0"/>
          <w:numId w:val="0"/>
        </w:numPr>
        <w:pBdr>
          <w:bottom w:val="single" w:color="FFFFFF" w:sz="4" w:space="31"/>
        </w:pBdr>
        <w:kinsoku/>
        <w:wordWrap/>
        <w:overflowPunct/>
        <w:topLinePunct w:val="0"/>
        <w:autoSpaceDE/>
        <w:autoSpaceDN/>
        <w:bidi w:val="0"/>
        <w:adjustRightInd w:val="0"/>
        <w:snapToGrid w:val="0"/>
        <w:spacing w:line="560" w:lineRule="exact"/>
        <w:ind w:firstLine="640" w:firstLineChars="200"/>
        <w:textAlignment w:val="auto"/>
        <w:rPr>
          <w:rFonts w:hint="eastAsia" w:ascii="方正小标宋简体" w:eastAsia="方正小标宋简体"/>
          <w:sz w:val="36"/>
          <w:szCs w:val="36"/>
        </w:rPr>
      </w:pPr>
      <w:r>
        <w:rPr>
          <w:rFonts w:hint="eastAsia" w:ascii="仿宋_GB2312" w:hAnsi="Times New Roman" w:eastAsia="仿宋_GB2312" w:cs="Times New Roman"/>
          <w:kern w:val="2"/>
          <w:sz w:val="32"/>
          <w:szCs w:val="32"/>
          <w:lang w:val="en-US" w:eastAsia="zh-CN" w:bidi="ar-SA"/>
        </w:rPr>
        <w:t>加强财政预算绩效管理理念及目标导向意识，科学填报项目总体目标及各项绩效指标，保证绩效目标的明确性、全面性、合理性、细化量化及可考量性。</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CE2F35"/>
    <w:multiLevelType w:val="singleLevel"/>
    <w:tmpl w:val="C8CE2F35"/>
    <w:lvl w:ilvl="0" w:tentative="0">
      <w:start w:val="2"/>
      <w:numFmt w:val="chineseCounting"/>
      <w:suff w:val="nothing"/>
      <w:lvlText w:val="（%1）"/>
      <w:lvlJc w:val="left"/>
      <w:rPr>
        <w:rFonts w:hint="eastAsia"/>
      </w:rPr>
    </w:lvl>
  </w:abstractNum>
  <w:abstractNum w:abstractNumId="1">
    <w:nsid w:val="CB668DF4"/>
    <w:multiLevelType w:val="singleLevel"/>
    <w:tmpl w:val="CB668DF4"/>
    <w:lvl w:ilvl="0" w:tentative="0">
      <w:start w:val="5"/>
      <w:numFmt w:val="chineseCounting"/>
      <w:suff w:val="nothing"/>
      <w:lvlText w:val="%1、"/>
      <w:lvlJc w:val="left"/>
      <w:rPr>
        <w:rFonts w:hint="eastAsia"/>
      </w:rPr>
    </w:lvl>
  </w:abstractNum>
  <w:abstractNum w:abstractNumId="2">
    <w:nsid w:val="0577671A"/>
    <w:multiLevelType w:val="singleLevel"/>
    <w:tmpl w:val="0577671A"/>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175F53D8"/>
    <w:rsid w:val="263C7165"/>
    <w:rsid w:val="37173543"/>
    <w:rsid w:val="3FDBA076"/>
    <w:rsid w:val="3FDFB3F0"/>
    <w:rsid w:val="3FDFC9A6"/>
    <w:rsid w:val="3FF76880"/>
    <w:rsid w:val="5BFD4AC2"/>
    <w:rsid w:val="67759716"/>
    <w:rsid w:val="6F7ED27B"/>
    <w:rsid w:val="75B17A7C"/>
    <w:rsid w:val="7AB7FF50"/>
    <w:rsid w:val="7AEAF641"/>
    <w:rsid w:val="7BAD2729"/>
    <w:rsid w:val="7BFEB0DB"/>
    <w:rsid w:val="7FFF4E81"/>
    <w:rsid w:val="7FFFD0D3"/>
    <w:rsid w:val="8716660E"/>
    <w:rsid w:val="A3AA735E"/>
    <w:rsid w:val="A75D4892"/>
    <w:rsid w:val="AFFFCE02"/>
    <w:rsid w:val="BFFFD6C6"/>
    <w:rsid w:val="CEFD3F3D"/>
    <w:rsid w:val="D6B22E60"/>
    <w:rsid w:val="DEFFEA24"/>
    <w:rsid w:val="E9FF7893"/>
    <w:rsid w:val="EA3F77F2"/>
    <w:rsid w:val="EEFE5989"/>
    <w:rsid w:val="EFCF3EAE"/>
    <w:rsid w:val="F3EFF639"/>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0" w:afterAutospacing="0"/>
    </w:pPr>
  </w:style>
  <w:style w:type="paragraph" w:styleId="5">
    <w:name w:val="Normal Indent"/>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11">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2022-03-16T03:16:00Z</dcterms:created>
  <dc:creator>user</dc:creator>
  <cp:lastModifiedBy>uos</cp:lastModifiedBy>
  <cp:lastPrinted>2024-04-01T14:32:38Z</cp:lastPrinted>
  <dcterms:modified xsi:type="dcterms:W3CDTF">2024-04-01T18:55:14Z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