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E9AEA">
      <w:pPr>
        <w:widowControl/>
        <w:spacing w:line="560" w:lineRule="exact"/>
        <w:jc w:val="center"/>
        <w:rPr>
          <w:rFonts w:ascii="方正小标宋_GBK" w:hAnsi="宋体" w:eastAsia="方正小标宋_GBK" w:cs="宋体"/>
          <w:b/>
          <w:color w:val="333333"/>
          <w:kern w:val="0"/>
          <w:sz w:val="42"/>
          <w:szCs w:val="42"/>
          <w:lang w:bidi="ar"/>
        </w:rPr>
      </w:pPr>
      <w:r>
        <w:rPr>
          <w:rFonts w:hint="eastAsia" w:ascii="方正小标宋_GBK" w:hAnsi="宋体" w:eastAsia="方正小标宋_GBK" w:cs="宋体"/>
          <w:b/>
          <w:color w:val="333333"/>
          <w:kern w:val="0"/>
          <w:sz w:val="42"/>
          <w:szCs w:val="42"/>
          <w:lang w:bidi="ar"/>
        </w:rPr>
        <w:t>丰台区人民政府长辛店街道办事处</w:t>
      </w:r>
    </w:p>
    <w:p w14:paraId="35A62031">
      <w:pPr>
        <w:widowControl/>
        <w:spacing w:line="560" w:lineRule="exact"/>
        <w:jc w:val="center"/>
        <w:rPr>
          <w:rFonts w:ascii="方正小标宋_GBK" w:hAnsi="Calibri" w:eastAsia="方正小标宋_GBK" w:cs="Times New Roman"/>
          <w:b/>
          <w:color w:val="333333"/>
          <w:sz w:val="42"/>
          <w:szCs w:val="42"/>
        </w:rPr>
      </w:pPr>
      <w:r>
        <w:rPr>
          <w:rFonts w:hint="eastAsia" w:ascii="方正小标宋_GBK" w:hAnsi="宋体" w:eastAsia="方正小标宋_GBK" w:cs="宋体"/>
          <w:b/>
          <w:color w:val="333333"/>
          <w:kern w:val="0"/>
          <w:sz w:val="42"/>
          <w:szCs w:val="42"/>
          <w:lang w:bidi="ar"/>
        </w:rPr>
        <w:t>202</w:t>
      </w:r>
      <w:r>
        <w:rPr>
          <w:rFonts w:hint="eastAsia" w:ascii="方正小标宋_GBK" w:hAnsi="宋体" w:eastAsia="方正小标宋_GBK" w:cs="宋体"/>
          <w:b/>
          <w:color w:val="333333"/>
          <w:kern w:val="0"/>
          <w:sz w:val="42"/>
          <w:szCs w:val="42"/>
          <w:lang w:val="en-US" w:eastAsia="zh-CN" w:bidi="ar"/>
        </w:rPr>
        <w:t>4</w:t>
      </w:r>
      <w:r>
        <w:rPr>
          <w:rFonts w:hint="eastAsia" w:ascii="方正小标宋_GBK" w:hAnsi="宋体" w:eastAsia="方正小标宋_GBK" w:cs="宋体"/>
          <w:b/>
          <w:color w:val="333333"/>
          <w:kern w:val="0"/>
          <w:sz w:val="42"/>
          <w:szCs w:val="42"/>
          <w:lang w:bidi="ar"/>
        </w:rPr>
        <w:t>年行政执法统计年报</w:t>
      </w:r>
    </w:p>
    <w:p w14:paraId="6997B6A1">
      <w:pPr>
        <w:keepNext w:val="0"/>
        <w:keepLines w:val="0"/>
        <w:pageBreakBefore w:val="0"/>
        <w:widowControl w:val="0"/>
        <w:tabs>
          <w:tab w:val="left" w:pos="650"/>
        </w:tabs>
        <w:kinsoku/>
        <w:wordWrap/>
        <w:overflowPunct/>
        <w:topLinePunct w:val="0"/>
        <w:autoSpaceDE/>
        <w:autoSpaceDN/>
        <w:bidi w:val="0"/>
        <w:adjustRightInd/>
        <w:snapToGrid/>
        <w:spacing w:line="560" w:lineRule="exact"/>
        <w:ind w:firstLine="660"/>
        <w:jc w:val="both"/>
        <w:textAlignment w:val="auto"/>
        <w:rPr>
          <w:rFonts w:hint="eastAsia" w:ascii="仿宋_GB2312" w:eastAsia="仿宋_GB2312"/>
          <w:sz w:val="32"/>
          <w:szCs w:val="32"/>
          <w:lang w:eastAsia="zh-CN"/>
        </w:rPr>
      </w:pPr>
    </w:p>
    <w:p w14:paraId="3EB05B08">
      <w:pPr>
        <w:keepNext w:val="0"/>
        <w:keepLines w:val="0"/>
        <w:pageBreakBefore w:val="0"/>
        <w:widowControl w:val="0"/>
        <w:tabs>
          <w:tab w:val="left" w:pos="650"/>
        </w:tabs>
        <w:kinsoku/>
        <w:wordWrap/>
        <w:overflowPunct/>
        <w:topLinePunct w:val="0"/>
        <w:autoSpaceDE/>
        <w:autoSpaceDN/>
        <w:bidi w:val="0"/>
        <w:adjustRightInd/>
        <w:snapToGrid/>
        <w:spacing w:line="560" w:lineRule="exact"/>
        <w:ind w:firstLine="66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行政执法机关的执法主体名称和数量情况</w:t>
      </w:r>
    </w:p>
    <w:p w14:paraId="10D8E4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0" w:firstLineChars="0"/>
        <w:jc w:val="both"/>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执法主体名称：北京市丰台区人民政府长辛店街道办事处</w:t>
      </w:r>
    </w:p>
    <w:p w14:paraId="277CC6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0" w:firstLineChars="0"/>
        <w:jc w:val="both"/>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执法主体数量：1个。</w:t>
      </w:r>
    </w:p>
    <w:p w14:paraId="5A50B0F2">
      <w:pPr>
        <w:keepNext w:val="0"/>
        <w:keepLines w:val="0"/>
        <w:pageBreakBefore w:val="0"/>
        <w:widowControl w:val="0"/>
        <w:tabs>
          <w:tab w:val="left" w:pos="650"/>
        </w:tabs>
        <w:kinsoku/>
        <w:wordWrap/>
        <w:overflowPunct/>
        <w:topLinePunct w:val="0"/>
        <w:autoSpaceDE/>
        <w:autoSpaceDN/>
        <w:bidi w:val="0"/>
        <w:adjustRightInd/>
        <w:snapToGrid/>
        <w:spacing w:line="560" w:lineRule="exact"/>
        <w:ind w:firstLine="66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lang w:eastAsia="zh-CN"/>
        </w:rPr>
        <w:t>执法岗位设置及执法人员在岗情况</w:t>
      </w:r>
    </w:p>
    <w:p w14:paraId="354F52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长辛店街道办事处现有行政执法人员27人，27人取得执法资格。</w:t>
      </w:r>
    </w:p>
    <w:p w14:paraId="4E5D7EDF">
      <w:pPr>
        <w:keepNext w:val="0"/>
        <w:keepLines w:val="0"/>
        <w:pageBreakBefore w:val="0"/>
        <w:widowControl w:val="0"/>
        <w:tabs>
          <w:tab w:val="left" w:pos="650"/>
        </w:tabs>
        <w:kinsoku/>
        <w:wordWrap/>
        <w:overflowPunct/>
        <w:topLinePunct w:val="0"/>
        <w:autoSpaceDE/>
        <w:autoSpaceDN/>
        <w:bidi w:val="0"/>
        <w:adjustRightInd/>
        <w:snapToGrid/>
        <w:spacing w:line="560" w:lineRule="exact"/>
        <w:ind w:firstLine="66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三、执法力量投入情况</w:t>
      </w:r>
    </w:p>
    <w:p w14:paraId="45FDE4DA">
      <w:pPr>
        <w:keepNext w:val="0"/>
        <w:keepLines w:val="0"/>
        <w:pageBreakBefore w:val="0"/>
        <w:widowControl w:val="0"/>
        <w:tabs>
          <w:tab w:val="left" w:pos="650"/>
        </w:tabs>
        <w:kinsoku/>
        <w:wordWrap/>
        <w:overflowPunct/>
        <w:topLinePunct w:val="0"/>
        <w:autoSpaceDE/>
        <w:autoSpaceDN/>
        <w:bidi w:val="0"/>
        <w:adjustRightInd/>
        <w:snapToGrid/>
        <w:spacing w:line="560" w:lineRule="exact"/>
        <w:ind w:firstLine="66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25人参与日常执法（2人借调到其他部门）。</w:t>
      </w:r>
    </w:p>
    <w:p w14:paraId="3EFA649F">
      <w:pPr>
        <w:keepNext w:val="0"/>
        <w:keepLines w:val="0"/>
        <w:pageBreakBefore w:val="0"/>
        <w:widowControl w:val="0"/>
        <w:tabs>
          <w:tab w:val="left" w:pos="650"/>
        </w:tabs>
        <w:kinsoku/>
        <w:wordWrap/>
        <w:overflowPunct/>
        <w:topLinePunct w:val="0"/>
        <w:autoSpaceDE/>
        <w:autoSpaceDN/>
        <w:bidi w:val="0"/>
        <w:adjustRightInd/>
        <w:snapToGrid/>
        <w:spacing w:line="560" w:lineRule="exact"/>
        <w:ind w:firstLine="66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四、政务服务事项的办理情况</w:t>
      </w:r>
    </w:p>
    <w:p w14:paraId="0421E4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0" w:firstLineChars="0"/>
        <w:jc w:val="both"/>
        <w:textAlignment w:val="auto"/>
        <w:rPr>
          <w:rFonts w:hint="eastAsia" w:ascii="仿宋_GB2312" w:eastAsia="仿宋_GB2312"/>
          <w:color w:val="auto"/>
          <w:sz w:val="32"/>
          <w:szCs w:val="32"/>
          <w:lang w:eastAsia="zh-CN"/>
        </w:rPr>
      </w:pPr>
      <w:r>
        <w:rPr>
          <w:rFonts w:hint="eastAsia" w:ascii="仿宋_GB2312" w:eastAsia="仿宋_GB2312"/>
          <w:b/>
          <w:bCs/>
          <w:color w:val="auto"/>
          <w:sz w:val="32"/>
          <w:szCs w:val="32"/>
          <w:lang w:eastAsia="zh-CN"/>
        </w:rPr>
        <w:t>(一)强化社会化管理工作，突出为老服务</w:t>
      </w:r>
    </w:p>
    <w:p w14:paraId="0975A5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0" w:firstLineChars="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eastAsia="zh-CN"/>
        </w:rPr>
        <w:t>长辛店街道管理社会化退休人员</w:t>
      </w:r>
      <w:r>
        <w:rPr>
          <w:rFonts w:hint="eastAsia" w:ascii="仿宋_GB2312" w:eastAsia="仿宋_GB2312"/>
          <w:color w:val="auto"/>
          <w:sz w:val="32"/>
          <w:szCs w:val="32"/>
          <w:lang w:val="en-US" w:eastAsia="zh-CN"/>
        </w:rPr>
        <w:t>226121</w:t>
      </w:r>
      <w:r>
        <w:rPr>
          <w:rFonts w:hint="eastAsia" w:ascii="仿宋_GB2312" w:eastAsia="仿宋_GB2312"/>
          <w:color w:val="auto"/>
          <w:sz w:val="32"/>
          <w:szCs w:val="32"/>
          <w:lang w:eastAsia="zh-CN"/>
        </w:rPr>
        <w:t>人，新接收退休人员档案</w:t>
      </w:r>
      <w:r>
        <w:rPr>
          <w:rFonts w:hint="eastAsia" w:ascii="仿宋_GB2312" w:eastAsia="仿宋_GB2312"/>
          <w:color w:val="auto"/>
          <w:sz w:val="32"/>
          <w:szCs w:val="32"/>
          <w:lang w:val="en-US" w:eastAsia="zh-CN"/>
        </w:rPr>
        <w:t>201余份，</w:t>
      </w:r>
      <w:r>
        <w:rPr>
          <w:rFonts w:hint="eastAsia" w:ascii="仿宋_GB2312" w:eastAsia="仿宋_GB2312"/>
          <w:color w:val="auto"/>
          <w:sz w:val="32"/>
          <w:szCs w:val="32"/>
          <w:lang w:eastAsia="zh-CN"/>
        </w:rPr>
        <w:t>开据各类政审证明材料</w:t>
      </w:r>
      <w:r>
        <w:rPr>
          <w:rFonts w:hint="eastAsia" w:ascii="仿宋_GB2312" w:eastAsia="仿宋_GB2312"/>
          <w:color w:val="auto"/>
          <w:sz w:val="32"/>
          <w:szCs w:val="32"/>
          <w:lang w:val="en-US" w:eastAsia="zh-CN"/>
        </w:rPr>
        <w:t>1500</w:t>
      </w:r>
      <w:r>
        <w:rPr>
          <w:rFonts w:hint="eastAsia" w:ascii="仿宋_GB2312" w:eastAsia="仿宋_GB2312"/>
          <w:color w:val="auto"/>
          <w:sz w:val="32"/>
          <w:szCs w:val="32"/>
          <w:lang w:eastAsia="zh-CN"/>
        </w:rPr>
        <w:t>份</w:t>
      </w:r>
      <w:r>
        <w:rPr>
          <w:rFonts w:hint="eastAsia" w:ascii="仿宋_GB2312" w:eastAsia="仿宋_GB2312"/>
          <w:color w:val="auto"/>
          <w:sz w:val="32"/>
          <w:szCs w:val="32"/>
          <w:lang w:val="en-US" w:eastAsia="zh-CN"/>
        </w:rPr>
        <w:t>。</w:t>
      </w:r>
      <w:r>
        <w:rPr>
          <w:rFonts w:hint="eastAsia" w:ascii="仿宋_GB2312" w:eastAsia="仿宋_GB2312"/>
          <w:color w:val="auto"/>
          <w:sz w:val="32"/>
          <w:szCs w:val="32"/>
          <w:lang w:eastAsia="zh-CN"/>
        </w:rPr>
        <w:t>办理退休审批</w:t>
      </w:r>
      <w:r>
        <w:rPr>
          <w:rFonts w:hint="eastAsia" w:ascii="仿宋_GB2312" w:eastAsia="仿宋_GB2312"/>
          <w:color w:val="auto"/>
          <w:sz w:val="32"/>
          <w:szCs w:val="32"/>
          <w:lang w:val="en-US" w:eastAsia="zh-CN"/>
        </w:rPr>
        <w:t>208</w:t>
      </w:r>
      <w:r>
        <w:rPr>
          <w:rFonts w:hint="eastAsia" w:ascii="仿宋_GB2312" w:eastAsia="仿宋_GB2312"/>
          <w:color w:val="auto"/>
          <w:sz w:val="32"/>
          <w:szCs w:val="32"/>
          <w:lang w:eastAsia="zh-CN"/>
        </w:rPr>
        <w:t>人，修改定点医疗机构1156人次、为居民办理社保卡补换卡业务2785人次、异地就医及生存认证</w:t>
      </w:r>
      <w:r>
        <w:rPr>
          <w:rFonts w:hint="eastAsia" w:ascii="仿宋_GB2312" w:eastAsia="仿宋_GB2312"/>
          <w:color w:val="auto"/>
          <w:sz w:val="32"/>
          <w:szCs w:val="32"/>
          <w:lang w:val="en-US" w:eastAsia="zh-CN"/>
        </w:rPr>
        <w:t>869</w:t>
      </w:r>
      <w:r>
        <w:rPr>
          <w:rFonts w:hint="eastAsia" w:ascii="仿宋_GB2312" w:eastAsia="仿宋_GB2312"/>
          <w:color w:val="auto"/>
          <w:sz w:val="32"/>
          <w:szCs w:val="32"/>
          <w:lang w:eastAsia="zh-CN"/>
        </w:rPr>
        <w:t>人次；办理退休人员增员、减员</w:t>
      </w:r>
      <w:r>
        <w:rPr>
          <w:rFonts w:hint="eastAsia" w:ascii="仿宋_GB2312" w:eastAsia="仿宋_GB2312"/>
          <w:color w:val="auto"/>
          <w:sz w:val="32"/>
          <w:szCs w:val="32"/>
          <w:lang w:val="en-US" w:eastAsia="zh-CN"/>
        </w:rPr>
        <w:t>265人，</w:t>
      </w:r>
      <w:r>
        <w:rPr>
          <w:rFonts w:hint="eastAsia" w:ascii="仿宋_GB2312" w:eastAsia="仿宋_GB2312"/>
          <w:color w:val="auto"/>
          <w:sz w:val="32"/>
          <w:szCs w:val="32"/>
          <w:lang w:eastAsia="zh-CN"/>
        </w:rPr>
        <w:t>遗属待遇、个人信息变更等业务</w:t>
      </w:r>
      <w:r>
        <w:rPr>
          <w:rFonts w:hint="eastAsia" w:ascii="仿宋_GB2312" w:eastAsia="仿宋_GB2312"/>
          <w:color w:val="auto"/>
          <w:sz w:val="32"/>
          <w:szCs w:val="32"/>
          <w:lang w:val="en-US" w:eastAsia="zh-CN"/>
        </w:rPr>
        <w:t>1546</w:t>
      </w:r>
      <w:r>
        <w:rPr>
          <w:rFonts w:hint="eastAsia" w:ascii="仿宋_GB2312" w:eastAsia="仿宋_GB2312"/>
          <w:color w:val="auto"/>
          <w:sz w:val="32"/>
          <w:szCs w:val="32"/>
          <w:lang w:eastAsia="zh-CN"/>
        </w:rPr>
        <w:t>人。清洁能源分户自采暖退休人员补贴330人次19240.67元；医药费报销</w:t>
      </w:r>
      <w:r>
        <w:rPr>
          <w:rFonts w:hint="eastAsia" w:ascii="仿宋_GB2312" w:eastAsia="仿宋_GB2312"/>
          <w:color w:val="auto"/>
          <w:sz w:val="32"/>
          <w:szCs w:val="32"/>
          <w:lang w:val="en-US" w:eastAsia="zh-CN"/>
        </w:rPr>
        <w:t>850</w:t>
      </w:r>
      <w:r>
        <w:rPr>
          <w:rFonts w:hint="eastAsia" w:ascii="仿宋_GB2312" w:eastAsia="仿宋_GB2312"/>
          <w:color w:val="auto"/>
          <w:sz w:val="32"/>
          <w:szCs w:val="32"/>
          <w:lang w:eastAsia="zh-CN"/>
        </w:rPr>
        <w:t>人/次，报销医药费</w:t>
      </w:r>
      <w:r>
        <w:rPr>
          <w:rFonts w:hint="eastAsia" w:ascii="仿宋_GB2312" w:eastAsia="仿宋_GB2312"/>
          <w:color w:val="auto"/>
          <w:sz w:val="32"/>
          <w:szCs w:val="32"/>
          <w:lang w:val="en-US" w:eastAsia="zh-CN"/>
        </w:rPr>
        <w:t>240余</w:t>
      </w:r>
      <w:r>
        <w:rPr>
          <w:rFonts w:hint="eastAsia" w:ascii="仿宋_GB2312" w:eastAsia="仿宋_GB2312"/>
          <w:color w:val="auto"/>
          <w:sz w:val="32"/>
          <w:szCs w:val="32"/>
          <w:lang w:eastAsia="zh-CN"/>
        </w:rPr>
        <w:t>万元。春节走访慰问</w:t>
      </w:r>
      <w:r>
        <w:rPr>
          <w:rFonts w:hint="eastAsia" w:ascii="仿宋_GB2312" w:eastAsia="仿宋_GB2312"/>
          <w:color w:val="auto"/>
          <w:sz w:val="32"/>
          <w:szCs w:val="32"/>
          <w:lang w:val="en-US" w:eastAsia="zh-CN"/>
        </w:rPr>
        <w:t>158余名病困退休人员并发放了慰问品，组织开展了社会化退休人员“京颐杯”乡村振兴实践活动、非遗文化体验、文艺汇演、红色教育、退休人员休养、外出参观等系列活动45次,参与人数达15000余人。</w:t>
      </w:r>
    </w:p>
    <w:p w14:paraId="68809DF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60" w:firstLineChars="0"/>
        <w:jc w:val="both"/>
        <w:textAlignment w:val="auto"/>
        <w:rPr>
          <w:rFonts w:hint="eastAsia" w:ascii="仿宋_GB2312" w:eastAsia="仿宋_GB2312"/>
          <w:b/>
          <w:bCs/>
          <w:color w:val="auto"/>
          <w:sz w:val="32"/>
          <w:szCs w:val="32"/>
          <w:lang w:eastAsia="zh-CN"/>
        </w:rPr>
      </w:pPr>
      <w:r>
        <w:rPr>
          <w:rFonts w:hint="eastAsia" w:ascii="仿宋_GB2312" w:eastAsia="仿宋_GB2312"/>
          <w:b/>
          <w:bCs/>
          <w:color w:val="auto"/>
          <w:sz w:val="32"/>
          <w:szCs w:val="32"/>
          <w:lang w:eastAsia="zh-CN"/>
        </w:rPr>
        <w:t>推进就业工作</w:t>
      </w:r>
    </w:p>
    <w:p w14:paraId="582462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2024</w:t>
      </w:r>
      <w:r>
        <w:rPr>
          <w:rFonts w:hint="eastAsia" w:ascii="仿宋_GB2312" w:eastAsia="仿宋_GB2312"/>
          <w:color w:val="auto"/>
          <w:sz w:val="32"/>
          <w:szCs w:val="32"/>
          <w:lang w:eastAsia="zh-CN"/>
        </w:rPr>
        <w:t>年以来新增城镇登记失业人员</w:t>
      </w:r>
      <w:r>
        <w:rPr>
          <w:rFonts w:hint="eastAsia" w:ascii="仿宋_GB2312" w:eastAsia="仿宋_GB2312"/>
          <w:color w:val="auto"/>
          <w:sz w:val="32"/>
          <w:szCs w:val="32"/>
          <w:lang w:val="en-US" w:eastAsia="zh-CN"/>
        </w:rPr>
        <w:t>1090</w:t>
      </w:r>
      <w:r>
        <w:rPr>
          <w:rFonts w:hint="eastAsia" w:ascii="仿宋_GB2312" w:eastAsia="仿宋_GB2312"/>
          <w:color w:val="auto"/>
          <w:sz w:val="32"/>
          <w:szCs w:val="32"/>
          <w:lang w:eastAsia="zh-CN"/>
        </w:rPr>
        <w:t>人，实现就业</w:t>
      </w:r>
      <w:r>
        <w:rPr>
          <w:rFonts w:hint="eastAsia" w:ascii="仿宋_GB2312" w:eastAsia="仿宋_GB2312"/>
          <w:color w:val="auto"/>
          <w:sz w:val="32"/>
          <w:szCs w:val="32"/>
          <w:lang w:val="en-US" w:eastAsia="zh-CN"/>
        </w:rPr>
        <w:t>828</w:t>
      </w:r>
      <w:r>
        <w:rPr>
          <w:rFonts w:hint="eastAsia" w:ascii="仿宋_GB2312" w:eastAsia="仿宋_GB2312"/>
          <w:color w:val="auto"/>
          <w:sz w:val="32"/>
          <w:szCs w:val="32"/>
          <w:lang w:eastAsia="zh-CN"/>
        </w:rPr>
        <w:t>人，农村劳动力就业</w:t>
      </w:r>
      <w:r>
        <w:rPr>
          <w:rFonts w:hint="eastAsia" w:ascii="仿宋_GB2312" w:eastAsia="仿宋_GB2312"/>
          <w:color w:val="auto"/>
          <w:sz w:val="32"/>
          <w:szCs w:val="32"/>
          <w:lang w:val="en-US" w:eastAsia="zh-CN"/>
        </w:rPr>
        <w:t>65</w:t>
      </w:r>
      <w:r>
        <w:rPr>
          <w:rFonts w:hint="eastAsia" w:ascii="仿宋_GB2312" w:eastAsia="仿宋_GB2312"/>
          <w:color w:val="auto"/>
          <w:sz w:val="32"/>
          <w:szCs w:val="32"/>
          <w:lang w:eastAsia="zh-CN"/>
        </w:rPr>
        <w:t>人。</w:t>
      </w:r>
      <w:r>
        <w:rPr>
          <w:rFonts w:hint="eastAsia" w:ascii="仿宋_GB2312" w:eastAsia="仿宋_GB2312"/>
          <w:color w:val="auto"/>
          <w:sz w:val="32"/>
          <w:szCs w:val="32"/>
          <w:lang w:val="en-US" w:eastAsia="zh-CN"/>
        </w:rPr>
        <w:t>组织线上线下招聘会4场，36家单位提供869个岗位。组织五场职业指导团体课，4人参加职业技能培训，</w:t>
      </w:r>
      <w:r>
        <w:rPr>
          <w:rFonts w:hint="eastAsia" w:ascii="仿宋_GB2312" w:eastAsia="仿宋_GB2312"/>
          <w:color w:val="auto"/>
          <w:sz w:val="32"/>
          <w:szCs w:val="32"/>
          <w:lang w:eastAsia="zh-CN"/>
        </w:rPr>
        <w:t>为领失业金人员办理缴纳养老保险281人</w:t>
      </w:r>
      <w:r>
        <w:rPr>
          <w:rFonts w:hint="eastAsia" w:ascii="仿宋_GB2312" w:eastAsia="仿宋_GB2312"/>
          <w:color w:val="auto"/>
          <w:sz w:val="32"/>
          <w:szCs w:val="32"/>
          <w:lang w:val="en-US" w:eastAsia="zh-CN"/>
        </w:rPr>
        <w:t>。</w:t>
      </w:r>
    </w:p>
    <w:p w14:paraId="3BCA1E7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0" w:firstLineChars="0"/>
        <w:jc w:val="both"/>
        <w:textAlignment w:val="auto"/>
        <w:rPr>
          <w:rFonts w:hint="eastAsia" w:ascii="仿宋_GB2312" w:eastAsia="仿宋_GB2312"/>
          <w:b/>
          <w:bCs/>
          <w:color w:val="auto"/>
          <w:sz w:val="32"/>
          <w:szCs w:val="32"/>
          <w:lang w:eastAsia="zh-CN"/>
        </w:rPr>
      </w:pPr>
      <w:r>
        <w:rPr>
          <w:rFonts w:hint="eastAsia" w:ascii="仿宋_GB2312" w:eastAsia="仿宋_GB2312"/>
          <w:b/>
          <w:bCs/>
          <w:color w:val="auto"/>
          <w:sz w:val="32"/>
          <w:szCs w:val="32"/>
          <w:lang w:eastAsia="zh-CN"/>
        </w:rPr>
        <w:t>社会保险覆盖面进一步扩大</w:t>
      </w:r>
    </w:p>
    <w:p w14:paraId="3D3C05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eastAsia="zh-CN"/>
        </w:rPr>
        <w:t>20</w:t>
      </w:r>
      <w:r>
        <w:rPr>
          <w:rFonts w:hint="eastAsia" w:ascii="仿宋_GB2312" w:eastAsia="仿宋_GB2312"/>
          <w:color w:val="auto"/>
          <w:sz w:val="32"/>
          <w:szCs w:val="32"/>
          <w:lang w:val="en-US" w:eastAsia="zh-CN"/>
        </w:rPr>
        <w:t>24</w:t>
      </w:r>
      <w:r>
        <w:rPr>
          <w:rFonts w:hint="eastAsia" w:ascii="仿宋_GB2312" w:eastAsia="仿宋_GB2312"/>
          <w:color w:val="auto"/>
          <w:sz w:val="32"/>
          <w:szCs w:val="32"/>
          <w:lang w:eastAsia="zh-CN"/>
        </w:rPr>
        <w:t>年城乡居民医疗保险新参保</w:t>
      </w:r>
      <w:r>
        <w:rPr>
          <w:rFonts w:hint="eastAsia" w:ascii="仿宋_GB2312" w:eastAsia="仿宋_GB2312"/>
          <w:color w:val="auto"/>
          <w:sz w:val="32"/>
          <w:szCs w:val="32"/>
          <w:lang w:val="en-US" w:eastAsia="zh-CN"/>
        </w:rPr>
        <w:t>389</w:t>
      </w:r>
      <w:r>
        <w:rPr>
          <w:rFonts w:hint="eastAsia" w:ascii="仿宋_GB2312" w:eastAsia="仿宋_GB2312"/>
          <w:color w:val="auto"/>
          <w:sz w:val="32"/>
          <w:szCs w:val="32"/>
          <w:lang w:eastAsia="zh-CN"/>
        </w:rPr>
        <w:t>人，续保</w:t>
      </w:r>
      <w:r>
        <w:rPr>
          <w:rFonts w:hint="eastAsia" w:ascii="仿宋_GB2312" w:eastAsia="仿宋_GB2312"/>
          <w:color w:val="auto"/>
          <w:sz w:val="32"/>
          <w:szCs w:val="32"/>
          <w:lang w:val="en-US" w:eastAsia="zh-CN"/>
        </w:rPr>
        <w:t>14365</w:t>
      </w:r>
      <w:r>
        <w:rPr>
          <w:rFonts w:hint="eastAsia" w:ascii="仿宋_GB2312" w:eastAsia="仿宋_GB2312"/>
          <w:color w:val="auto"/>
          <w:sz w:val="32"/>
          <w:szCs w:val="32"/>
          <w:lang w:eastAsia="zh-CN"/>
        </w:rPr>
        <w:t>人；新增</w:t>
      </w:r>
      <w:r>
        <w:rPr>
          <w:rFonts w:hint="eastAsia" w:ascii="仿宋_GB2312" w:eastAsia="仿宋_GB2312"/>
          <w:color w:val="auto"/>
          <w:sz w:val="32"/>
          <w:szCs w:val="32"/>
          <w:lang w:val="en-US" w:eastAsia="zh-CN"/>
        </w:rPr>
        <w:t>539名</w:t>
      </w:r>
      <w:r>
        <w:rPr>
          <w:rFonts w:hint="eastAsia" w:ascii="仿宋_GB2312" w:eastAsia="仿宋_GB2312"/>
          <w:color w:val="auto"/>
          <w:sz w:val="32"/>
          <w:szCs w:val="32"/>
          <w:lang w:eastAsia="zh-CN"/>
        </w:rPr>
        <w:t>享受灵活就业人员申请了社会保险补贴，办理了参保手续，全年发放区社保补贴</w:t>
      </w:r>
      <w:r>
        <w:rPr>
          <w:rFonts w:hint="eastAsia" w:ascii="仿宋_GB2312" w:eastAsia="仿宋_GB2312"/>
          <w:color w:val="auto"/>
          <w:sz w:val="32"/>
          <w:szCs w:val="32"/>
          <w:lang w:val="en-US" w:eastAsia="zh-CN"/>
        </w:rPr>
        <w:t>1873人次，共计290.28万元</w:t>
      </w:r>
      <w:r>
        <w:rPr>
          <w:rFonts w:hint="eastAsia" w:ascii="仿宋_GB2312" w:eastAsia="仿宋_GB2312"/>
          <w:color w:val="auto"/>
          <w:sz w:val="32"/>
          <w:szCs w:val="32"/>
          <w:lang w:eastAsia="zh-CN"/>
        </w:rPr>
        <w:t>。城乡居民医疗保险新参保</w:t>
      </w:r>
      <w:r>
        <w:rPr>
          <w:rFonts w:hint="eastAsia" w:ascii="仿宋_GB2312" w:eastAsia="仿宋_GB2312"/>
          <w:color w:val="auto"/>
          <w:sz w:val="32"/>
          <w:szCs w:val="32"/>
          <w:lang w:val="en-US" w:eastAsia="zh-CN"/>
        </w:rPr>
        <w:t>148</w:t>
      </w:r>
      <w:r>
        <w:rPr>
          <w:rFonts w:hint="eastAsia" w:ascii="仿宋_GB2312" w:eastAsia="仿宋_GB2312"/>
          <w:color w:val="auto"/>
          <w:sz w:val="32"/>
          <w:szCs w:val="32"/>
          <w:lang w:eastAsia="zh-CN"/>
        </w:rPr>
        <w:t>人，办理增减员、个人信息修改、退费、异地就医等共计</w:t>
      </w:r>
      <w:r>
        <w:rPr>
          <w:rFonts w:hint="eastAsia" w:ascii="仿宋_GB2312" w:eastAsia="仿宋_GB2312"/>
          <w:color w:val="auto"/>
          <w:sz w:val="32"/>
          <w:szCs w:val="32"/>
          <w:lang w:val="en-US" w:eastAsia="zh-CN"/>
        </w:rPr>
        <w:t>352人；</w:t>
      </w:r>
      <w:r>
        <w:rPr>
          <w:rFonts w:hint="eastAsia" w:ascii="仿宋_GB2312" w:eastAsia="仿宋_GB2312"/>
          <w:color w:val="auto"/>
          <w:sz w:val="32"/>
          <w:szCs w:val="32"/>
          <w:lang w:eastAsia="zh-CN"/>
        </w:rPr>
        <w:t>城乡居民养老保险新参保</w:t>
      </w:r>
      <w:r>
        <w:rPr>
          <w:rFonts w:hint="eastAsia" w:ascii="仿宋_GB2312" w:eastAsia="仿宋_GB2312"/>
          <w:color w:val="auto"/>
          <w:sz w:val="32"/>
          <w:szCs w:val="32"/>
          <w:lang w:val="en-US" w:eastAsia="zh-CN"/>
        </w:rPr>
        <w:t>140人</w:t>
      </w:r>
      <w:r>
        <w:rPr>
          <w:rFonts w:hint="eastAsia" w:ascii="仿宋_GB2312" w:eastAsia="仿宋_GB2312"/>
          <w:color w:val="auto"/>
          <w:sz w:val="32"/>
          <w:szCs w:val="32"/>
          <w:lang w:eastAsia="zh-CN"/>
        </w:rPr>
        <w:t>。为非京籍家庭入学审核社保审核</w:t>
      </w:r>
      <w:r>
        <w:rPr>
          <w:rFonts w:hint="eastAsia" w:ascii="仿宋_GB2312" w:eastAsia="仿宋_GB2312"/>
          <w:color w:val="auto"/>
          <w:sz w:val="32"/>
          <w:szCs w:val="32"/>
          <w:lang w:val="en-US" w:eastAsia="zh-CN"/>
        </w:rPr>
        <w:t>89人次。</w:t>
      </w:r>
    </w:p>
    <w:p w14:paraId="24017A23">
      <w:pPr>
        <w:keepNext w:val="0"/>
        <w:keepLines w:val="0"/>
        <w:pageBreakBefore w:val="0"/>
        <w:widowControl w:val="0"/>
        <w:numPr>
          <w:ilvl w:val="0"/>
          <w:numId w:val="1"/>
        </w:numPr>
        <w:tabs>
          <w:tab w:val="left" w:pos="527"/>
        </w:tabs>
        <w:kinsoku/>
        <w:wordWrap/>
        <w:overflowPunct/>
        <w:topLinePunct w:val="0"/>
        <w:autoSpaceDE/>
        <w:autoSpaceDN/>
        <w:bidi w:val="0"/>
        <w:adjustRightInd/>
        <w:snapToGrid/>
        <w:spacing w:line="560" w:lineRule="exact"/>
        <w:ind w:left="0" w:leftChars="0" w:firstLine="660" w:firstLineChars="0"/>
        <w:jc w:val="both"/>
        <w:textAlignment w:val="auto"/>
        <w:rPr>
          <w:rFonts w:hint="eastAsia" w:ascii="仿宋_GB2312" w:eastAsia="仿宋_GB2312"/>
          <w:b/>
          <w:bCs/>
          <w:color w:val="auto"/>
          <w:sz w:val="32"/>
          <w:szCs w:val="32"/>
          <w:lang w:val="en-US" w:eastAsia="zh-CN"/>
        </w:rPr>
      </w:pPr>
      <w:r>
        <w:rPr>
          <w:rFonts w:hint="eastAsia" w:ascii="仿宋_GB2312" w:eastAsia="仿宋_GB2312"/>
          <w:b/>
          <w:bCs/>
          <w:color w:val="auto"/>
          <w:sz w:val="32"/>
          <w:szCs w:val="32"/>
          <w:lang w:val="en-US" w:eastAsia="zh-CN"/>
        </w:rPr>
        <w:t>做好低保兜底服务保障</w:t>
      </w:r>
    </w:p>
    <w:p w14:paraId="77D18B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现有城低保374户、666人，农低保9户、18人，低收入16户、31人，集中供养9人，分散供养7人。截至2024年11月，发放救助金（低保、低收入、农低保、特困人员）1138万元；高等教育新生入学救助4人，1.8万元，急难型临时救助97人，33.8万元，对困难家庭开展临时救助52</w:t>
      </w:r>
      <w:bookmarkStart w:id="0" w:name="_GoBack"/>
      <w:bookmarkEnd w:id="0"/>
      <w:r>
        <w:rPr>
          <w:rFonts w:hint="eastAsia" w:ascii="仿宋_GB2312" w:eastAsia="仿宋_GB2312"/>
          <w:color w:val="auto"/>
          <w:sz w:val="32"/>
          <w:szCs w:val="32"/>
          <w:lang w:val="en-US" w:eastAsia="zh-CN"/>
        </w:rPr>
        <w:t>人次、2.6万元。</w:t>
      </w:r>
    </w:p>
    <w:p w14:paraId="2E4BA15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0" w:firstLineChars="0"/>
        <w:jc w:val="both"/>
        <w:textAlignment w:val="auto"/>
        <w:rPr>
          <w:rFonts w:hint="eastAsia" w:ascii="仿宋_GB2312" w:eastAsia="仿宋_GB2312"/>
          <w:b/>
          <w:bCs/>
          <w:color w:val="auto"/>
          <w:sz w:val="32"/>
          <w:szCs w:val="32"/>
          <w:lang w:val="en-US" w:eastAsia="zh-CN"/>
        </w:rPr>
      </w:pPr>
      <w:r>
        <w:rPr>
          <w:rFonts w:hint="eastAsia" w:ascii="仿宋_GB2312" w:eastAsia="仿宋_GB2312"/>
          <w:b/>
          <w:bCs/>
          <w:color w:val="auto"/>
          <w:sz w:val="32"/>
          <w:szCs w:val="32"/>
          <w:lang w:val="en-US" w:eastAsia="zh-CN"/>
        </w:rPr>
        <w:t>做好残疾人服务保障</w:t>
      </w:r>
    </w:p>
    <w:p w14:paraId="2F689B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现有残疾人2888人，其中2024年新增106人，严重精神障碍患者340人。全年共发放困难残疾人生活补贴194万元；重度残疾人生活补贴53.53万元；儿童康复补贴5.5万元、燃油补贴106人，共计2.7万元；安置残疾人就业3人；两节期间走访慰问困难残疾人家庭461户，发放慰问金37余万元；六一儿童节走访慰问残疾儿童28人；申请辅助器具578人；完成残疾人居家环境无障碍改造15户18人。积极争取区残联专项资金10万元，在中奥嘉园社区创建“一刻钟无障碍便民服务圈”。完成1个街道级温馨家园及朱南、赵辛店村、长辛店村3个社区村级温馨家园建设。</w:t>
      </w:r>
    </w:p>
    <w:p w14:paraId="7AC4165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0" w:firstLineChars="0"/>
        <w:jc w:val="both"/>
        <w:textAlignment w:val="auto"/>
        <w:rPr>
          <w:rFonts w:hint="eastAsia" w:ascii="仿宋_GB2312" w:eastAsia="仿宋_GB2312"/>
          <w:b/>
          <w:bCs/>
          <w:color w:val="auto"/>
          <w:sz w:val="32"/>
          <w:szCs w:val="32"/>
          <w:lang w:val="en-US" w:eastAsia="zh-CN"/>
        </w:rPr>
      </w:pPr>
      <w:r>
        <w:rPr>
          <w:rFonts w:hint="eastAsia" w:ascii="仿宋_GB2312" w:eastAsia="仿宋_GB2312"/>
          <w:b/>
          <w:bCs/>
          <w:color w:val="auto"/>
          <w:sz w:val="32"/>
          <w:szCs w:val="32"/>
          <w:lang w:val="en-US" w:eastAsia="zh-CN"/>
        </w:rPr>
        <w:t>扩大住房保障覆盖面</w:t>
      </w:r>
    </w:p>
    <w:p w14:paraId="09456C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
          <w:bCs/>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现有配售经适房470户、限价房639户，享受公租房721户，廉租房33户，享受公租房补贴209户，享受市场租房补贴318户。截至2024年11月，各类资格新申请125户；进行公租房、公补、市补复核共796户；办理各类资格变更129户；终止资格187户；市补新签续签合同388户，公补新签续签68户；安排选房登记4批次，成功办理入住40户；处理违规家庭18户。</w:t>
      </w:r>
    </w:p>
    <w:p w14:paraId="37A0F0E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0" w:firstLineChars="0"/>
        <w:jc w:val="both"/>
        <w:textAlignment w:val="auto"/>
        <w:rPr>
          <w:rFonts w:hint="eastAsia" w:ascii="仿宋_GB2312" w:eastAsia="仿宋_GB2312"/>
          <w:b/>
          <w:bCs/>
          <w:color w:val="auto"/>
          <w:sz w:val="32"/>
          <w:szCs w:val="32"/>
          <w:lang w:val="en-US" w:eastAsia="zh-CN"/>
        </w:rPr>
      </w:pPr>
      <w:r>
        <w:rPr>
          <w:rFonts w:hint="eastAsia" w:ascii="仿宋_GB2312" w:eastAsia="仿宋_GB2312"/>
          <w:b/>
          <w:bCs/>
          <w:color w:val="auto"/>
          <w:sz w:val="32"/>
          <w:szCs w:val="32"/>
          <w:lang w:val="en-US" w:eastAsia="zh-CN"/>
        </w:rPr>
        <w:t>退役军人各类服务活动</w:t>
      </w:r>
    </w:p>
    <w:p w14:paraId="3EB73C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0" w:firstLineChars="0"/>
        <w:jc w:val="both"/>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管理退役军人2348人，春节走访慰问家庭困难退役军人和抗美援朝老兵92人次，送去了慰问金和慰问品。街道退役军人服务站开展主要教育实践活动、观影4次；社区（村）服务站开展各项活动123次；上报送信息材料140篇，区采用111篇，在区排名前五。</w:t>
      </w:r>
    </w:p>
    <w:p w14:paraId="0A6409D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0" w:firstLineChars="0"/>
        <w:jc w:val="both"/>
        <w:textAlignment w:val="auto"/>
        <w:rPr>
          <w:rFonts w:hint="eastAsia" w:ascii="仿宋_GB2312" w:eastAsia="仿宋_GB2312"/>
          <w:b/>
          <w:bCs/>
          <w:color w:val="auto"/>
          <w:sz w:val="32"/>
          <w:szCs w:val="32"/>
          <w:lang w:val="en-US" w:eastAsia="zh-CN"/>
        </w:rPr>
      </w:pPr>
      <w:r>
        <w:rPr>
          <w:rFonts w:hint="eastAsia" w:ascii="仿宋_GB2312" w:eastAsia="仿宋_GB2312"/>
          <w:b/>
          <w:bCs/>
          <w:color w:val="auto"/>
          <w:sz w:val="32"/>
          <w:szCs w:val="32"/>
          <w:lang w:val="en-US" w:eastAsia="zh-CN"/>
        </w:rPr>
        <w:t>信息公开及信访工作情况</w:t>
      </w:r>
    </w:p>
    <w:p w14:paraId="2F79064F">
      <w:pPr>
        <w:keepNext w:val="0"/>
        <w:keepLines w:val="0"/>
        <w:pageBreakBefore w:val="0"/>
        <w:widowControl w:val="0"/>
        <w:tabs>
          <w:tab w:val="left" w:pos="650"/>
        </w:tabs>
        <w:kinsoku/>
        <w:wordWrap/>
        <w:overflowPunct/>
        <w:topLinePunct w:val="0"/>
        <w:autoSpaceDE/>
        <w:autoSpaceDN/>
        <w:bidi w:val="0"/>
        <w:adjustRightInd/>
        <w:snapToGrid/>
        <w:spacing w:line="560" w:lineRule="exact"/>
        <w:ind w:firstLine="66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2024年度政府网站公开信息525条，其中街镇动态信息数493条，丰台区政府网站长辛店街道执法检查公示13条、基本信息8、综合公示1条，政府公告1条，领导介绍4条，政府信息公开年报1条，主动公开全清单1条，2023年部门（单位）决算信息公开1条，2024年部门（单位）预算信息公开1条，法治政府建设年度情况报告1条。截至2024年12月底街道微信公众号共推送信息1657条，其中原创174条，微博发布1020条，总阅读数157.01万次，各类市、区媒刊登长辛店街道报道125篇次。街道畅通依申请公开受理渠道，全年共受理依申请公开事项14件，其中EMS邮寄申请4件，当面申请10件。全部按时办结并按期答复。</w:t>
      </w:r>
    </w:p>
    <w:p w14:paraId="104D274A">
      <w:pPr>
        <w:keepNext w:val="0"/>
        <w:keepLines w:val="0"/>
        <w:pageBreakBefore w:val="0"/>
        <w:widowControl w:val="0"/>
        <w:tabs>
          <w:tab w:val="left" w:pos="650"/>
        </w:tabs>
        <w:kinsoku/>
        <w:wordWrap/>
        <w:overflowPunct/>
        <w:topLinePunct w:val="0"/>
        <w:autoSpaceDE/>
        <w:autoSpaceDN/>
        <w:bidi w:val="0"/>
        <w:adjustRightInd/>
        <w:snapToGrid/>
        <w:spacing w:line="560" w:lineRule="exact"/>
        <w:ind w:firstLine="66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全年共处理各类矛盾纠纷件120次，170人次，建议件3件次，3人次，接待来访64批次，97人次。</w:t>
      </w:r>
    </w:p>
    <w:p w14:paraId="092DCF75">
      <w:pPr>
        <w:keepNext w:val="0"/>
        <w:keepLines w:val="0"/>
        <w:pageBreakBefore w:val="0"/>
        <w:widowControl w:val="0"/>
        <w:tabs>
          <w:tab w:val="left" w:pos="650"/>
        </w:tabs>
        <w:kinsoku/>
        <w:wordWrap/>
        <w:overflowPunct/>
        <w:topLinePunct w:val="0"/>
        <w:autoSpaceDE/>
        <w:autoSpaceDN/>
        <w:bidi w:val="0"/>
        <w:adjustRightInd/>
        <w:snapToGrid/>
        <w:spacing w:line="560" w:lineRule="exact"/>
        <w:ind w:firstLine="66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五、行政检查计划执行情况</w:t>
      </w:r>
    </w:p>
    <w:p w14:paraId="64F3AC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eastAsia="仿宋_GB2312"/>
          <w:color w:val="auto"/>
          <w:sz w:val="32"/>
          <w:szCs w:val="32"/>
          <w:lang w:val="en-US" w:eastAsia="zh-CN"/>
        </w:rPr>
      </w:pPr>
      <w:r>
        <w:rPr>
          <w:rFonts w:hint="default" w:ascii="仿宋_GB2312" w:eastAsia="仿宋_GB2312"/>
          <w:color w:val="auto"/>
          <w:sz w:val="32"/>
          <w:szCs w:val="32"/>
          <w:lang w:val="en-US" w:eastAsia="zh-CN"/>
        </w:rPr>
        <w:t>执法检查计划已按照计划全部完成，主要工作完成情况如下：</w:t>
      </w:r>
    </w:p>
    <w:p w14:paraId="09DDF1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eastAsia="仿宋_GB2312"/>
          <w:b/>
          <w:bCs/>
          <w:color w:val="auto"/>
          <w:sz w:val="32"/>
          <w:szCs w:val="32"/>
          <w:lang w:val="en-US" w:eastAsia="zh-CN"/>
        </w:rPr>
      </w:pPr>
      <w:r>
        <w:rPr>
          <w:rFonts w:hint="default" w:ascii="仿宋_GB2312" w:eastAsia="仿宋_GB2312"/>
          <w:b/>
          <w:bCs/>
          <w:color w:val="auto"/>
          <w:sz w:val="32"/>
          <w:szCs w:val="32"/>
          <w:lang w:val="en-US" w:eastAsia="zh-CN"/>
        </w:rPr>
        <w:t>（</w:t>
      </w:r>
      <w:r>
        <w:rPr>
          <w:rFonts w:hint="eastAsia" w:ascii="仿宋_GB2312" w:eastAsia="仿宋_GB2312"/>
          <w:b/>
          <w:bCs/>
          <w:color w:val="auto"/>
          <w:sz w:val="32"/>
          <w:szCs w:val="32"/>
          <w:lang w:val="en-US" w:eastAsia="zh-CN"/>
        </w:rPr>
        <w:t>一</w:t>
      </w:r>
      <w:r>
        <w:rPr>
          <w:rFonts w:hint="default" w:ascii="仿宋_GB2312" w:eastAsia="仿宋_GB2312"/>
          <w:b/>
          <w:bCs/>
          <w:color w:val="auto"/>
          <w:sz w:val="32"/>
          <w:szCs w:val="32"/>
          <w:lang w:val="en-US" w:eastAsia="zh-CN"/>
        </w:rPr>
        <w:t>）街面环境秩序治理工作</w:t>
      </w:r>
    </w:p>
    <w:p w14:paraId="292D95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eastAsia="仿宋_GB2312"/>
          <w:color w:val="auto"/>
          <w:sz w:val="32"/>
          <w:szCs w:val="32"/>
          <w:lang w:val="en-US" w:eastAsia="zh-CN"/>
        </w:rPr>
      </w:pPr>
      <w:r>
        <w:rPr>
          <w:rFonts w:hint="default" w:ascii="仿宋_GB2312" w:eastAsia="仿宋_GB2312"/>
          <w:color w:val="auto"/>
          <w:sz w:val="32"/>
          <w:szCs w:val="32"/>
          <w:lang w:val="en-US" w:eastAsia="zh-CN"/>
        </w:rPr>
        <w:t>加大执法力度,严惩街头无照经营摊贩，合理调配段执法力量，定人、定时、定点、定岗、定责，坚定有序推进占道经营整治有效落实，实现了举报同比下降、治理点位持续良好；加大对店外经营、乱堆物料、非法小广告、户外广告牌匾的查处力度，确保街面环境秩序持续良好。</w:t>
      </w:r>
    </w:p>
    <w:p w14:paraId="1428D5F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jc w:val="both"/>
        <w:textAlignment w:val="auto"/>
        <w:rPr>
          <w:rFonts w:hint="default" w:ascii="仿宋_GB2312" w:eastAsia="仿宋_GB2312"/>
          <w:b/>
          <w:bCs/>
          <w:color w:val="auto"/>
          <w:sz w:val="32"/>
          <w:szCs w:val="32"/>
          <w:lang w:val="en-US" w:eastAsia="zh-CN"/>
        </w:rPr>
      </w:pPr>
      <w:r>
        <w:rPr>
          <w:rFonts w:hint="default" w:ascii="仿宋_GB2312" w:eastAsia="仿宋_GB2312"/>
          <w:b/>
          <w:bCs/>
          <w:color w:val="auto"/>
          <w:sz w:val="32"/>
          <w:szCs w:val="32"/>
          <w:lang w:val="en-US" w:eastAsia="zh-CN"/>
        </w:rPr>
        <w:t>生活垃圾分类执法工作</w:t>
      </w:r>
    </w:p>
    <w:p w14:paraId="205CC4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color w:val="auto"/>
          <w:sz w:val="32"/>
          <w:szCs w:val="32"/>
          <w:lang w:val="en-US" w:eastAsia="zh-CN"/>
        </w:rPr>
      </w:pPr>
      <w:r>
        <w:rPr>
          <w:rFonts w:hint="default" w:ascii="仿宋_GB2312" w:eastAsia="仿宋_GB2312"/>
          <w:color w:val="auto"/>
          <w:sz w:val="32"/>
          <w:szCs w:val="32"/>
          <w:lang w:val="en-US" w:eastAsia="zh-CN"/>
        </w:rPr>
        <w:t>街道综合行政执法队成立垃圾分类专项工作小组，采用日常巡查和错时突查相结合的方式，对辖区内各商超市场、餐饮单位、居住小区、学校以及加油站等企事业单位垃圾分类工作落实情况进行多轮次全覆盖的检查，重点检查举报高发区域，对拒不听从劝阻、屡教不改的个人或单位依法查处。</w:t>
      </w:r>
    </w:p>
    <w:p w14:paraId="7D2262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eastAsia="仿宋_GB2312"/>
          <w:b/>
          <w:bCs/>
          <w:color w:val="auto"/>
          <w:sz w:val="32"/>
          <w:szCs w:val="32"/>
          <w:lang w:val="en-US" w:eastAsia="zh-CN"/>
        </w:rPr>
      </w:pPr>
      <w:r>
        <w:rPr>
          <w:rFonts w:hint="default" w:ascii="仿宋_GB2312" w:eastAsia="仿宋_GB2312"/>
          <w:b/>
          <w:bCs/>
          <w:color w:val="auto"/>
          <w:sz w:val="32"/>
          <w:szCs w:val="32"/>
          <w:lang w:val="en-US" w:eastAsia="zh-CN"/>
        </w:rPr>
        <w:t>（</w:t>
      </w:r>
      <w:r>
        <w:rPr>
          <w:rFonts w:hint="eastAsia" w:ascii="仿宋_GB2312" w:eastAsia="仿宋_GB2312"/>
          <w:b/>
          <w:bCs/>
          <w:color w:val="auto"/>
          <w:sz w:val="32"/>
          <w:szCs w:val="32"/>
          <w:lang w:val="en-US" w:eastAsia="zh-CN"/>
        </w:rPr>
        <w:t>三</w:t>
      </w:r>
      <w:r>
        <w:rPr>
          <w:rFonts w:hint="default" w:ascii="仿宋_GB2312" w:eastAsia="仿宋_GB2312"/>
          <w:b/>
          <w:bCs/>
          <w:color w:val="auto"/>
          <w:sz w:val="32"/>
          <w:szCs w:val="32"/>
          <w:lang w:val="en-US" w:eastAsia="zh-CN"/>
        </w:rPr>
        <w:t>）大气污染防治执法工作</w:t>
      </w:r>
    </w:p>
    <w:p w14:paraId="3BBC56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eastAsia="仿宋_GB2312"/>
          <w:color w:val="auto"/>
          <w:sz w:val="32"/>
          <w:szCs w:val="32"/>
          <w:lang w:val="en-US" w:eastAsia="zh-CN"/>
        </w:rPr>
      </w:pPr>
      <w:r>
        <w:rPr>
          <w:rFonts w:hint="default" w:ascii="仿宋_GB2312" w:eastAsia="仿宋_GB2312"/>
          <w:color w:val="auto"/>
          <w:sz w:val="32"/>
          <w:szCs w:val="32"/>
          <w:lang w:val="en-US" w:eastAsia="zh-CN"/>
        </w:rPr>
        <w:t>针对大气污染防治、施工工地扬尘、建筑垃圾运输泄漏遗撒和擅自进行夜间施工等问题，进行全覆盖的执法检查。针对辖区内举报量高发的施工工地，执法队加强夜间巡视检查，做好群众和施工方的沟通协调工作，减少夜施举报量；利用视频监控、扬尘监测设备等技术手段，对施工工地进行实时监控。</w:t>
      </w:r>
    </w:p>
    <w:p w14:paraId="49D319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eastAsia="仿宋_GB2312"/>
          <w:b/>
          <w:bCs/>
          <w:color w:val="auto"/>
          <w:sz w:val="32"/>
          <w:szCs w:val="32"/>
          <w:lang w:val="en-US" w:eastAsia="zh-CN"/>
        </w:rPr>
      </w:pPr>
      <w:r>
        <w:rPr>
          <w:rFonts w:hint="default" w:ascii="仿宋_GB2312" w:eastAsia="仿宋_GB2312"/>
          <w:b/>
          <w:bCs/>
          <w:color w:val="auto"/>
          <w:sz w:val="32"/>
          <w:szCs w:val="32"/>
          <w:lang w:val="en-US" w:eastAsia="zh-CN"/>
        </w:rPr>
        <w:t>（</w:t>
      </w:r>
      <w:r>
        <w:rPr>
          <w:rFonts w:hint="eastAsia" w:ascii="仿宋_GB2312" w:eastAsia="仿宋_GB2312"/>
          <w:b/>
          <w:bCs/>
          <w:color w:val="auto"/>
          <w:sz w:val="32"/>
          <w:szCs w:val="32"/>
          <w:lang w:val="en-US" w:eastAsia="zh-CN"/>
        </w:rPr>
        <w:t>四</w:t>
      </w:r>
      <w:r>
        <w:rPr>
          <w:rFonts w:hint="default" w:ascii="仿宋_GB2312" w:eastAsia="仿宋_GB2312"/>
          <w:b/>
          <w:bCs/>
          <w:color w:val="auto"/>
          <w:sz w:val="32"/>
          <w:szCs w:val="32"/>
          <w:lang w:val="en-US" w:eastAsia="zh-CN"/>
        </w:rPr>
        <w:t>）燃气安全执法工作</w:t>
      </w:r>
    </w:p>
    <w:p w14:paraId="58D2226E">
      <w:pPr>
        <w:keepNext w:val="0"/>
        <w:keepLines w:val="0"/>
        <w:pageBreakBefore w:val="0"/>
        <w:widowControl w:val="0"/>
        <w:tabs>
          <w:tab w:val="left" w:pos="650"/>
        </w:tabs>
        <w:kinsoku/>
        <w:wordWrap/>
        <w:overflowPunct/>
        <w:topLinePunct w:val="0"/>
        <w:autoSpaceDE/>
        <w:autoSpaceDN/>
        <w:bidi w:val="0"/>
        <w:adjustRightInd/>
        <w:snapToGrid/>
        <w:spacing w:line="560" w:lineRule="exact"/>
        <w:ind w:firstLine="660"/>
        <w:jc w:val="both"/>
        <w:textAlignment w:val="auto"/>
        <w:rPr>
          <w:rFonts w:hint="default" w:ascii="仿宋_GB2312" w:eastAsia="仿宋_GB2312"/>
          <w:color w:val="auto"/>
          <w:sz w:val="32"/>
          <w:szCs w:val="32"/>
          <w:lang w:val="en-US" w:eastAsia="zh-CN"/>
        </w:rPr>
      </w:pPr>
      <w:r>
        <w:rPr>
          <w:rFonts w:hint="default" w:ascii="仿宋_GB2312" w:eastAsia="仿宋_GB2312"/>
          <w:color w:val="auto"/>
          <w:sz w:val="32"/>
          <w:szCs w:val="32"/>
          <w:lang w:val="en-US" w:eastAsia="zh-CN"/>
        </w:rPr>
        <w:t>积极落实燃气安全检查执法责任，重点做好节假日及重大会议期间和人员密集场所餐饮公服用户的燃气安全检查工作，对发现的燃气安全隐患，督促相关单位及时整改，确保燃气使用安全。</w:t>
      </w:r>
    </w:p>
    <w:p w14:paraId="3B37234F">
      <w:pPr>
        <w:keepNext w:val="0"/>
        <w:keepLines w:val="0"/>
        <w:pageBreakBefore w:val="0"/>
        <w:widowControl w:val="0"/>
        <w:numPr>
          <w:ilvl w:val="0"/>
          <w:numId w:val="3"/>
        </w:numPr>
        <w:tabs>
          <w:tab w:val="left" w:pos="650"/>
        </w:tabs>
        <w:kinsoku/>
        <w:wordWrap/>
        <w:overflowPunct/>
        <w:topLinePunct w:val="0"/>
        <w:autoSpaceDE/>
        <w:autoSpaceDN/>
        <w:bidi w:val="0"/>
        <w:adjustRightInd/>
        <w:snapToGrid/>
        <w:spacing w:line="560" w:lineRule="exact"/>
        <w:ind w:firstLine="660"/>
        <w:jc w:val="both"/>
        <w:textAlignment w:val="auto"/>
        <w:rPr>
          <w:rFonts w:hint="eastAsia" w:ascii="仿宋_GB2312" w:eastAsia="仿宋_GB2312"/>
          <w:b/>
          <w:bCs/>
          <w:color w:val="auto"/>
          <w:sz w:val="32"/>
          <w:szCs w:val="32"/>
          <w:lang w:val="en-US" w:eastAsia="zh-CN"/>
        </w:rPr>
      </w:pPr>
      <w:r>
        <w:rPr>
          <w:rFonts w:hint="eastAsia" w:ascii="仿宋_GB2312" w:eastAsia="仿宋_GB2312"/>
          <w:b/>
          <w:bCs/>
          <w:color w:val="auto"/>
          <w:sz w:val="32"/>
          <w:szCs w:val="32"/>
          <w:lang w:val="en-US" w:eastAsia="zh-CN"/>
        </w:rPr>
        <w:t>安全生产专项整治工作</w:t>
      </w:r>
    </w:p>
    <w:p w14:paraId="0A35CD44">
      <w:pPr>
        <w:keepNext w:val="0"/>
        <w:keepLines w:val="0"/>
        <w:pageBreakBefore w:val="0"/>
        <w:widowControl w:val="0"/>
        <w:numPr>
          <w:ilvl w:val="0"/>
          <w:numId w:val="0"/>
        </w:numPr>
        <w:tabs>
          <w:tab w:val="left" w:pos="650"/>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按照“不安全不生产”原则，对重点企业、单位进行全覆盖检查，辖区1965处点位实现全覆盖自查，开展“企安安”政府端检查5778家次，发现隐患2123处，隐患发现率36.74%，整改隐患2118处，整改率99.76%。</w:t>
      </w:r>
    </w:p>
    <w:p w14:paraId="53502F6E">
      <w:pPr>
        <w:keepNext w:val="0"/>
        <w:keepLines w:val="0"/>
        <w:pageBreakBefore w:val="0"/>
        <w:widowControl w:val="0"/>
        <w:numPr>
          <w:ilvl w:val="0"/>
          <w:numId w:val="3"/>
        </w:numPr>
        <w:tabs>
          <w:tab w:val="left" w:pos="650"/>
        </w:tabs>
        <w:kinsoku/>
        <w:wordWrap/>
        <w:overflowPunct/>
        <w:topLinePunct w:val="0"/>
        <w:autoSpaceDE/>
        <w:autoSpaceDN/>
        <w:bidi w:val="0"/>
        <w:adjustRightInd/>
        <w:snapToGrid/>
        <w:spacing w:line="560" w:lineRule="exact"/>
        <w:ind w:firstLine="660"/>
        <w:jc w:val="both"/>
        <w:textAlignment w:val="auto"/>
        <w:rPr>
          <w:rFonts w:hint="eastAsia" w:ascii="仿宋_GB2312" w:eastAsia="仿宋_GB2312"/>
          <w:b/>
          <w:bCs/>
          <w:color w:val="auto"/>
          <w:sz w:val="32"/>
          <w:szCs w:val="32"/>
          <w:lang w:val="en-US" w:eastAsia="zh-CN"/>
        </w:rPr>
      </w:pPr>
      <w:r>
        <w:rPr>
          <w:rFonts w:hint="eastAsia" w:ascii="仿宋_GB2312" w:eastAsia="仿宋_GB2312"/>
          <w:b/>
          <w:bCs/>
          <w:color w:val="auto"/>
          <w:sz w:val="32"/>
          <w:szCs w:val="32"/>
          <w:lang w:val="en-US" w:eastAsia="zh-CN"/>
        </w:rPr>
        <w:t>楼道堆物堆料清理工作</w:t>
      </w:r>
    </w:p>
    <w:p w14:paraId="31531097">
      <w:pPr>
        <w:keepNext w:val="0"/>
        <w:keepLines w:val="0"/>
        <w:pageBreakBefore w:val="0"/>
        <w:widowControl w:val="0"/>
        <w:numPr>
          <w:ilvl w:val="0"/>
          <w:numId w:val="0"/>
        </w:numPr>
        <w:tabs>
          <w:tab w:val="left" w:pos="650"/>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街道联合辖区派出所、城管执法队、应急队清理楼梯间车辆487车次，清理堆物堆料40余吨、整治私自接拉“飞线”充电219处。</w:t>
      </w:r>
    </w:p>
    <w:p w14:paraId="7D102541">
      <w:pPr>
        <w:keepNext w:val="0"/>
        <w:keepLines w:val="0"/>
        <w:pageBreakBefore w:val="0"/>
        <w:widowControl w:val="0"/>
        <w:numPr>
          <w:ilvl w:val="0"/>
          <w:numId w:val="3"/>
        </w:numPr>
        <w:tabs>
          <w:tab w:val="left" w:pos="650"/>
        </w:tabs>
        <w:kinsoku/>
        <w:wordWrap/>
        <w:overflowPunct/>
        <w:topLinePunct w:val="0"/>
        <w:autoSpaceDE/>
        <w:autoSpaceDN/>
        <w:bidi w:val="0"/>
        <w:adjustRightInd/>
        <w:snapToGrid/>
        <w:spacing w:line="560" w:lineRule="exact"/>
        <w:ind w:firstLine="660"/>
        <w:jc w:val="both"/>
        <w:textAlignment w:val="auto"/>
        <w:rPr>
          <w:rFonts w:hint="eastAsia" w:ascii="仿宋_GB2312" w:eastAsia="仿宋_GB2312"/>
          <w:b/>
          <w:bCs/>
          <w:color w:val="auto"/>
          <w:sz w:val="32"/>
          <w:szCs w:val="32"/>
          <w:lang w:val="en-US" w:eastAsia="zh-CN"/>
        </w:rPr>
      </w:pPr>
      <w:r>
        <w:rPr>
          <w:rFonts w:hint="eastAsia" w:ascii="仿宋_GB2312" w:eastAsia="仿宋_GB2312"/>
          <w:b/>
          <w:bCs/>
          <w:color w:val="auto"/>
          <w:sz w:val="32"/>
          <w:szCs w:val="32"/>
          <w:lang w:val="en-US" w:eastAsia="zh-CN"/>
        </w:rPr>
        <w:t>消防隐患排查整治工作</w:t>
      </w:r>
    </w:p>
    <w:p w14:paraId="3DE0E77B">
      <w:pPr>
        <w:keepNext w:val="0"/>
        <w:keepLines w:val="0"/>
        <w:pageBreakBefore w:val="0"/>
        <w:widowControl w:val="0"/>
        <w:numPr>
          <w:ilvl w:val="0"/>
          <w:numId w:val="0"/>
        </w:numPr>
        <w:tabs>
          <w:tab w:val="left" w:pos="650"/>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针对九类高风险场所，出动2530人次，430车次组织人员对辖区铁路所有隐患点位逐一进行现场核查并在平台提交上账，截至目前，辖区已完成16处隐患点位销账工作。清理21处垃圾渣土、乱堆物料等环境脏乱问题，消除破损防尘网及塑料布隐患3处。此外，辖区16处重点点位清理整治完毕14处，出动工作人员800余人次，动用拆除机械8台，入户走访村民200余次，拆除违法建设17处、1021㎡，清理沿线环境问题23处，清理里程达1.3公里。</w:t>
      </w:r>
    </w:p>
    <w:p w14:paraId="4C892456">
      <w:pPr>
        <w:keepNext w:val="0"/>
        <w:keepLines w:val="0"/>
        <w:pageBreakBefore w:val="0"/>
        <w:widowControl w:val="0"/>
        <w:numPr>
          <w:ilvl w:val="0"/>
          <w:numId w:val="3"/>
        </w:numPr>
        <w:tabs>
          <w:tab w:val="left" w:pos="650"/>
        </w:tabs>
        <w:kinsoku/>
        <w:wordWrap/>
        <w:overflowPunct/>
        <w:topLinePunct w:val="0"/>
        <w:autoSpaceDE/>
        <w:autoSpaceDN/>
        <w:bidi w:val="0"/>
        <w:adjustRightInd/>
        <w:snapToGrid/>
        <w:spacing w:line="560" w:lineRule="exact"/>
        <w:ind w:firstLine="660"/>
        <w:jc w:val="both"/>
        <w:textAlignment w:val="auto"/>
        <w:rPr>
          <w:rFonts w:hint="eastAsia" w:ascii="仿宋_GB2312" w:eastAsia="仿宋_GB2312"/>
          <w:b/>
          <w:bCs/>
          <w:color w:val="auto"/>
          <w:sz w:val="32"/>
          <w:szCs w:val="32"/>
          <w:lang w:val="en-US" w:eastAsia="zh-CN"/>
        </w:rPr>
      </w:pPr>
      <w:r>
        <w:rPr>
          <w:rFonts w:hint="eastAsia" w:ascii="仿宋_GB2312" w:eastAsia="仿宋_GB2312"/>
          <w:b/>
          <w:bCs/>
          <w:color w:val="auto"/>
          <w:sz w:val="32"/>
          <w:szCs w:val="32"/>
          <w:lang w:val="en-US" w:eastAsia="zh-CN"/>
        </w:rPr>
        <w:t>交通安全整治工作</w:t>
      </w:r>
    </w:p>
    <w:p w14:paraId="42B47E38">
      <w:pPr>
        <w:keepNext w:val="0"/>
        <w:keepLines w:val="0"/>
        <w:pageBreakBefore w:val="0"/>
        <w:widowControl w:val="0"/>
        <w:numPr>
          <w:ilvl w:val="0"/>
          <w:numId w:val="0"/>
        </w:numPr>
        <w:tabs>
          <w:tab w:val="left" w:pos="650"/>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结合工作需要和12345热线诉求，平安办针对违停高发区域开展专项整治工作，有效缓解了长辛店大街、安康西路、二七厂西门等区域的乱停乱放现象和出行风险；开展校园周边交通安全标示标线设置工作；组织开展交通主题宣传在辖区主要路口、广场等区域，进单位、进社区开展各项交通安全主题宣传活动28次。在重点时期 、市区领导进辖区调研、重大活动等。交安办参与各类交通保障工作113次。粘贴违停告知书206次、疏导交通21次，高考、中考、等级考试交通保障7次。</w:t>
      </w:r>
    </w:p>
    <w:p w14:paraId="5D54DC6F">
      <w:pPr>
        <w:keepNext w:val="0"/>
        <w:keepLines w:val="0"/>
        <w:pageBreakBefore w:val="0"/>
        <w:widowControl w:val="0"/>
        <w:numPr>
          <w:ilvl w:val="0"/>
          <w:numId w:val="3"/>
        </w:numPr>
        <w:tabs>
          <w:tab w:val="left" w:pos="650"/>
        </w:tabs>
        <w:kinsoku/>
        <w:wordWrap/>
        <w:overflowPunct/>
        <w:topLinePunct w:val="0"/>
        <w:autoSpaceDE/>
        <w:autoSpaceDN/>
        <w:bidi w:val="0"/>
        <w:adjustRightInd/>
        <w:snapToGrid/>
        <w:spacing w:line="560" w:lineRule="exact"/>
        <w:ind w:firstLine="660"/>
        <w:jc w:val="both"/>
        <w:textAlignment w:val="auto"/>
        <w:rPr>
          <w:rFonts w:hint="eastAsia" w:ascii="仿宋_GB2312" w:eastAsia="仿宋_GB2312"/>
          <w:b/>
          <w:bCs/>
          <w:color w:val="auto"/>
          <w:sz w:val="32"/>
          <w:szCs w:val="32"/>
          <w:lang w:val="en-US" w:eastAsia="zh-CN"/>
        </w:rPr>
      </w:pPr>
      <w:r>
        <w:rPr>
          <w:rFonts w:hint="eastAsia" w:ascii="仿宋_GB2312" w:eastAsia="仿宋_GB2312"/>
          <w:b/>
          <w:bCs/>
          <w:color w:val="auto"/>
          <w:sz w:val="32"/>
          <w:szCs w:val="32"/>
          <w:lang w:val="en-US" w:eastAsia="zh-CN"/>
        </w:rPr>
        <w:t>强力推进交通整治与电动三四轮专项工作</w:t>
      </w:r>
    </w:p>
    <w:p w14:paraId="124F74C0">
      <w:pPr>
        <w:keepNext w:val="0"/>
        <w:keepLines w:val="0"/>
        <w:pageBreakBefore w:val="0"/>
        <w:widowControl w:val="0"/>
        <w:numPr>
          <w:ilvl w:val="0"/>
          <w:numId w:val="0"/>
        </w:numPr>
        <w:tabs>
          <w:tab w:val="left" w:pos="650"/>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hAnsiTheme="minorHAnsi" w:cstheme="minorBidi"/>
          <w:color w:val="auto"/>
          <w:kern w:val="2"/>
          <w:sz w:val="32"/>
          <w:szCs w:val="32"/>
          <w:lang w:val="en-US" w:eastAsia="zh-CN" w:bidi="ar-SA"/>
        </w:rPr>
      </w:pPr>
      <w:r>
        <w:rPr>
          <w:rFonts w:hint="eastAsia" w:ascii="仿宋_GB2312" w:eastAsia="仿宋_GB2312" w:hAnsiTheme="minorHAnsi" w:cstheme="minorBidi"/>
          <w:color w:val="auto"/>
          <w:kern w:val="2"/>
          <w:sz w:val="32"/>
          <w:szCs w:val="32"/>
          <w:lang w:val="en-US" w:eastAsia="zh-CN" w:bidi="ar-SA"/>
        </w:rPr>
        <w:t>全力推动辖区交通综合整治。结合工作需要和12345热线诉求，平安办针对违停高发区域开展专项整治工作，有效缓解了长辛店大街、安康西路、二七厂西门等区域的乱停乱放现象和出行风险；开展了校园周边交通安全标示标线设置工作；组织开展交通主题宣传在辖区主要路口、广场等区域，进单位、进社区开展各项交通安全主题宣传活动28次。在重点时期 、市区领导进辖区调研、重大活动等。交安办参与各类交通保障工作113次。粘贴违停告知书206次、疏导交通21次，高考、中考、等级考试交通保障7次。</w:t>
      </w:r>
    </w:p>
    <w:p w14:paraId="09C8B0B9">
      <w:pPr>
        <w:keepNext w:val="0"/>
        <w:keepLines w:val="0"/>
        <w:pageBreakBefore w:val="0"/>
        <w:widowControl w:val="0"/>
        <w:numPr>
          <w:ilvl w:val="0"/>
          <w:numId w:val="0"/>
        </w:numPr>
        <w:tabs>
          <w:tab w:val="left" w:pos="650"/>
        </w:tab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六、行政处罚、行政强制等案件的办理情况</w:t>
      </w:r>
    </w:p>
    <w:p w14:paraId="4F3EB607">
      <w:pPr>
        <w:keepNext w:val="0"/>
        <w:keepLines w:val="0"/>
        <w:pageBreakBefore w:val="0"/>
        <w:widowControl w:val="0"/>
        <w:tabs>
          <w:tab w:val="left" w:pos="650"/>
        </w:tabs>
        <w:kinsoku/>
        <w:wordWrap/>
        <w:overflowPunct/>
        <w:topLinePunct w:val="0"/>
        <w:autoSpaceDE/>
        <w:autoSpaceDN/>
        <w:bidi w:val="0"/>
        <w:adjustRightInd/>
        <w:snapToGrid/>
        <w:spacing w:line="560" w:lineRule="exact"/>
        <w:ind w:firstLine="66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全年共立案885起，罚款总计 439094元。其中简易案件397起，罚款金额15600元；一般案件488起，罚款金额423494元。</w:t>
      </w:r>
    </w:p>
    <w:p w14:paraId="26E29610">
      <w:pPr>
        <w:keepNext w:val="0"/>
        <w:keepLines w:val="0"/>
        <w:pageBreakBefore w:val="0"/>
        <w:widowControl w:val="0"/>
        <w:tabs>
          <w:tab w:val="left" w:pos="650"/>
        </w:tabs>
        <w:kinsoku/>
        <w:wordWrap/>
        <w:overflowPunct/>
        <w:topLinePunct w:val="0"/>
        <w:autoSpaceDE/>
        <w:autoSpaceDN/>
        <w:bidi w:val="0"/>
        <w:adjustRightInd/>
        <w:snapToGrid/>
        <w:spacing w:line="560" w:lineRule="exact"/>
        <w:ind w:firstLine="66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七、投诉、举报案件的受理和分类办理情况</w:t>
      </w:r>
    </w:p>
    <w:p w14:paraId="56B950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按照“闻风而动，接诉即办”的要求，对投诉、举报案件进行了第一时间处理，并做好“处理前沟通，处理中反馈、处理后回复”，确保群众满意，2024年接到非紧急求助热线8912件。12345直派4377件，96005转派4535件，诉求中心有效回访7792件，无人接听1120件。总解决案卷4894件，建议剔除3538件，剔除占比39.6%，建议挂账212件，挂账占比2.3%，。整体解决率54.9%;社区满意率为61.7%。其中宜居性4404件、占比49.4%；便利性447件、占比5.0%；安全性396件、占比4.4%；公正性7件、占比0.1%；多样性11件、占比0.1%；住有所居363件、占比4.0%；弱有所扶125件、占比1.4%；病有所医12件、占比0.1%；劳有所得38件、占比0.4%；老有所养15件，占比0.1%；幼有所育5件、小于0.1%；学有所教6件、小于0.1%。诉求中心回访件8351件，有效回访7792件，无联系方式1015件、769件无人接听。</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D8C76C"/>
    <w:multiLevelType w:val="singleLevel"/>
    <w:tmpl w:val="18D8C76C"/>
    <w:lvl w:ilvl="0" w:tentative="0">
      <w:start w:val="5"/>
      <w:numFmt w:val="chineseCounting"/>
      <w:suff w:val="nothing"/>
      <w:lvlText w:val="（%1）"/>
      <w:lvlJc w:val="left"/>
      <w:rPr>
        <w:rFonts w:hint="eastAsia"/>
      </w:rPr>
    </w:lvl>
  </w:abstractNum>
  <w:abstractNum w:abstractNumId="1">
    <w:nsid w:val="5A4A3B50"/>
    <w:multiLevelType w:val="singleLevel"/>
    <w:tmpl w:val="5A4A3B50"/>
    <w:lvl w:ilvl="0" w:tentative="0">
      <w:start w:val="2"/>
      <w:numFmt w:val="chineseCounting"/>
      <w:suff w:val="nothing"/>
      <w:lvlText w:val="（%1）"/>
      <w:lvlJc w:val="left"/>
      <w:rPr>
        <w:rFonts w:hint="eastAsia"/>
      </w:rPr>
    </w:lvl>
  </w:abstractNum>
  <w:abstractNum w:abstractNumId="2">
    <w:nsid w:val="7BF5DF54"/>
    <w:multiLevelType w:val="singleLevel"/>
    <w:tmpl w:val="7BF5DF54"/>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1MDk0NTA4YjExMmYzYWE3N2QwNWM0NjRhZjAxMDkifQ=="/>
  </w:docVars>
  <w:rsids>
    <w:rsidRoot w:val="00F94AED"/>
    <w:rsid w:val="00017EBB"/>
    <w:rsid w:val="003D395F"/>
    <w:rsid w:val="006D3173"/>
    <w:rsid w:val="00B81148"/>
    <w:rsid w:val="00F036C9"/>
    <w:rsid w:val="00F94AED"/>
    <w:rsid w:val="00FE0580"/>
    <w:rsid w:val="01D63F6D"/>
    <w:rsid w:val="03097838"/>
    <w:rsid w:val="07BA6793"/>
    <w:rsid w:val="09C438A8"/>
    <w:rsid w:val="09C556F2"/>
    <w:rsid w:val="0B473824"/>
    <w:rsid w:val="0BCB2A5E"/>
    <w:rsid w:val="0D7505C0"/>
    <w:rsid w:val="0DB92613"/>
    <w:rsid w:val="0EA75449"/>
    <w:rsid w:val="0EF1660A"/>
    <w:rsid w:val="0F910D13"/>
    <w:rsid w:val="10427318"/>
    <w:rsid w:val="12CA3D79"/>
    <w:rsid w:val="12E22503"/>
    <w:rsid w:val="14196AC8"/>
    <w:rsid w:val="155362A8"/>
    <w:rsid w:val="156D701E"/>
    <w:rsid w:val="1589441B"/>
    <w:rsid w:val="16225C7A"/>
    <w:rsid w:val="189E74FF"/>
    <w:rsid w:val="195C76F5"/>
    <w:rsid w:val="19B75B35"/>
    <w:rsid w:val="1A3A1D53"/>
    <w:rsid w:val="1AA11775"/>
    <w:rsid w:val="1AE814A8"/>
    <w:rsid w:val="1B102545"/>
    <w:rsid w:val="1B7F28FC"/>
    <w:rsid w:val="1C551F74"/>
    <w:rsid w:val="1CFF6734"/>
    <w:rsid w:val="1DF03DEC"/>
    <w:rsid w:val="1ECD4970"/>
    <w:rsid w:val="1EFD56D4"/>
    <w:rsid w:val="1F1731CC"/>
    <w:rsid w:val="1FFF5AA8"/>
    <w:rsid w:val="204F3B10"/>
    <w:rsid w:val="20A7251B"/>
    <w:rsid w:val="20F20207"/>
    <w:rsid w:val="21CB5418"/>
    <w:rsid w:val="233018BB"/>
    <w:rsid w:val="24E318DF"/>
    <w:rsid w:val="2533479E"/>
    <w:rsid w:val="25D85566"/>
    <w:rsid w:val="26536AD1"/>
    <w:rsid w:val="27D27C38"/>
    <w:rsid w:val="29E754BD"/>
    <w:rsid w:val="2A307D13"/>
    <w:rsid w:val="2AA11B2B"/>
    <w:rsid w:val="2AC14694"/>
    <w:rsid w:val="2AF92FF6"/>
    <w:rsid w:val="2C0D4B3F"/>
    <w:rsid w:val="2D83168F"/>
    <w:rsid w:val="2D954D7C"/>
    <w:rsid w:val="2E78431F"/>
    <w:rsid w:val="30517140"/>
    <w:rsid w:val="308F0E4B"/>
    <w:rsid w:val="30C71FE8"/>
    <w:rsid w:val="32752FAD"/>
    <w:rsid w:val="32E0684A"/>
    <w:rsid w:val="33FE45F4"/>
    <w:rsid w:val="343C5134"/>
    <w:rsid w:val="3538471B"/>
    <w:rsid w:val="354E3242"/>
    <w:rsid w:val="35B96488"/>
    <w:rsid w:val="35CD1B07"/>
    <w:rsid w:val="36B3674F"/>
    <w:rsid w:val="37D73D98"/>
    <w:rsid w:val="388F0AF6"/>
    <w:rsid w:val="38AB2FCD"/>
    <w:rsid w:val="39665CFB"/>
    <w:rsid w:val="3B0953A4"/>
    <w:rsid w:val="3B7392F6"/>
    <w:rsid w:val="3BC95180"/>
    <w:rsid w:val="3D124D7F"/>
    <w:rsid w:val="40FA362D"/>
    <w:rsid w:val="418A40B3"/>
    <w:rsid w:val="444E53B7"/>
    <w:rsid w:val="4712301E"/>
    <w:rsid w:val="472924B7"/>
    <w:rsid w:val="47605D7C"/>
    <w:rsid w:val="485C4F51"/>
    <w:rsid w:val="48DE348E"/>
    <w:rsid w:val="498B70B7"/>
    <w:rsid w:val="49D4280C"/>
    <w:rsid w:val="4ADA5D50"/>
    <w:rsid w:val="4B9738B5"/>
    <w:rsid w:val="4D83703B"/>
    <w:rsid w:val="4D9A550D"/>
    <w:rsid w:val="4DA768EE"/>
    <w:rsid w:val="4EE132FB"/>
    <w:rsid w:val="4EF56C95"/>
    <w:rsid w:val="500360AF"/>
    <w:rsid w:val="50AD025B"/>
    <w:rsid w:val="51D90405"/>
    <w:rsid w:val="535E583D"/>
    <w:rsid w:val="54E577FA"/>
    <w:rsid w:val="55051CE4"/>
    <w:rsid w:val="55FEFF5B"/>
    <w:rsid w:val="571D14B6"/>
    <w:rsid w:val="57F06C07"/>
    <w:rsid w:val="58135162"/>
    <w:rsid w:val="59401E71"/>
    <w:rsid w:val="594D1865"/>
    <w:rsid w:val="599B0128"/>
    <w:rsid w:val="5A352098"/>
    <w:rsid w:val="5B42386F"/>
    <w:rsid w:val="5B93359E"/>
    <w:rsid w:val="5B98279E"/>
    <w:rsid w:val="5DC7688B"/>
    <w:rsid w:val="5E8509DB"/>
    <w:rsid w:val="5FE031A8"/>
    <w:rsid w:val="60683D26"/>
    <w:rsid w:val="60CF50CA"/>
    <w:rsid w:val="61BA299A"/>
    <w:rsid w:val="62193481"/>
    <w:rsid w:val="630B25E1"/>
    <w:rsid w:val="63C3418A"/>
    <w:rsid w:val="64D135DF"/>
    <w:rsid w:val="657D7E7B"/>
    <w:rsid w:val="67901ADF"/>
    <w:rsid w:val="69667DA8"/>
    <w:rsid w:val="6A534B8A"/>
    <w:rsid w:val="6C7D1B5B"/>
    <w:rsid w:val="6DD32C57"/>
    <w:rsid w:val="6EC55135"/>
    <w:rsid w:val="70270861"/>
    <w:rsid w:val="70EC7C32"/>
    <w:rsid w:val="72A44BC2"/>
    <w:rsid w:val="733406E6"/>
    <w:rsid w:val="736778EA"/>
    <w:rsid w:val="746B64EE"/>
    <w:rsid w:val="74F83220"/>
    <w:rsid w:val="756440E5"/>
    <w:rsid w:val="76536785"/>
    <w:rsid w:val="772C162A"/>
    <w:rsid w:val="774225B5"/>
    <w:rsid w:val="779C055E"/>
    <w:rsid w:val="77EF6E99"/>
    <w:rsid w:val="77FF3A60"/>
    <w:rsid w:val="784B721D"/>
    <w:rsid w:val="789B167A"/>
    <w:rsid w:val="799ED424"/>
    <w:rsid w:val="7A2134D3"/>
    <w:rsid w:val="7A390453"/>
    <w:rsid w:val="7A97083D"/>
    <w:rsid w:val="7AA0216B"/>
    <w:rsid w:val="7B66357A"/>
    <w:rsid w:val="7B753998"/>
    <w:rsid w:val="7B89388B"/>
    <w:rsid w:val="7C2B375B"/>
    <w:rsid w:val="7C5945B4"/>
    <w:rsid w:val="7CF30519"/>
    <w:rsid w:val="7D183644"/>
    <w:rsid w:val="7D5F76DC"/>
    <w:rsid w:val="7E3402EF"/>
    <w:rsid w:val="7EC9278F"/>
    <w:rsid w:val="7FFF5A96"/>
    <w:rsid w:val="9DF71BB8"/>
    <w:rsid w:val="AFDF3B66"/>
    <w:rsid w:val="BB2AC98E"/>
    <w:rsid w:val="BF76DF41"/>
    <w:rsid w:val="CF7FE294"/>
    <w:rsid w:val="EFAF5A04"/>
    <w:rsid w:val="F97DD7CB"/>
    <w:rsid w:val="FD4789FE"/>
    <w:rsid w:val="FFBD9347"/>
    <w:rsid w:val="FFDF7837"/>
    <w:rsid w:val="FFDFA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endnote text"/>
    <w:basedOn w:val="1"/>
    <w:qFormat/>
    <w:uiPriority w:val="0"/>
    <w:pPr>
      <w:keepNext w:val="0"/>
      <w:keepLines w:val="0"/>
      <w:widowControl/>
      <w:suppressLineNumbers w:val="0"/>
      <w:snapToGrid w:val="0"/>
      <w:spacing w:before="100" w:beforeAutospacing="1" w:after="100" w:afterAutospacing="1" w:line="560" w:lineRule="exact"/>
      <w:ind w:left="0" w:right="0" w:firstLine="200" w:firstLineChars="200"/>
      <w:jc w:val="left"/>
    </w:pPr>
    <w:rPr>
      <w:rFonts w:hint="default" w:ascii="Calibri" w:hAnsi="Calibri" w:eastAsia="宋体" w:cs="黑体"/>
      <w:kern w:val="2"/>
      <w:sz w:val="21"/>
      <w:szCs w:val="22"/>
      <w:lang w:val="en-US" w:eastAsia="zh-CN" w:bidi="ar"/>
    </w:rPr>
  </w:style>
  <w:style w:type="paragraph" w:styleId="3">
    <w:name w:val="Body Text"/>
    <w:basedOn w:val="1"/>
    <w:next w:val="1"/>
    <w:qFormat/>
    <w:uiPriority w:val="1"/>
    <w:rPr>
      <w:rFonts w:ascii="宋体" w:hAnsi="宋体" w:eastAsia="宋体" w:cs="宋体"/>
      <w:sz w:val="32"/>
      <w:szCs w:val="32"/>
      <w:lang w:val="zh-CN" w:bidi="zh-CN"/>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9">
    <w:name w:val="目录 11"/>
    <w:next w:val="1"/>
    <w:autoRedefine/>
    <w:qFormat/>
    <w:uiPriority w:val="0"/>
    <w:pPr>
      <w:wordWrap w:val="0"/>
      <w:jc w:val="both"/>
    </w:pPr>
    <w:rPr>
      <w:rFonts w:ascii="Calibri" w:hAnsi="Calibri" w:eastAsia="宋体" w:cs="Times New Roman"/>
      <w:sz w:val="21"/>
      <w:szCs w:val="22"/>
      <w:lang w:val="en-US" w:eastAsia="zh-CN" w:bidi="ar-SA"/>
    </w:rPr>
  </w:style>
  <w:style w:type="paragraph" w:styleId="10">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3463</Words>
  <Characters>3889</Characters>
  <Lines>3</Lines>
  <Paragraphs>1</Paragraphs>
  <TotalTime>0</TotalTime>
  <ScaleCrop>false</ScaleCrop>
  <LinksUpToDate>false</LinksUpToDate>
  <CharactersWithSpaces>3892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2020-01-13T18:45:00Z</dcterms:created>
  <dc:creator>f1</dc:creator>
  <cp:lastModifiedBy>ZzZShuo</cp:lastModifiedBy>
  <cp:lastPrinted>2024-01-18T02:05:00Z</cp:lastPrinted>
  <dcterms:modified xsi:type="dcterms:W3CDTF">2025-10-17T06:55:01Z</dcterms:modified>
  <dc:title>关于做好行政执法统计年报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9839DB71BE9F4501B1AF5EB67255FF99_12</vt:lpwstr>
  </property>
  <property fmtid="{D5CDD505-2E9C-101B-9397-08002B2CF9AE}" pid="4" name="KSOTemplateDocerSaveRecord">
    <vt:lpwstr>eyJoZGlkIjoiNGQwMmQ0OTQ0NWY3MWY1N2Y3NmQ1ZjQzZWYwNGQ2MWQiLCJ1c2VySWQiOiIzMTg0MjUzNjEifQ==</vt:lpwstr>
  </property>
</Properties>
</file>