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both"/>
        <w:rPr>
          <w:rFonts w:hint="default"/>
          <w:color w:val="auto"/>
          <w:highlight w:val="none"/>
          <w:lang w:val="en-US"/>
        </w:rPr>
      </w:pPr>
      <w:bookmarkStart w:id="362" w:name="_GoBack"/>
      <w:bookmarkEnd w:id="362"/>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pPr>
        <w:bidi w:val="0"/>
        <w:jc w:val="center"/>
        <w:rPr>
          <w:rFonts w:hint="eastAsia" w:ascii="仿宋_GB2312" w:hAnsi="仿宋_GB2312" w:eastAsia="仿宋_GB2312" w:cs="仿宋_GB2312"/>
          <w:color w:val="auto"/>
          <w:sz w:val="32"/>
          <w:szCs w:val="32"/>
          <w:highlight w:val="none"/>
        </w:rPr>
      </w:pPr>
    </w:p>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_Toc1859613639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_Toc1859613639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_Toc959675187 </w:instrText>
      </w:r>
      <w:r>
        <w:rPr>
          <w:highlight w:val="none"/>
        </w:rPr>
        <w:fldChar w:fldCharType="separate"/>
      </w:r>
      <w:r>
        <w:rPr>
          <w:rFonts w:hint="eastAsia" w:ascii="宋体" w:hAnsi="宋体" w:eastAsia="宋体"/>
          <w:szCs w:val="21"/>
          <w:highlight w:val="none"/>
        </w:rPr>
        <w:t>《北京市市容环境卫生条例》案由56项</w:t>
      </w:r>
      <w:r>
        <w:tab/>
      </w:r>
      <w:r>
        <w:fldChar w:fldCharType="begin"/>
      </w:r>
      <w:r>
        <w:instrText xml:space="preserve"> PAGEREF _Toc959675187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_Toc422619426 </w:instrText>
      </w:r>
      <w:r>
        <w:rPr>
          <w:highlight w:val="none"/>
        </w:rPr>
        <w:fldChar w:fldCharType="separate"/>
      </w:r>
      <w:r>
        <w:rPr>
          <w:rFonts w:hint="eastAsia" w:ascii="宋体" w:hAnsi="宋体" w:eastAsia="宋体"/>
          <w:szCs w:val="21"/>
          <w:highlight w:val="none"/>
        </w:rPr>
        <w:t>《北京市生活垃圾管理条例》案由</w:t>
      </w:r>
      <w:r>
        <w:rPr>
          <w:rFonts w:ascii="宋体" w:hAnsi="宋体" w:eastAsia="宋体"/>
          <w:szCs w:val="21"/>
          <w:highlight w:val="none"/>
        </w:rPr>
        <w:t>36</w:t>
      </w:r>
      <w:r>
        <w:rPr>
          <w:rFonts w:hint="eastAsia" w:ascii="宋体" w:hAnsi="宋体" w:eastAsia="宋体"/>
          <w:szCs w:val="21"/>
          <w:highlight w:val="none"/>
        </w:rPr>
        <w:t>项</w:t>
      </w:r>
      <w:r>
        <w:tab/>
      </w:r>
      <w:r>
        <w:fldChar w:fldCharType="begin"/>
      </w:r>
      <w:r>
        <w:instrText xml:space="preserve"> PAGEREF _Toc422619426 \h </w:instrText>
      </w:r>
      <w:r>
        <w:fldChar w:fldCharType="separate"/>
      </w:r>
      <w:r>
        <w:t>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_Toc15633281 </w:instrText>
      </w:r>
      <w:r>
        <w:rPr>
          <w:highlight w:val="none"/>
        </w:rPr>
        <w:fldChar w:fldCharType="separate"/>
      </w:r>
      <w:r>
        <w:rPr>
          <w:rFonts w:hint="eastAsia" w:ascii="宋体" w:hAnsi="宋体" w:eastAsia="宋体"/>
          <w:szCs w:val="21"/>
          <w:highlight w:val="none"/>
        </w:rPr>
        <w:t>《城市生活垃圾管理办法》案由11项</w:t>
      </w:r>
      <w:r>
        <w:tab/>
      </w:r>
      <w:r>
        <w:fldChar w:fldCharType="begin"/>
      </w:r>
      <w:r>
        <w:instrText xml:space="preserve"> PAGEREF _Toc15633281 \h </w:instrText>
      </w:r>
      <w:r>
        <w:fldChar w:fldCharType="separate"/>
      </w:r>
      <w:r>
        <w:t>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_Toc236494917 </w:instrText>
      </w:r>
      <w:r>
        <w:rPr>
          <w:highlight w:val="none"/>
        </w:rPr>
        <w:fldChar w:fldCharType="separate"/>
      </w:r>
      <w:r>
        <w:rPr>
          <w:rFonts w:hint="eastAsia" w:ascii="宋体" w:hAnsi="宋体" w:eastAsia="宋体"/>
          <w:szCs w:val="21"/>
          <w:highlight w:val="none"/>
        </w:rPr>
        <w:t>《城市建筑垃圾管理规定》案由11项</w:t>
      </w:r>
      <w:r>
        <w:tab/>
      </w:r>
      <w:r>
        <w:fldChar w:fldCharType="begin"/>
      </w:r>
      <w:r>
        <w:instrText xml:space="preserve"> PAGEREF _Toc236494917 \h </w:instrText>
      </w:r>
      <w:r>
        <w:fldChar w:fldCharType="separate"/>
      </w:r>
      <w:r>
        <w:t>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_Toc1339664513 </w:instrText>
      </w:r>
      <w:r>
        <w:rPr>
          <w:highlight w:val="none"/>
        </w:rPr>
        <w:fldChar w:fldCharType="separate"/>
      </w:r>
      <w:r>
        <w:rPr>
          <w:rFonts w:hint="eastAsia" w:ascii="宋体" w:hAnsi="宋体" w:eastAsia="宋体"/>
          <w:szCs w:val="21"/>
          <w:highlight w:val="none"/>
        </w:rPr>
        <w:t>《中华人民共和国固体废物污染环境防治法》案由</w:t>
      </w:r>
      <w:r>
        <w:rPr>
          <w:rFonts w:ascii="宋体" w:hAnsi="宋体" w:eastAsia="宋体"/>
          <w:szCs w:val="21"/>
          <w:highlight w:val="none"/>
        </w:rPr>
        <w:t>10</w:t>
      </w:r>
      <w:r>
        <w:rPr>
          <w:rFonts w:hint="eastAsia" w:ascii="宋体" w:hAnsi="宋体" w:eastAsia="宋体"/>
          <w:szCs w:val="21"/>
          <w:highlight w:val="none"/>
        </w:rPr>
        <w:t>项</w:t>
      </w:r>
      <w:r>
        <w:tab/>
      </w:r>
      <w:r>
        <w:fldChar w:fldCharType="begin"/>
      </w:r>
      <w:r>
        <w:instrText xml:space="preserve"> PAGEREF _Toc1339664513 \h </w:instrText>
      </w:r>
      <w:r>
        <w:fldChar w:fldCharType="separate"/>
      </w:r>
      <w:r>
        <w:t>27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_Toc440937635 </w:instrText>
      </w:r>
      <w:r>
        <w:rPr>
          <w:highlight w:val="none"/>
        </w:rPr>
        <w:fldChar w:fldCharType="separate"/>
      </w:r>
      <w:r>
        <w:rPr>
          <w:rFonts w:hint="eastAsia" w:ascii="宋体" w:hAnsi="宋体" w:eastAsia="宋体"/>
          <w:szCs w:val="21"/>
          <w:highlight w:val="none"/>
        </w:rPr>
        <w:t>《北京市人民政府关于扫雪铲冰管理的规定》案由1项</w:t>
      </w:r>
      <w:r>
        <w:tab/>
      </w:r>
      <w:r>
        <w:fldChar w:fldCharType="begin"/>
      </w:r>
      <w:r>
        <w:instrText xml:space="preserve"> PAGEREF _Toc440937635 \h </w:instrText>
      </w:r>
      <w:r>
        <w:fldChar w:fldCharType="separate"/>
      </w:r>
      <w:r>
        <w:t>30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_Toc874209325 </w:instrText>
      </w:r>
      <w:r>
        <w:rPr>
          <w:highlight w:val="none"/>
        </w:rPr>
        <w:fldChar w:fldCharType="separate"/>
      </w:r>
      <w:r>
        <w:rPr>
          <w:rFonts w:hint="eastAsia" w:ascii="宋体" w:hAnsi="宋体" w:eastAsia="宋体"/>
          <w:szCs w:val="21"/>
          <w:highlight w:val="none"/>
        </w:rPr>
        <w:t>《北京市户外广告设施、牌匾标识和标语宣传品设置管理条例》案由14项</w:t>
      </w:r>
      <w:r>
        <w:tab/>
      </w:r>
      <w:r>
        <w:fldChar w:fldCharType="begin"/>
      </w:r>
      <w:r>
        <w:instrText xml:space="preserve"> PAGEREF _Toc874209325 \h </w:instrText>
      </w:r>
      <w:r>
        <w:fldChar w:fldCharType="separate"/>
      </w:r>
      <w:r>
        <w:t>31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_Toc1453447809 </w:instrText>
      </w:r>
      <w:r>
        <w:rPr>
          <w:highlight w:val="none"/>
        </w:rPr>
        <w:fldChar w:fldCharType="separate"/>
      </w:r>
      <w:r>
        <w:rPr>
          <w:rFonts w:hint="eastAsia" w:ascii="宋体" w:hAnsi="宋体" w:eastAsia="宋体"/>
          <w:szCs w:val="21"/>
          <w:highlight w:val="none"/>
        </w:rPr>
        <w:t>《北京市标语宣传品设置管理规定》案由6项</w:t>
      </w:r>
      <w:r>
        <w:tab/>
      </w:r>
      <w:r>
        <w:fldChar w:fldCharType="begin"/>
      </w:r>
      <w:r>
        <w:instrText xml:space="preserve"> PAGEREF _Toc1453447809 \h </w:instrText>
      </w:r>
      <w:r>
        <w:fldChar w:fldCharType="separate"/>
      </w:r>
      <w:r>
        <w:t>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_Toc1706877545 </w:instrText>
      </w:r>
      <w:r>
        <w:rPr>
          <w:highlight w:val="none"/>
        </w:rPr>
        <w:fldChar w:fldCharType="separate"/>
      </w:r>
      <w:r>
        <w:rPr>
          <w:rFonts w:hint="eastAsia" w:ascii="宋体" w:hAnsi="宋体" w:eastAsia="宋体"/>
          <w:szCs w:val="21"/>
          <w:highlight w:val="none"/>
        </w:rPr>
        <w:t>《北京市城市道路和公共场所环境卫生管理若干规定》案由7项</w:t>
      </w:r>
      <w:r>
        <w:tab/>
      </w:r>
      <w:r>
        <w:fldChar w:fldCharType="begin"/>
      </w:r>
      <w:r>
        <w:instrText xml:space="preserve"> PAGEREF _Toc1706877545 \h </w:instrText>
      </w:r>
      <w:r>
        <w:fldChar w:fldCharType="separate"/>
      </w:r>
      <w:r>
        <w:t>34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_Toc243111291 </w:instrText>
      </w:r>
      <w:r>
        <w:rPr>
          <w:highlight w:val="none"/>
        </w:rPr>
        <w:fldChar w:fldCharType="separate"/>
      </w:r>
      <w:r>
        <w:rPr>
          <w:rFonts w:hint="eastAsia" w:ascii="宋体" w:hAnsi="宋体" w:eastAsia="宋体"/>
          <w:szCs w:val="21"/>
          <w:highlight w:val="none"/>
        </w:rPr>
        <w:t>《北京市建筑</w:t>
      </w:r>
      <w:r>
        <w:rPr>
          <w:rFonts w:ascii="宋体" w:hAnsi="宋体" w:eastAsia="宋体"/>
          <w:szCs w:val="21"/>
          <w:highlight w:val="none"/>
        </w:rPr>
        <w:t>垃圾处置管理规定</w:t>
      </w:r>
      <w:r>
        <w:rPr>
          <w:rFonts w:hint="eastAsia" w:ascii="宋体" w:hAnsi="宋体" w:eastAsia="宋体"/>
          <w:szCs w:val="21"/>
          <w:highlight w:val="none"/>
        </w:rPr>
        <w:t>》案由</w:t>
      </w:r>
      <w:r>
        <w:rPr>
          <w:rFonts w:ascii="宋体" w:hAnsi="宋体" w:eastAsia="宋体"/>
          <w:szCs w:val="21"/>
          <w:highlight w:val="none"/>
        </w:rPr>
        <w:t>24</w:t>
      </w:r>
      <w:r>
        <w:rPr>
          <w:rFonts w:hint="eastAsia" w:ascii="宋体" w:hAnsi="宋体" w:eastAsia="宋体"/>
          <w:szCs w:val="21"/>
          <w:highlight w:val="none"/>
        </w:rPr>
        <w:t>项</w:t>
      </w:r>
      <w:r>
        <w:tab/>
      </w:r>
      <w:r>
        <w:fldChar w:fldCharType="begin"/>
      </w:r>
      <w:r>
        <w:instrText xml:space="preserve"> PAGEREF _Toc243111291 \h </w:instrText>
      </w:r>
      <w:r>
        <w:fldChar w:fldCharType="separate"/>
      </w:r>
      <w:r>
        <w:t>36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_Toc468042359 </w:instrText>
      </w:r>
      <w:r>
        <w:rPr>
          <w:highlight w:val="none"/>
        </w:rPr>
        <w:fldChar w:fldCharType="separate"/>
      </w:r>
      <w:r>
        <w:rPr>
          <w:rFonts w:hint="eastAsia" w:ascii="宋体" w:hAnsi="宋体" w:eastAsia="宋体"/>
          <w:szCs w:val="21"/>
          <w:highlight w:val="none"/>
        </w:rPr>
        <w:t>《北京市养犬管理规定》案由1项</w:t>
      </w:r>
      <w:r>
        <w:tab/>
      </w:r>
      <w:r>
        <w:fldChar w:fldCharType="begin"/>
      </w:r>
      <w:r>
        <w:instrText xml:space="preserve"> PAGEREF _Toc468042359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_Toc1332420573 </w:instrText>
      </w:r>
      <w:r>
        <w:rPr>
          <w:highlight w:val="none"/>
        </w:rPr>
        <w:fldChar w:fldCharType="separate"/>
      </w:r>
      <w:r>
        <w:rPr>
          <w:rFonts w:hint="eastAsia" w:ascii="宋体" w:hAnsi="宋体" w:eastAsia="宋体"/>
          <w:szCs w:val="21"/>
          <w:highlight w:val="none"/>
        </w:rPr>
        <w:t>《北京市长城保护管理办法》案由1项</w:t>
      </w:r>
      <w:r>
        <w:tab/>
      </w:r>
      <w:r>
        <w:fldChar w:fldCharType="begin"/>
      </w:r>
      <w:r>
        <w:instrText xml:space="preserve"> PAGEREF _Toc1332420573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_Toc132430118 </w:instrText>
      </w:r>
      <w:r>
        <w:rPr>
          <w:highlight w:val="none"/>
        </w:rPr>
        <w:fldChar w:fldCharType="separate"/>
      </w:r>
      <w:r>
        <w:rPr>
          <w:rFonts w:hint="eastAsia" w:ascii="宋体" w:hAnsi="宋体" w:eastAsia="宋体"/>
          <w:szCs w:val="21"/>
          <w:highlight w:val="none"/>
        </w:rPr>
        <w:t>《北京历史文化名城保护条例》案由1项</w:t>
      </w:r>
      <w:r>
        <w:tab/>
      </w:r>
      <w:r>
        <w:fldChar w:fldCharType="begin"/>
      </w:r>
      <w:r>
        <w:instrText xml:space="preserve"> PAGEREF _Toc132430118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_Toc1498902725 </w:instrText>
      </w:r>
      <w:r>
        <w:rPr>
          <w:highlight w:val="none"/>
        </w:rPr>
        <w:fldChar w:fldCharType="separate"/>
      </w:r>
      <w:r>
        <w:rPr>
          <w:rFonts w:hint="eastAsia" w:ascii="宋体" w:hAnsi="宋体" w:eastAsia="宋体"/>
          <w:szCs w:val="21"/>
          <w:highlight w:val="none"/>
        </w:rPr>
        <w:t>《北京市架空线管理若干规定》案由</w:t>
      </w:r>
      <w:r>
        <w:rPr>
          <w:rFonts w:ascii="宋体" w:hAnsi="宋体" w:eastAsia="宋体"/>
          <w:szCs w:val="21"/>
          <w:highlight w:val="none"/>
        </w:rPr>
        <w:t>7</w:t>
      </w:r>
      <w:r>
        <w:rPr>
          <w:rFonts w:hint="eastAsia" w:ascii="宋体" w:hAnsi="宋体" w:eastAsia="宋体"/>
          <w:szCs w:val="21"/>
          <w:highlight w:val="none"/>
        </w:rPr>
        <w:t>项</w:t>
      </w:r>
      <w:r>
        <w:tab/>
      </w:r>
      <w:r>
        <w:fldChar w:fldCharType="begin"/>
      </w:r>
      <w:r>
        <w:instrText xml:space="preserve"> PAGEREF _Toc1498902725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_Toc738602827 </w:instrText>
      </w:r>
      <w:r>
        <w:rPr>
          <w:highlight w:val="none"/>
        </w:rPr>
        <w:fldChar w:fldCharType="separate"/>
      </w:r>
      <w:r>
        <w:rPr>
          <w:rFonts w:hint="eastAsia" w:ascii="宋体" w:hAnsi="宋体" w:eastAsia="宋体"/>
          <w:szCs w:val="21"/>
          <w:highlight w:val="none"/>
        </w:rPr>
        <w:t>《城市照明管理规定》案由2项</w:t>
      </w:r>
      <w:r>
        <w:tab/>
      </w:r>
      <w:r>
        <w:fldChar w:fldCharType="begin"/>
      </w:r>
      <w:r>
        <w:instrText xml:space="preserve"> PAGEREF _Toc738602827 \h </w:instrText>
      </w:r>
      <w:r>
        <w:fldChar w:fldCharType="separate"/>
      </w:r>
      <w:r>
        <w:t>47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_Toc1789409752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物业管理条例</w:t>
      </w:r>
      <w:r>
        <w:rPr>
          <w:rFonts w:hint="eastAsia" w:ascii="宋体" w:hAnsi="宋体" w:eastAsia="宋体"/>
          <w:szCs w:val="21"/>
          <w:highlight w:val="none"/>
        </w:rPr>
        <w:t>》案由1项</w:t>
      </w:r>
      <w:r>
        <w:tab/>
      </w:r>
      <w:r>
        <w:fldChar w:fldCharType="begin"/>
      </w:r>
      <w:r>
        <w:instrText xml:space="preserve"> PAGEREF _Toc1789409752 \h </w:instrText>
      </w:r>
      <w:r>
        <w:fldChar w:fldCharType="separate"/>
      </w:r>
      <w:r>
        <w:t>47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_Toc556535299 </w:instrText>
      </w:r>
      <w:r>
        <w:rPr>
          <w:highlight w:val="none"/>
        </w:rPr>
        <w:fldChar w:fldCharType="separate"/>
      </w:r>
      <w:r>
        <w:rPr>
          <w:rFonts w:hint="eastAsia" w:ascii="黑体" w:hAnsi="黑体" w:eastAsia="黑体" w:cs="黑体"/>
          <w:bCs w:val="0"/>
          <w:szCs w:val="28"/>
          <w:highlight w:val="none"/>
        </w:rPr>
        <w:t>市政管理方面</w:t>
      </w:r>
      <w:r>
        <w:tab/>
      </w:r>
      <w:r>
        <w:fldChar w:fldCharType="begin"/>
      </w:r>
      <w:r>
        <w:instrText xml:space="preserve"> PAGEREF _Toc556535299 \h </w:instrText>
      </w:r>
      <w:r>
        <w:fldChar w:fldCharType="separate"/>
      </w:r>
      <w:r>
        <w:t>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_Toc1361147387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_Toc1361147387 \h </w:instrText>
      </w:r>
      <w:r>
        <w:fldChar w:fldCharType="separate"/>
      </w:r>
      <w:r>
        <w:t>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_Toc214954267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_Toc214954267 \h </w:instrText>
      </w:r>
      <w:r>
        <w:fldChar w:fldCharType="separate"/>
      </w:r>
      <w:r>
        <w:t>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_Toc28889216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_Toc28889216 \h </w:instrText>
      </w:r>
      <w:r>
        <w:fldChar w:fldCharType="separate"/>
      </w:r>
      <w:r>
        <w:t>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_Toc779823906 </w:instrText>
      </w:r>
      <w:r>
        <w:rPr>
          <w:highlight w:val="none"/>
        </w:rPr>
        <w:fldChar w:fldCharType="separate"/>
      </w:r>
      <w:r>
        <w:rPr>
          <w:rFonts w:hint="eastAsia" w:ascii="宋体" w:hAnsi="宋体" w:eastAsia="宋体"/>
          <w:szCs w:val="21"/>
          <w:highlight w:val="none"/>
        </w:rPr>
        <w:t>《北京市地下设施检查井井盖管理规定》案由5项</w:t>
      </w:r>
      <w:r>
        <w:tab/>
      </w:r>
      <w:r>
        <w:fldChar w:fldCharType="begin"/>
      </w:r>
      <w:r>
        <w:instrText xml:space="preserve"> PAGEREF _Toc779823906 \h </w:instrText>
      </w:r>
      <w:r>
        <w:fldChar w:fldCharType="separate"/>
      </w:r>
      <w:r>
        <w:t>52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_Toc437566120 </w:instrText>
      </w:r>
      <w:r>
        <w:rPr>
          <w:highlight w:val="none"/>
        </w:rPr>
        <w:fldChar w:fldCharType="separate"/>
      </w:r>
      <w:r>
        <w:rPr>
          <w:rFonts w:hint="eastAsia" w:ascii="黑体" w:hAnsi="黑体" w:eastAsia="黑体"/>
          <w:szCs w:val="28"/>
          <w:highlight w:val="none"/>
        </w:rPr>
        <w:t>公用事业管理方面</w:t>
      </w:r>
      <w:r>
        <w:tab/>
      </w:r>
      <w:r>
        <w:fldChar w:fldCharType="begin"/>
      </w:r>
      <w:r>
        <w:instrText xml:space="preserve"> PAGEREF _Toc437566120 \h </w:instrText>
      </w:r>
      <w:r>
        <w:fldChar w:fldCharType="separate"/>
      </w:r>
      <w:r>
        <w:t>53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_Toc692158629 </w:instrText>
      </w:r>
      <w:r>
        <w:rPr>
          <w:highlight w:val="none"/>
        </w:rPr>
        <w:fldChar w:fldCharType="separate"/>
      </w:r>
      <w:r>
        <w:rPr>
          <w:rFonts w:hint="eastAsia" w:ascii="宋体" w:hAnsi="宋体" w:eastAsia="宋体"/>
          <w:szCs w:val="21"/>
          <w:highlight w:val="none"/>
        </w:rPr>
        <w:t>《城镇燃气管理条例》案由30项</w:t>
      </w:r>
      <w:r>
        <w:tab/>
      </w:r>
      <w:r>
        <w:fldChar w:fldCharType="begin"/>
      </w:r>
      <w:r>
        <w:instrText xml:space="preserve"> PAGEREF _Toc692158629 \h </w:instrText>
      </w:r>
      <w:r>
        <w:fldChar w:fldCharType="separate"/>
      </w:r>
      <w:r>
        <w:t>53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_Toc1947883782 </w:instrText>
      </w:r>
      <w:r>
        <w:rPr>
          <w:highlight w:val="none"/>
        </w:rPr>
        <w:fldChar w:fldCharType="separate"/>
      </w:r>
      <w:r>
        <w:rPr>
          <w:rFonts w:hint="eastAsia" w:ascii="宋体" w:hAnsi="宋体" w:eastAsia="宋体"/>
          <w:szCs w:val="21"/>
          <w:highlight w:val="none"/>
        </w:rPr>
        <w:t>《北京市燃气管理条例》案由26项</w:t>
      </w:r>
      <w:r>
        <w:tab/>
      </w:r>
      <w:r>
        <w:fldChar w:fldCharType="begin"/>
      </w:r>
      <w:r>
        <w:instrText xml:space="preserve"> PAGEREF _Toc1947883782 \h </w:instrText>
      </w:r>
      <w:r>
        <w:fldChar w:fldCharType="separate"/>
      </w:r>
      <w:r>
        <w:t>64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_Toc1593544601 </w:instrText>
      </w:r>
      <w:r>
        <w:rPr>
          <w:highlight w:val="none"/>
        </w:rPr>
        <w:fldChar w:fldCharType="separate"/>
      </w:r>
      <w:r>
        <w:rPr>
          <w:rFonts w:hint="eastAsia" w:ascii="宋体" w:hAnsi="宋体" w:eastAsia="宋体"/>
          <w:szCs w:val="21"/>
          <w:highlight w:val="none"/>
        </w:rPr>
        <w:t>《北京市消防条例》案由1项</w:t>
      </w:r>
      <w:r>
        <w:tab/>
      </w:r>
      <w:r>
        <w:fldChar w:fldCharType="begin"/>
      </w:r>
      <w:r>
        <w:instrText xml:space="preserve"> PAGEREF _Toc1593544601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_Toc1837597460 </w:instrText>
      </w:r>
      <w:r>
        <w:rPr>
          <w:highlight w:val="none"/>
        </w:rPr>
        <w:fldChar w:fldCharType="separate"/>
      </w:r>
      <w:r>
        <w:rPr>
          <w:rFonts w:hint="eastAsia" w:ascii="宋体" w:hAnsi="宋体" w:eastAsia="宋体"/>
          <w:szCs w:val="21"/>
          <w:highlight w:val="none"/>
        </w:rPr>
        <w:t>《北京市清洁燃料车辆加气站管理规定》案由7项</w:t>
      </w:r>
      <w:r>
        <w:tab/>
      </w:r>
      <w:r>
        <w:fldChar w:fldCharType="begin"/>
      </w:r>
      <w:r>
        <w:instrText xml:space="preserve"> PAGEREF _Toc1837597460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_Toc499144336 </w:instrText>
      </w:r>
      <w:r>
        <w:rPr>
          <w:highlight w:val="none"/>
        </w:rPr>
        <w:fldChar w:fldCharType="separate"/>
      </w:r>
      <w:r>
        <w:rPr>
          <w:rFonts w:hint="eastAsia" w:ascii="宋体" w:hAnsi="宋体" w:eastAsia="宋体"/>
          <w:szCs w:val="21"/>
          <w:highlight w:val="none"/>
        </w:rPr>
        <w:t>《</w:t>
      </w:r>
      <w:r>
        <w:rPr>
          <w:rFonts w:ascii="宋体" w:hAnsi="宋体" w:eastAsia="宋体"/>
          <w:szCs w:val="21"/>
          <w:highlight w:val="none"/>
        </w:rPr>
        <w:t>北京市供热采暖管理办法</w:t>
      </w:r>
      <w:r>
        <w:rPr>
          <w:rFonts w:hint="eastAsia" w:ascii="宋体" w:hAnsi="宋体" w:eastAsia="宋体"/>
          <w:szCs w:val="21"/>
          <w:highlight w:val="none"/>
        </w:rPr>
        <w:t>》案由19项</w:t>
      </w:r>
      <w:r>
        <w:tab/>
      </w:r>
      <w:r>
        <w:fldChar w:fldCharType="begin"/>
      </w:r>
      <w:r>
        <w:instrText xml:space="preserve"> PAGEREF _Toc499144336 \h </w:instrText>
      </w:r>
      <w:r>
        <w:fldChar w:fldCharType="separate"/>
      </w:r>
      <w:r>
        <w:t>76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_Toc1217489061 </w:instrText>
      </w:r>
      <w:r>
        <w:rPr>
          <w:highlight w:val="none"/>
        </w:rPr>
        <w:fldChar w:fldCharType="separate"/>
      </w:r>
      <w:r>
        <w:rPr>
          <w:rFonts w:hint="eastAsia" w:ascii="宋体" w:hAnsi="宋体" w:eastAsia="宋体"/>
          <w:szCs w:val="21"/>
          <w:highlight w:val="none"/>
        </w:rPr>
        <w:t>《北京市民用建筑节能管理办法》案由2项</w:t>
      </w:r>
      <w:r>
        <w:tab/>
      </w:r>
      <w:r>
        <w:fldChar w:fldCharType="begin"/>
      </w:r>
      <w:r>
        <w:instrText xml:space="preserve"> PAGEREF _Toc1217489061 \h </w:instrText>
      </w:r>
      <w:r>
        <w:fldChar w:fldCharType="separate"/>
      </w:r>
      <w:r>
        <w:t>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_Toc1610393017 </w:instrText>
      </w:r>
      <w:r>
        <w:rPr>
          <w:highlight w:val="none"/>
        </w:rPr>
        <w:fldChar w:fldCharType="separate"/>
      </w:r>
      <w:r>
        <w:rPr>
          <w:rFonts w:hint="eastAsia" w:ascii="宋体" w:hAnsi="宋体" w:eastAsia="宋体" w:cs="宋体"/>
          <w:szCs w:val="21"/>
          <w:highlight w:val="none"/>
          <w:lang w:val="en-US" w:eastAsia="zh-CN"/>
        </w:rPr>
        <w:t>《北京市建筑绿色发展条例》案由1项</w:t>
      </w:r>
      <w:r>
        <w:tab/>
      </w:r>
      <w:r>
        <w:fldChar w:fldCharType="begin"/>
      </w:r>
      <w:r>
        <w:instrText xml:space="preserve"> PAGEREF _Toc1610393017 \h </w:instrText>
      </w:r>
      <w:r>
        <w:fldChar w:fldCharType="separate"/>
      </w:r>
      <w:r>
        <w:t>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_Toc186305980 </w:instrText>
      </w:r>
      <w:r>
        <w:rPr>
          <w:highlight w:val="none"/>
        </w:rPr>
        <w:fldChar w:fldCharType="separate"/>
      </w:r>
      <w:r>
        <w:rPr>
          <w:rFonts w:hint="eastAsia" w:ascii="宋体" w:hAnsi="宋体" w:eastAsia="宋体"/>
          <w:szCs w:val="21"/>
          <w:highlight w:val="none"/>
        </w:rPr>
        <w:t>《北京市单用途预付卡管理条例》案由7项</w:t>
      </w:r>
      <w:r>
        <w:tab/>
      </w:r>
      <w:r>
        <w:fldChar w:fldCharType="begin"/>
      </w:r>
      <w:r>
        <w:instrText xml:space="preserve"> PAGEREF _Toc186305980 \h </w:instrText>
      </w:r>
      <w:r>
        <w:fldChar w:fldCharType="separate"/>
      </w:r>
      <w:r>
        <w:t>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_Toc929619053 </w:instrText>
      </w:r>
      <w:r>
        <w:rPr>
          <w:highlight w:val="none"/>
        </w:rPr>
        <w:fldChar w:fldCharType="separate"/>
      </w:r>
      <w:r>
        <w:rPr>
          <w:rFonts w:hint="eastAsia" w:ascii="黑体" w:hAnsi="黑体" w:eastAsia="黑体"/>
          <w:szCs w:val="28"/>
          <w:highlight w:val="none"/>
        </w:rPr>
        <w:t>园林绿化管理方面</w:t>
      </w:r>
      <w:r>
        <w:tab/>
      </w:r>
      <w:r>
        <w:fldChar w:fldCharType="begin"/>
      </w:r>
      <w:r>
        <w:instrText xml:space="preserve"> PAGEREF _Toc929619053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_Toc422584556 </w:instrText>
      </w:r>
      <w:r>
        <w:rPr>
          <w:highlight w:val="none"/>
        </w:rPr>
        <w:fldChar w:fldCharType="separate"/>
      </w:r>
      <w:r>
        <w:rPr>
          <w:rFonts w:hint="eastAsia" w:ascii="宋体" w:hAnsi="宋体" w:eastAsia="宋体"/>
          <w:szCs w:val="21"/>
          <w:highlight w:val="none"/>
        </w:rPr>
        <w:t>《北京市绿化条例》案由16项</w:t>
      </w:r>
      <w:r>
        <w:tab/>
      </w:r>
      <w:r>
        <w:fldChar w:fldCharType="begin"/>
      </w:r>
      <w:r>
        <w:instrText xml:space="preserve"> PAGEREF _Toc422584556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_Toc608925407 </w:instrText>
      </w:r>
      <w:r>
        <w:rPr>
          <w:highlight w:val="none"/>
        </w:rPr>
        <w:fldChar w:fldCharType="separate"/>
      </w:r>
      <w:r>
        <w:rPr>
          <w:rFonts w:hint="eastAsia" w:ascii="宋体" w:hAnsi="宋体" w:eastAsia="宋体"/>
          <w:szCs w:val="21"/>
          <w:highlight w:val="none"/>
        </w:rPr>
        <w:t>《北京市物业</w:t>
      </w:r>
      <w:r>
        <w:rPr>
          <w:rFonts w:ascii="宋体" w:hAnsi="宋体" w:eastAsia="宋体"/>
          <w:szCs w:val="21"/>
          <w:highlight w:val="none"/>
        </w:rPr>
        <w:t>管理条例</w:t>
      </w:r>
      <w:r>
        <w:rPr>
          <w:rFonts w:hint="eastAsia" w:ascii="宋体" w:hAnsi="宋体" w:eastAsia="宋体"/>
          <w:szCs w:val="21"/>
          <w:highlight w:val="none"/>
        </w:rPr>
        <w:t>》案由1项</w:t>
      </w:r>
      <w:r>
        <w:tab/>
      </w:r>
      <w:r>
        <w:fldChar w:fldCharType="begin"/>
      </w:r>
      <w:r>
        <w:instrText xml:space="preserve"> PAGEREF _Toc608925407 \h </w:instrText>
      </w:r>
      <w:r>
        <w:fldChar w:fldCharType="separate"/>
      </w:r>
      <w:r>
        <w:t>83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_Toc945252334 </w:instrText>
      </w:r>
      <w:r>
        <w:rPr>
          <w:highlight w:val="none"/>
        </w:rPr>
        <w:fldChar w:fldCharType="separate"/>
      </w:r>
      <w:r>
        <w:rPr>
          <w:rFonts w:hint="eastAsia" w:ascii="宋体" w:hAnsi="宋体" w:eastAsia="宋体" w:cs="宋体"/>
          <w:szCs w:val="21"/>
          <w:highlight w:val="none"/>
        </w:rPr>
        <w:t>《古树名木保护条例》案由11项</w:t>
      </w:r>
      <w:r>
        <w:tab/>
      </w:r>
      <w:r>
        <w:fldChar w:fldCharType="begin"/>
      </w:r>
      <w:r>
        <w:instrText xml:space="preserve"> PAGEREF _Toc945252334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_Toc659079473 </w:instrText>
      </w:r>
      <w:r>
        <w:rPr>
          <w:highlight w:val="none"/>
        </w:rPr>
        <w:fldChar w:fldCharType="separate"/>
      </w:r>
      <w:r>
        <w:rPr>
          <w:rFonts w:hint="eastAsia"/>
          <w:szCs w:val="21"/>
          <w:highlight w:val="none"/>
        </w:rPr>
        <w:t>《北京市古树名木保护管理条例》案由</w:t>
      </w:r>
      <w:r>
        <w:rPr>
          <w:rFonts w:hint="eastAsia"/>
          <w:szCs w:val="21"/>
          <w:highlight w:val="none"/>
          <w:lang w:val="en-US" w:eastAsia="zh-CN"/>
        </w:rPr>
        <w:t>3项</w:t>
      </w:r>
      <w:r>
        <w:tab/>
      </w:r>
      <w:r>
        <w:fldChar w:fldCharType="begin"/>
      </w:r>
      <w:r>
        <w:instrText xml:space="preserve"> PAGEREF _Toc659079473 \h </w:instrText>
      </w:r>
      <w:r>
        <w:fldChar w:fldCharType="separate"/>
      </w:r>
      <w:r>
        <w:t>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_Toc1948589920 </w:instrText>
      </w:r>
      <w:r>
        <w:rPr>
          <w:highlight w:val="none"/>
        </w:rPr>
        <w:fldChar w:fldCharType="separate"/>
      </w:r>
      <w:r>
        <w:rPr>
          <w:rFonts w:hint="eastAsia" w:ascii="宋体" w:hAnsi="宋体" w:eastAsia="宋体"/>
          <w:szCs w:val="21"/>
          <w:highlight w:val="none"/>
        </w:rPr>
        <w:t>《北京市公园条例》案由</w:t>
      </w:r>
      <w:r>
        <w:rPr>
          <w:rFonts w:ascii="宋体" w:hAnsi="宋体" w:eastAsia="宋体"/>
          <w:szCs w:val="21"/>
          <w:highlight w:val="none"/>
        </w:rPr>
        <w:t xml:space="preserve"> 18</w:t>
      </w:r>
      <w:r>
        <w:rPr>
          <w:rFonts w:hint="eastAsia" w:ascii="宋体" w:hAnsi="宋体" w:eastAsia="宋体"/>
          <w:szCs w:val="21"/>
          <w:highlight w:val="none"/>
        </w:rPr>
        <w:t>项</w:t>
      </w:r>
      <w:r>
        <w:tab/>
      </w:r>
      <w:r>
        <w:fldChar w:fldCharType="begin"/>
      </w:r>
      <w:r>
        <w:instrText xml:space="preserve"> PAGEREF _Toc1948589920 \h </w:instrText>
      </w:r>
      <w:r>
        <w:fldChar w:fldCharType="separate"/>
      </w:r>
      <w:r>
        <w:t>89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_Toc1386189970 </w:instrText>
      </w:r>
      <w:r>
        <w:rPr>
          <w:highlight w:val="none"/>
        </w:rPr>
        <w:fldChar w:fldCharType="separate"/>
      </w:r>
      <w:r>
        <w:rPr>
          <w:rFonts w:hint="eastAsia" w:ascii="黑体" w:hAnsi="黑体" w:eastAsia="黑体" w:cs="黑体"/>
          <w:bCs w:val="0"/>
          <w:szCs w:val="28"/>
          <w:highlight w:val="none"/>
        </w:rPr>
        <w:t>环境保护管理方面</w:t>
      </w:r>
      <w:r>
        <w:tab/>
      </w:r>
      <w:r>
        <w:fldChar w:fldCharType="begin"/>
      </w:r>
      <w:r>
        <w:instrText xml:space="preserve"> PAGEREF _Toc1386189970 \h </w:instrText>
      </w:r>
      <w:r>
        <w:fldChar w:fldCharType="separate"/>
      </w:r>
      <w:r>
        <w:t>91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_Toc1533288799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_Toc1533288799 \h </w:instrText>
      </w:r>
      <w:r>
        <w:fldChar w:fldCharType="separate"/>
      </w:r>
      <w:r>
        <w:t>91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_Toc1254554082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_Toc1254554082 \h </w:instrText>
      </w:r>
      <w:r>
        <w:fldChar w:fldCharType="separate"/>
      </w:r>
      <w:r>
        <w:t>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_Toc945583867 </w:instrText>
      </w:r>
      <w:r>
        <w:rPr>
          <w:highlight w:val="none"/>
        </w:rPr>
        <w:fldChar w:fldCharType="separate"/>
      </w:r>
      <w:r>
        <w:rPr>
          <w:rFonts w:hint="eastAsia" w:ascii="宋体" w:hAnsi="宋体" w:eastAsia="宋体"/>
          <w:szCs w:val="21"/>
          <w:highlight w:val="none"/>
        </w:rPr>
        <w:t>《北京市环境噪声污染防治办法》案由</w:t>
      </w:r>
      <w:r>
        <w:rPr>
          <w:rFonts w:hint="eastAsia" w:ascii="宋体" w:hAnsi="宋体" w:eastAsia="宋体"/>
          <w:szCs w:val="21"/>
          <w:highlight w:val="none"/>
          <w:lang w:val="en-US" w:eastAsia="zh-CN"/>
        </w:rPr>
        <w:t>1</w:t>
      </w:r>
      <w:r>
        <w:rPr>
          <w:rFonts w:hint="eastAsia" w:ascii="宋体" w:hAnsi="宋体" w:eastAsia="宋体"/>
          <w:szCs w:val="21"/>
          <w:highlight w:val="none"/>
        </w:rPr>
        <w:t>项</w:t>
      </w:r>
      <w:r>
        <w:tab/>
      </w:r>
      <w:r>
        <w:fldChar w:fldCharType="begin"/>
      </w:r>
      <w:r>
        <w:instrText xml:space="preserve"> PAGEREF _Toc945583867 \h </w:instrText>
      </w:r>
      <w:r>
        <w:fldChar w:fldCharType="separate"/>
      </w:r>
      <w:r>
        <w:t>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_Toc1776400090 </w:instrText>
      </w:r>
      <w:r>
        <w:rPr>
          <w:highlight w:val="none"/>
        </w:rPr>
        <w:fldChar w:fldCharType="separate"/>
      </w:r>
      <w:r>
        <w:rPr>
          <w:rFonts w:hint="eastAsia" w:ascii="宋体" w:hAnsi="宋体" w:eastAsia="宋体"/>
          <w:szCs w:val="21"/>
          <w:highlight w:val="none"/>
        </w:rPr>
        <w:t>《中华人民共和国噪声污染防治法》案由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_Toc1776400090 \h </w:instrText>
      </w:r>
      <w:r>
        <w:fldChar w:fldCharType="separate"/>
      </w:r>
      <w:r>
        <w:t>96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_Toc1722596441 </w:instrText>
      </w:r>
      <w:r>
        <w:rPr>
          <w:highlight w:val="none"/>
        </w:rPr>
        <w:fldChar w:fldCharType="separate"/>
      </w:r>
      <w:r>
        <w:rPr>
          <w:rFonts w:hint="eastAsia" w:ascii="黑体" w:hAnsi="黑体" w:eastAsia="黑体"/>
          <w:szCs w:val="28"/>
          <w:highlight w:val="none"/>
        </w:rPr>
        <w:t>施工现场管理方面</w:t>
      </w:r>
      <w:r>
        <w:tab/>
      </w:r>
      <w:r>
        <w:fldChar w:fldCharType="begin"/>
      </w:r>
      <w:r>
        <w:instrText xml:space="preserve"> PAGEREF _Toc1722596441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_Toc130520792 </w:instrText>
      </w:r>
      <w:r>
        <w:rPr>
          <w:highlight w:val="none"/>
        </w:rPr>
        <w:fldChar w:fldCharType="separate"/>
      </w:r>
      <w:r>
        <w:rPr>
          <w:rFonts w:hint="eastAsia" w:ascii="宋体" w:hAnsi="宋体" w:eastAsia="宋体"/>
          <w:szCs w:val="21"/>
          <w:highlight w:val="none"/>
        </w:rPr>
        <w:t>《北京市大气污染防治条例》施工现场执法案由16项</w:t>
      </w:r>
      <w:r>
        <w:tab/>
      </w:r>
      <w:r>
        <w:fldChar w:fldCharType="begin"/>
      </w:r>
      <w:r>
        <w:instrText xml:space="preserve"> PAGEREF _Toc130520792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_Toc1908830208 </w:instrText>
      </w:r>
      <w:r>
        <w:rPr>
          <w:highlight w:val="none"/>
        </w:rPr>
        <w:fldChar w:fldCharType="separate"/>
      </w:r>
      <w:r>
        <w:rPr>
          <w:rFonts w:hint="eastAsia" w:ascii="宋体" w:hAnsi="宋体" w:eastAsia="宋体"/>
          <w:szCs w:val="21"/>
          <w:highlight w:val="none"/>
        </w:rPr>
        <w:t>《北京市建设工程施工现场管理办法》案由13项</w:t>
      </w:r>
      <w:r>
        <w:tab/>
      </w:r>
      <w:r>
        <w:fldChar w:fldCharType="begin"/>
      </w:r>
      <w:r>
        <w:instrText xml:space="preserve"> PAGEREF _Toc1908830208 \h </w:instrText>
      </w:r>
      <w:r>
        <w:fldChar w:fldCharType="separate"/>
      </w:r>
      <w:r>
        <w:t>100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_Toc1074015519 </w:instrText>
      </w:r>
      <w:r>
        <w:rPr>
          <w:highlight w:val="none"/>
        </w:rPr>
        <w:fldChar w:fldCharType="separate"/>
      </w:r>
      <w:r>
        <w:rPr>
          <w:rFonts w:hint="eastAsia" w:ascii="黑体" w:hAnsi="黑体" w:eastAsia="黑体"/>
          <w:szCs w:val="28"/>
          <w:highlight w:val="none"/>
        </w:rPr>
        <w:t>停车场管理方面</w:t>
      </w:r>
      <w:r>
        <w:tab/>
      </w:r>
      <w:r>
        <w:fldChar w:fldCharType="begin"/>
      </w:r>
      <w:r>
        <w:instrText xml:space="preserve"> PAGEREF _Toc1074015519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_Toc869123619 </w:instrText>
      </w:r>
      <w:r>
        <w:rPr>
          <w:highlight w:val="none"/>
        </w:rPr>
        <w:fldChar w:fldCharType="separate"/>
      </w:r>
      <w:r>
        <w:rPr>
          <w:rFonts w:hint="eastAsia" w:ascii="宋体" w:hAnsi="宋体" w:eastAsia="宋体"/>
          <w:szCs w:val="21"/>
          <w:highlight w:val="none"/>
        </w:rPr>
        <w:t>《北京市机动车停车管理办法》案由13项</w:t>
      </w:r>
      <w:r>
        <w:tab/>
      </w:r>
      <w:r>
        <w:fldChar w:fldCharType="begin"/>
      </w:r>
      <w:r>
        <w:instrText xml:space="preserve"> PAGEREF _Toc869123619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_Toc1550756313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机动车停车条例</w:t>
      </w:r>
      <w:r>
        <w:rPr>
          <w:rFonts w:hint="eastAsia" w:ascii="宋体" w:hAnsi="宋体" w:eastAsia="宋体"/>
          <w:szCs w:val="21"/>
          <w:highlight w:val="none"/>
        </w:rPr>
        <w:t>》案由6项</w:t>
      </w:r>
      <w:r>
        <w:tab/>
      </w:r>
      <w:r>
        <w:fldChar w:fldCharType="begin"/>
      </w:r>
      <w:r>
        <w:instrText xml:space="preserve"> PAGEREF _Toc1550756313 \h </w:instrText>
      </w:r>
      <w:r>
        <w:fldChar w:fldCharType="separate"/>
      </w:r>
      <w:r>
        <w:t>105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_Toc1630550818 </w:instrText>
      </w:r>
      <w:r>
        <w:rPr>
          <w:highlight w:val="none"/>
        </w:rPr>
        <w:fldChar w:fldCharType="separate"/>
      </w:r>
      <w:r>
        <w:rPr>
          <w:rFonts w:hint="eastAsia" w:ascii="宋体" w:hAnsi="宋体" w:eastAsia="宋体"/>
          <w:szCs w:val="21"/>
          <w:highlight w:val="none"/>
        </w:rPr>
        <w:t>《北京市非机动车停车管理办法》《北京市</w:t>
      </w:r>
      <w:r>
        <w:rPr>
          <w:rFonts w:ascii="宋体" w:hAnsi="宋体" w:eastAsia="宋体"/>
          <w:szCs w:val="21"/>
          <w:highlight w:val="none"/>
        </w:rPr>
        <w:t>非机动车</w:t>
      </w:r>
      <w:r>
        <w:rPr>
          <w:rFonts w:hint="eastAsia" w:ascii="宋体" w:hAnsi="宋体" w:eastAsia="宋体"/>
          <w:szCs w:val="21"/>
          <w:highlight w:val="none"/>
        </w:rPr>
        <w:t>管理</w:t>
      </w:r>
      <w:r>
        <w:rPr>
          <w:rFonts w:ascii="宋体" w:hAnsi="宋体" w:eastAsia="宋体"/>
          <w:szCs w:val="21"/>
          <w:highlight w:val="none"/>
        </w:rPr>
        <w:t>条例</w:t>
      </w:r>
      <w:r>
        <w:rPr>
          <w:rFonts w:hint="eastAsia" w:ascii="宋体" w:hAnsi="宋体" w:eastAsia="宋体"/>
          <w:szCs w:val="21"/>
          <w:highlight w:val="none"/>
        </w:rPr>
        <w:t>》案由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_Toc1630550818 \h </w:instrText>
      </w:r>
      <w:r>
        <w:fldChar w:fldCharType="separate"/>
      </w:r>
      <w:r>
        <w:t>106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_Toc82787358 </w:instrText>
      </w:r>
      <w:r>
        <w:rPr>
          <w:highlight w:val="none"/>
        </w:rPr>
        <w:fldChar w:fldCharType="separate"/>
      </w:r>
      <w:r>
        <w:rPr>
          <w:rFonts w:hint="eastAsia" w:ascii="黑体" w:hAnsi="黑体" w:eastAsia="黑体"/>
          <w:szCs w:val="28"/>
          <w:highlight w:val="none"/>
        </w:rPr>
        <w:t>交通运输管理方面</w:t>
      </w:r>
      <w:r>
        <w:tab/>
      </w:r>
      <w:r>
        <w:fldChar w:fldCharType="begin"/>
      </w:r>
      <w:r>
        <w:instrText xml:space="preserve"> PAGEREF _Toc82787358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_Toc1765710580 </w:instrText>
      </w:r>
      <w:r>
        <w:rPr>
          <w:highlight w:val="none"/>
        </w:rPr>
        <w:fldChar w:fldCharType="separate"/>
      </w:r>
      <w:r>
        <w:rPr>
          <w:rFonts w:hint="eastAsia" w:ascii="宋体" w:hAnsi="宋体" w:eastAsia="宋体"/>
          <w:bCs/>
          <w:strike w:val="0"/>
          <w:dstrike w:val="0"/>
          <w:szCs w:val="21"/>
          <w:highlight w:val="none"/>
        </w:rPr>
        <w:t>《巡游出租汽车经营服务管理规定》案由1项</w:t>
      </w:r>
      <w:r>
        <w:tab/>
      </w:r>
      <w:r>
        <w:fldChar w:fldCharType="begin"/>
      </w:r>
      <w:r>
        <w:instrText xml:space="preserve"> PAGEREF _Toc1765710580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_Toc1659440034 </w:instrText>
      </w:r>
      <w:r>
        <w:rPr>
          <w:highlight w:val="none"/>
        </w:rPr>
        <w:fldChar w:fldCharType="separate"/>
      </w:r>
      <w:r>
        <w:rPr>
          <w:rFonts w:hint="eastAsia" w:ascii="宋体" w:hAnsi="宋体" w:eastAsia="宋体"/>
          <w:szCs w:val="21"/>
          <w:highlight w:val="none"/>
        </w:rPr>
        <w:t>《北京市查处非法客运若干规定》案由2项</w:t>
      </w:r>
      <w:r>
        <w:tab/>
      </w:r>
      <w:r>
        <w:fldChar w:fldCharType="begin"/>
      </w:r>
      <w:r>
        <w:instrText xml:space="preserve"> PAGEREF _Toc1659440034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_Toc862611265 </w:instrText>
      </w:r>
      <w:r>
        <w:rPr>
          <w:highlight w:val="none"/>
        </w:rPr>
        <w:fldChar w:fldCharType="separate"/>
      </w:r>
      <w:r>
        <w:rPr>
          <w:rFonts w:hint="eastAsia" w:ascii="黑体" w:hAnsi="黑体" w:eastAsia="黑体"/>
          <w:szCs w:val="28"/>
          <w:highlight w:val="none"/>
        </w:rPr>
        <w:t>市场监督管理（流动无照经营）方面</w:t>
      </w:r>
      <w:r>
        <w:tab/>
      </w:r>
      <w:r>
        <w:fldChar w:fldCharType="begin"/>
      </w:r>
      <w:r>
        <w:instrText xml:space="preserve"> PAGEREF _Toc862611265 \h </w:instrText>
      </w:r>
      <w:r>
        <w:fldChar w:fldCharType="separate"/>
      </w:r>
      <w:r>
        <w:t>110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_Toc55793052 </w:instrText>
      </w:r>
      <w:r>
        <w:rPr>
          <w:highlight w:val="none"/>
        </w:rPr>
        <w:fldChar w:fldCharType="separate"/>
      </w:r>
      <w:r>
        <w:rPr>
          <w:rFonts w:hint="eastAsia" w:ascii="宋体" w:hAnsi="宋体" w:eastAsia="宋体"/>
          <w:szCs w:val="21"/>
          <w:highlight w:val="none"/>
        </w:rPr>
        <w:t>《无证</w:t>
      </w:r>
      <w:r>
        <w:rPr>
          <w:rFonts w:ascii="宋体" w:hAnsi="宋体" w:eastAsia="宋体"/>
          <w:szCs w:val="21"/>
          <w:highlight w:val="none"/>
        </w:rPr>
        <w:t>无照经营查处办法</w:t>
      </w:r>
      <w:r>
        <w:rPr>
          <w:rFonts w:hint="eastAsia" w:ascii="宋体" w:hAnsi="宋体" w:eastAsia="宋体"/>
          <w:szCs w:val="21"/>
          <w:highlight w:val="none"/>
        </w:rPr>
        <w:t>》案由3项</w:t>
      </w:r>
      <w:r>
        <w:tab/>
      </w:r>
      <w:r>
        <w:fldChar w:fldCharType="begin"/>
      </w:r>
      <w:r>
        <w:instrText xml:space="preserve"> PAGEREF _Toc55793052 \h </w:instrText>
      </w:r>
      <w:r>
        <w:fldChar w:fldCharType="separate"/>
      </w:r>
      <w:r>
        <w:t>110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_Toc204115016 </w:instrText>
      </w:r>
      <w:r>
        <w:rPr>
          <w:highlight w:val="none"/>
        </w:rPr>
        <w:fldChar w:fldCharType="separate"/>
      </w:r>
      <w:r>
        <w:rPr>
          <w:rFonts w:hint="eastAsia" w:ascii="黑体" w:hAnsi="黑体" w:eastAsia="黑体"/>
          <w:szCs w:val="28"/>
          <w:highlight w:val="none"/>
        </w:rPr>
        <w:t>城</w:t>
      </w:r>
      <w:r>
        <w:rPr>
          <w:rFonts w:hint="eastAsia" w:ascii="黑体" w:hAnsi="黑体" w:eastAsia="黑体"/>
          <w:szCs w:val="28"/>
          <w:highlight w:val="none"/>
          <w:lang w:eastAsia="zh-CN"/>
        </w:rPr>
        <w:t>乡</w:t>
      </w:r>
      <w:r>
        <w:rPr>
          <w:rFonts w:hint="eastAsia" w:ascii="黑体" w:hAnsi="黑体" w:eastAsia="黑体"/>
          <w:szCs w:val="28"/>
          <w:highlight w:val="none"/>
        </w:rPr>
        <w:t>规划管理方面</w:t>
      </w:r>
      <w:r>
        <w:tab/>
      </w:r>
      <w:r>
        <w:fldChar w:fldCharType="begin"/>
      </w:r>
      <w:r>
        <w:instrText xml:space="preserve"> PAGEREF _Toc204115016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_Toc663011399 </w:instrText>
      </w:r>
      <w:r>
        <w:rPr>
          <w:highlight w:val="none"/>
        </w:rPr>
        <w:fldChar w:fldCharType="separate"/>
      </w:r>
      <w:r>
        <w:rPr>
          <w:rFonts w:hint="eastAsia" w:ascii="宋体" w:hAnsi="宋体" w:eastAsia="宋体"/>
          <w:szCs w:val="21"/>
          <w:highlight w:val="none"/>
        </w:rPr>
        <w:t>《中华人民共和国城乡规划法》《北京市城乡规划条例》</w:t>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案由2项</w:t>
      </w:r>
      <w:r>
        <w:tab/>
      </w:r>
      <w:r>
        <w:fldChar w:fldCharType="begin"/>
      </w:r>
      <w:r>
        <w:instrText xml:space="preserve"> PAGEREF _Toc663011399 \h </w:instrText>
      </w:r>
      <w:r>
        <w:fldChar w:fldCharType="separate"/>
      </w:r>
      <w:r>
        <w:t>111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_Toc1649337653 </w:instrText>
      </w:r>
      <w:r>
        <w:rPr>
          <w:highlight w:val="none"/>
        </w:rPr>
        <w:fldChar w:fldCharType="separate"/>
      </w:r>
      <w:r>
        <w:rPr>
          <w:rFonts w:hint="eastAsia" w:ascii="黑体" w:hAnsi="黑体" w:eastAsia="黑体"/>
          <w:szCs w:val="28"/>
          <w:highlight w:val="none"/>
        </w:rPr>
        <w:t>旅游管理（黑导游）方面</w:t>
      </w:r>
      <w:r>
        <w:tab/>
      </w:r>
      <w:r>
        <w:fldChar w:fldCharType="begin"/>
      </w:r>
      <w:r>
        <w:instrText xml:space="preserve"> PAGEREF _Toc1649337653 \h </w:instrText>
      </w:r>
      <w:r>
        <w:fldChar w:fldCharType="separate"/>
      </w:r>
      <w:r>
        <w:t>112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_Toc2041712476 </w:instrText>
      </w:r>
      <w:r>
        <w:rPr>
          <w:highlight w:val="none"/>
        </w:rPr>
        <w:fldChar w:fldCharType="separate"/>
      </w:r>
      <w:r>
        <w:rPr>
          <w:rFonts w:hint="eastAsia" w:ascii="宋体" w:hAnsi="宋体" w:eastAsia="宋体"/>
          <w:szCs w:val="21"/>
          <w:highlight w:val="none"/>
        </w:rPr>
        <w:t>《中华人民共和国旅游法》案由1项</w:t>
      </w:r>
      <w:r>
        <w:tab/>
      </w:r>
      <w:r>
        <w:fldChar w:fldCharType="begin"/>
      </w:r>
      <w:r>
        <w:instrText xml:space="preserve"> PAGEREF _Toc2041712476 \h </w:instrText>
      </w:r>
      <w:r>
        <w:fldChar w:fldCharType="separate"/>
      </w:r>
      <w:r>
        <w:t>112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_Toc1162155735 </w:instrText>
      </w:r>
      <w:r>
        <w:rPr>
          <w:highlight w:val="none"/>
        </w:rPr>
        <w:fldChar w:fldCharType="separate"/>
      </w:r>
      <w:r>
        <w:rPr>
          <w:rFonts w:hint="eastAsia" w:ascii="黑体" w:hAnsi="黑体" w:eastAsia="黑体"/>
          <w:szCs w:val="28"/>
          <w:highlight w:val="none"/>
        </w:rPr>
        <w:t>食品安全管理方面</w:t>
      </w:r>
      <w:r>
        <w:tab/>
      </w:r>
      <w:r>
        <w:fldChar w:fldCharType="begin"/>
      </w:r>
      <w:r>
        <w:instrText xml:space="preserve"> PAGEREF _Toc1162155735 \h </w:instrText>
      </w:r>
      <w:r>
        <w:fldChar w:fldCharType="separate"/>
      </w:r>
      <w:r>
        <w:t>112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_Toc719343067 </w:instrText>
      </w:r>
      <w:r>
        <w:rPr>
          <w:highlight w:val="none"/>
        </w:rPr>
        <w:fldChar w:fldCharType="separate"/>
      </w:r>
      <w:r>
        <w:rPr>
          <w:rFonts w:hint="eastAsia" w:ascii="宋体" w:hAnsi="宋体" w:eastAsia="宋体"/>
          <w:szCs w:val="21"/>
          <w:highlight w:val="none"/>
        </w:rPr>
        <w:t>《北京市小规模食品生产经营管理规定》案由23项</w:t>
      </w:r>
      <w:r>
        <w:tab/>
      </w:r>
      <w:r>
        <w:fldChar w:fldCharType="begin"/>
      </w:r>
      <w:r>
        <w:instrText xml:space="preserve"> PAGEREF _Toc719343067 \h </w:instrText>
      </w:r>
      <w:r>
        <w:fldChar w:fldCharType="separate"/>
      </w:r>
      <w:r>
        <w:t>112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_Toc1504621845 </w:instrText>
      </w:r>
      <w:r>
        <w:rPr>
          <w:highlight w:val="none"/>
        </w:rPr>
        <w:fldChar w:fldCharType="separate"/>
      </w:r>
      <w:r>
        <w:rPr>
          <w:rFonts w:hint="eastAsia" w:ascii="黑体" w:hAnsi="黑体" w:eastAsia="黑体"/>
          <w:szCs w:val="28"/>
          <w:highlight w:val="none"/>
        </w:rPr>
        <w:t>能源运行管理方面</w:t>
      </w:r>
      <w:r>
        <w:tab/>
      </w:r>
      <w:r>
        <w:fldChar w:fldCharType="begin"/>
      </w:r>
      <w:r>
        <w:instrText xml:space="preserve"> PAGEREF _Toc1504621845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_Toc1348461716 </w:instrText>
      </w:r>
      <w:r>
        <w:rPr>
          <w:highlight w:val="none"/>
        </w:rPr>
        <w:fldChar w:fldCharType="separate"/>
      </w:r>
      <w:r>
        <w:rPr>
          <w:rFonts w:hint="eastAsia" w:ascii="宋体" w:hAnsi="宋体" w:eastAsia="宋体"/>
          <w:szCs w:val="21"/>
          <w:highlight w:val="none"/>
        </w:rPr>
        <w:t>《中华人民共和国煤炭法》案由</w:t>
      </w:r>
      <w:r>
        <w:rPr>
          <w:rFonts w:ascii="宋体" w:hAnsi="宋体" w:eastAsia="宋体"/>
          <w:szCs w:val="21"/>
          <w:highlight w:val="none"/>
        </w:rPr>
        <w:t>3</w:t>
      </w:r>
      <w:r>
        <w:rPr>
          <w:rFonts w:hint="eastAsia" w:ascii="宋体" w:hAnsi="宋体" w:eastAsia="宋体"/>
          <w:szCs w:val="21"/>
          <w:highlight w:val="none"/>
        </w:rPr>
        <w:t>项</w:t>
      </w:r>
      <w:r>
        <w:tab/>
      </w:r>
      <w:r>
        <w:fldChar w:fldCharType="begin"/>
      </w:r>
      <w:r>
        <w:instrText xml:space="preserve"> PAGEREF _Toc1348461716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_Toc1648962120 </w:instrText>
      </w:r>
      <w:r>
        <w:rPr>
          <w:highlight w:val="none"/>
        </w:rPr>
        <w:fldChar w:fldCharType="separate"/>
      </w:r>
      <w:r>
        <w:rPr>
          <w:rFonts w:hint="eastAsia" w:ascii="宋体" w:hAnsi="宋体" w:eastAsia="宋体"/>
          <w:szCs w:val="21"/>
          <w:highlight w:val="none"/>
        </w:rPr>
        <w:t>《中华人民共和国可再生能源法》案由2项</w:t>
      </w:r>
      <w:r>
        <w:tab/>
      </w:r>
      <w:r>
        <w:fldChar w:fldCharType="begin"/>
      </w:r>
      <w:r>
        <w:instrText xml:space="preserve"> PAGEREF _Toc1648962120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_Toc1927206402 </w:instrText>
      </w:r>
      <w:r>
        <w:rPr>
          <w:highlight w:val="none"/>
        </w:rPr>
        <w:fldChar w:fldCharType="separate"/>
      </w:r>
      <w:r>
        <w:rPr>
          <w:rFonts w:hint="eastAsia" w:ascii="宋体" w:hAnsi="宋体" w:eastAsia="宋体"/>
          <w:szCs w:val="21"/>
          <w:highlight w:val="none"/>
        </w:rPr>
        <w:t>《中华人民共和国电力法》《电力供应与使用条例》案由</w:t>
      </w:r>
      <w:r>
        <w:rPr>
          <w:rFonts w:ascii="宋体" w:hAnsi="宋体" w:eastAsia="宋体"/>
          <w:szCs w:val="21"/>
          <w:highlight w:val="none"/>
        </w:rPr>
        <w:t>6</w:t>
      </w:r>
      <w:r>
        <w:rPr>
          <w:rFonts w:hint="eastAsia" w:ascii="宋体" w:hAnsi="宋体" w:eastAsia="宋体"/>
          <w:szCs w:val="21"/>
          <w:highlight w:val="none"/>
        </w:rPr>
        <w:t>项</w:t>
      </w:r>
      <w:r>
        <w:tab/>
      </w:r>
      <w:r>
        <w:fldChar w:fldCharType="begin"/>
      </w:r>
      <w:r>
        <w:instrText xml:space="preserve"> PAGEREF _Toc1927206402 \h </w:instrText>
      </w:r>
      <w:r>
        <w:fldChar w:fldCharType="separate"/>
      </w:r>
      <w:r>
        <w:t>118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_Toc1957387123 </w:instrText>
      </w:r>
      <w:r>
        <w:rPr>
          <w:highlight w:val="none"/>
        </w:rPr>
        <w:fldChar w:fldCharType="separate"/>
      </w:r>
      <w:r>
        <w:rPr>
          <w:rFonts w:hint="eastAsia" w:ascii="宋体" w:hAnsi="宋体" w:eastAsia="宋体"/>
          <w:szCs w:val="21"/>
          <w:highlight w:val="none"/>
        </w:rPr>
        <w:t>《电力设施保护条例》《电力设施保护条例实施细则》案由5项</w:t>
      </w:r>
      <w:r>
        <w:tab/>
      </w:r>
      <w:r>
        <w:fldChar w:fldCharType="begin"/>
      </w:r>
      <w:r>
        <w:instrText xml:space="preserve"> PAGEREF _Toc1957387123 \h </w:instrText>
      </w:r>
      <w:r>
        <w:fldChar w:fldCharType="separate"/>
      </w:r>
      <w:r>
        <w:t>119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_Toc446730806 </w:instrText>
      </w:r>
      <w:r>
        <w:rPr>
          <w:highlight w:val="none"/>
        </w:rPr>
        <w:fldChar w:fldCharType="separate"/>
      </w:r>
      <w:r>
        <w:rPr>
          <w:rFonts w:hint="eastAsia"/>
          <w:szCs w:val="21"/>
          <w:highlight w:val="none"/>
          <w:lang w:val="en-US" w:eastAsia="zh-CN"/>
        </w:rPr>
        <w:t>《北京市优化营商环境条例》案由1项</w:t>
      </w:r>
      <w:r>
        <w:tab/>
      </w:r>
      <w:r>
        <w:fldChar w:fldCharType="begin"/>
      </w:r>
      <w:r>
        <w:instrText xml:space="preserve"> PAGEREF _Toc446730806 \h </w:instrText>
      </w:r>
      <w:r>
        <w:fldChar w:fldCharType="separate"/>
      </w:r>
      <w:r>
        <w:t>120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_Toc438802227 </w:instrText>
      </w:r>
      <w:r>
        <w:rPr>
          <w:highlight w:val="none"/>
        </w:rPr>
        <w:fldChar w:fldCharType="separate"/>
      </w:r>
      <w:r>
        <w:rPr>
          <w:rFonts w:hint="eastAsia" w:ascii="黑体" w:hAnsi="黑体" w:eastAsia="黑体"/>
          <w:szCs w:val="28"/>
          <w:highlight w:val="none"/>
        </w:rPr>
        <w:t>国际交往语言环境建设方面</w:t>
      </w:r>
      <w:r>
        <w:tab/>
      </w:r>
      <w:r>
        <w:fldChar w:fldCharType="begin"/>
      </w:r>
      <w:r>
        <w:instrText xml:space="preserve"> PAGEREF _Toc438802227 \h </w:instrText>
      </w:r>
      <w:r>
        <w:fldChar w:fldCharType="separate"/>
      </w:r>
      <w:r>
        <w:t>124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_Toc1758493395 </w:instrText>
      </w:r>
      <w:r>
        <w:rPr>
          <w:highlight w:val="none"/>
        </w:rPr>
        <w:fldChar w:fldCharType="separate"/>
      </w:r>
      <w:r>
        <w:rPr>
          <w:rFonts w:hint="eastAsia"/>
          <w:szCs w:val="21"/>
          <w:highlight w:val="none"/>
        </w:rPr>
        <w:t>《</w:t>
      </w:r>
      <w:r>
        <w:rPr>
          <w:rFonts w:hint="eastAsia"/>
          <w:szCs w:val="21"/>
          <w:highlight w:val="none"/>
          <w:lang w:val="zh-CN"/>
        </w:rPr>
        <w:t>北京市国际交往语言环境建设条例</w:t>
      </w:r>
      <w:r>
        <w:rPr>
          <w:rFonts w:hint="eastAsia"/>
          <w:szCs w:val="21"/>
          <w:highlight w:val="none"/>
        </w:rPr>
        <w:t>》案由</w:t>
      </w:r>
      <w:r>
        <w:rPr>
          <w:rFonts w:hint="eastAsia"/>
          <w:bCs w:val="0"/>
          <w:szCs w:val="21"/>
          <w:highlight w:val="none"/>
        </w:rPr>
        <w:t>4</w:t>
      </w:r>
      <w:r>
        <w:rPr>
          <w:rFonts w:hint="eastAsia"/>
          <w:szCs w:val="21"/>
          <w:highlight w:val="none"/>
        </w:rPr>
        <w:t>项</w:t>
      </w:r>
      <w:r>
        <w:tab/>
      </w:r>
      <w:r>
        <w:fldChar w:fldCharType="begin"/>
      </w:r>
      <w:r>
        <w:instrText xml:space="preserve"> PAGEREF _Toc1758493395 \h </w:instrText>
      </w:r>
      <w:r>
        <w:fldChar w:fldCharType="separate"/>
      </w:r>
      <w:r>
        <w:t>124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_Toc1832920776 </w:instrText>
      </w:r>
      <w:r>
        <w:rPr>
          <w:highlight w:val="none"/>
        </w:rPr>
        <w:fldChar w:fldCharType="separate"/>
      </w:r>
      <w:r>
        <w:rPr>
          <w:rFonts w:hint="eastAsia" w:ascii="黑体" w:hAnsi="黑体" w:eastAsia="黑体"/>
          <w:szCs w:val="28"/>
          <w:highlight w:val="none"/>
          <w:lang w:val="en-US" w:eastAsia="zh-CN"/>
        </w:rPr>
        <w:t>安全生产管理方面</w:t>
      </w:r>
      <w:r>
        <w:tab/>
      </w:r>
      <w:r>
        <w:fldChar w:fldCharType="begin"/>
      </w:r>
      <w:r>
        <w:instrText xml:space="preserve"> PAGEREF _Toc1832920776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_Toc1972091026 </w:instrText>
      </w:r>
      <w:r>
        <w:rPr>
          <w:highlight w:val="none"/>
        </w:rPr>
        <w:fldChar w:fldCharType="separate"/>
      </w:r>
      <w:r>
        <w:rPr>
          <w:rFonts w:hint="eastAsia" w:ascii="宋体" w:hAnsi="宋体" w:eastAsia="宋体" w:cs="宋体"/>
          <w:szCs w:val="21"/>
          <w:highlight w:val="none"/>
          <w:lang w:eastAsia="zh-Hans"/>
        </w:rPr>
        <w:t>《中华人民共和国安全生产法》</w:t>
      </w:r>
      <w:r>
        <w:rPr>
          <w:rFonts w:hint="eastAsia" w:ascii="宋体" w:hAnsi="宋体" w:eastAsia="宋体" w:cs="宋体"/>
          <w:szCs w:val="21"/>
          <w:highlight w:val="none"/>
        </w:rPr>
        <w:t>《北京市安全生产条例》</w:t>
      </w:r>
      <w:r>
        <w:rPr>
          <w:rFonts w:hint="eastAsia" w:ascii="宋体" w:hAnsi="宋体" w:eastAsia="宋体" w:cs="宋体"/>
          <w:szCs w:val="21"/>
          <w:highlight w:val="none"/>
          <w:lang w:eastAsia="zh-Hans"/>
        </w:rPr>
        <w:t>案由</w:t>
      </w:r>
      <w:r>
        <w:rPr>
          <w:rFonts w:hint="eastAsia" w:ascii="宋体" w:hAnsi="宋体" w:eastAsia="宋体" w:cs="宋体"/>
          <w:bCs w:val="0"/>
          <w:szCs w:val="21"/>
          <w:highlight w:val="none"/>
          <w:lang w:val="en-US" w:eastAsia="zh-CN"/>
        </w:rPr>
        <w:t>4</w:t>
      </w:r>
      <w:r>
        <w:rPr>
          <w:rFonts w:hint="default" w:ascii="宋体" w:hAnsi="宋体" w:eastAsia="宋体" w:cs="宋体"/>
          <w:bCs w:val="0"/>
          <w:szCs w:val="21"/>
          <w:highlight w:val="none"/>
          <w:lang w:val="en-US" w:eastAsia="zh-CN"/>
        </w:rPr>
        <w:t>3</w:t>
      </w:r>
      <w:r>
        <w:rPr>
          <w:rFonts w:hint="eastAsia" w:ascii="宋体" w:hAnsi="宋体" w:eastAsia="宋体" w:cs="宋体"/>
          <w:szCs w:val="21"/>
          <w:highlight w:val="none"/>
          <w:lang w:eastAsia="zh-Hans"/>
        </w:rPr>
        <w:t>项</w:t>
      </w:r>
      <w:r>
        <w:tab/>
      </w:r>
      <w:r>
        <w:fldChar w:fldCharType="begin"/>
      </w:r>
      <w:r>
        <w:instrText xml:space="preserve"> PAGEREF _Toc1972091026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_Toc865563829 </w:instrText>
      </w:r>
      <w:r>
        <w:rPr>
          <w:highlight w:val="none"/>
        </w:rPr>
        <w:fldChar w:fldCharType="separate"/>
      </w:r>
      <w:r>
        <w:rPr>
          <w:rFonts w:hint="eastAsia" w:ascii="宋体" w:hAnsi="宋体" w:eastAsia="宋体" w:cs="宋体"/>
          <w:szCs w:val="21"/>
          <w:highlight w:val="none"/>
        </w:rPr>
        <w:t>《北京市生产安全事故隐患排查治理办法》</w:t>
      </w:r>
      <w:r>
        <w:rPr>
          <w:rFonts w:hint="eastAsia" w:ascii="宋体" w:hAnsi="宋体" w:eastAsia="宋体" w:cs="宋体"/>
          <w:szCs w:val="21"/>
          <w:highlight w:val="none"/>
          <w:lang w:eastAsia="zh-Hans"/>
        </w:rPr>
        <w:t>案由</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Hans"/>
        </w:rPr>
        <w:t>项</w:t>
      </w:r>
      <w:r>
        <w:tab/>
      </w:r>
      <w:r>
        <w:fldChar w:fldCharType="begin"/>
      </w:r>
      <w:r>
        <w:instrText xml:space="preserve"> PAGEREF _Toc865563829 \h </w:instrText>
      </w:r>
      <w:r>
        <w:fldChar w:fldCharType="separate"/>
      </w:r>
      <w:r>
        <w:t>137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_Toc631020995 </w:instrText>
      </w:r>
      <w:r>
        <w:rPr>
          <w:highlight w:val="none"/>
        </w:rPr>
        <w:fldChar w:fldCharType="separate"/>
      </w:r>
      <w:r>
        <w:rPr>
          <w:rFonts w:hint="eastAsia" w:ascii="宋体" w:hAnsi="宋体" w:eastAsia="宋体" w:cs="宋体"/>
          <w:szCs w:val="21"/>
          <w:highlight w:val="none"/>
          <w:lang w:val="en-US" w:eastAsia="zh-CN"/>
        </w:rPr>
        <w:t>《北京市生产经营单位安全生产主体责任规定》案由2项</w:t>
      </w:r>
      <w:r>
        <w:tab/>
      </w:r>
      <w:r>
        <w:fldChar w:fldCharType="begin"/>
      </w:r>
      <w:r>
        <w:instrText xml:space="preserve"> PAGEREF _Toc631020995 \h </w:instrText>
      </w:r>
      <w:r>
        <w:fldChar w:fldCharType="separate"/>
      </w:r>
      <w:r>
        <w:t>137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_Toc1601007469 </w:instrText>
      </w:r>
      <w:r>
        <w:rPr>
          <w:highlight w:val="none"/>
        </w:rPr>
        <w:fldChar w:fldCharType="separate"/>
      </w:r>
      <w:r>
        <w:rPr>
          <w:rFonts w:hint="eastAsia" w:ascii="黑体" w:hAnsi="黑体" w:eastAsia="黑体" w:cs="黑体"/>
          <w:kern w:val="0"/>
          <w:szCs w:val="28"/>
          <w:highlight w:val="none"/>
        </w:rPr>
        <w:t>节约用水管理方面</w:t>
      </w:r>
      <w:r>
        <w:tab/>
      </w:r>
      <w:r>
        <w:fldChar w:fldCharType="begin"/>
      </w:r>
      <w:r>
        <w:instrText xml:space="preserve"> PAGEREF _Toc1601007469 \h </w:instrText>
      </w:r>
      <w:r>
        <w:fldChar w:fldCharType="separate"/>
      </w:r>
      <w:r>
        <w:t>138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_Toc440676623 </w:instrText>
      </w:r>
      <w:r>
        <w:rPr>
          <w:highlight w:val="none"/>
        </w:rPr>
        <w:fldChar w:fldCharType="separate"/>
      </w:r>
      <w:r>
        <w:rPr>
          <w:rFonts w:hint="eastAsia" w:ascii="宋体" w:hAnsi="宋体" w:eastAsia="宋体" w:cs="宋体"/>
          <w:bCs/>
          <w:kern w:val="0"/>
          <w:szCs w:val="21"/>
          <w:highlight w:val="none"/>
        </w:rPr>
        <w:t>《中华人民共和国水法》《节约用水条例》案由4项</w:t>
      </w:r>
      <w:r>
        <w:tab/>
      </w:r>
      <w:r>
        <w:fldChar w:fldCharType="begin"/>
      </w:r>
      <w:r>
        <w:instrText xml:space="preserve"> PAGEREF _Toc440676623 \h </w:instrText>
      </w:r>
      <w:r>
        <w:fldChar w:fldCharType="separate"/>
      </w:r>
      <w:r>
        <w:t>138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_Toc761541787 </w:instrText>
      </w:r>
      <w:r>
        <w:rPr>
          <w:highlight w:val="none"/>
        </w:rPr>
        <w:fldChar w:fldCharType="separate"/>
      </w:r>
      <w:r>
        <w:rPr>
          <w:rFonts w:hint="eastAsia" w:ascii="宋体" w:hAnsi="宋体" w:eastAsia="宋体" w:cs="宋体"/>
          <w:bCs/>
          <w:kern w:val="0"/>
          <w:szCs w:val="21"/>
          <w:highlight w:val="none"/>
        </w:rPr>
        <w:t>《城市房屋便器水箱应用监督管理办法》案由4项</w:t>
      </w:r>
      <w:r>
        <w:tab/>
      </w:r>
      <w:r>
        <w:fldChar w:fldCharType="begin"/>
      </w:r>
      <w:r>
        <w:instrText xml:space="preserve"> PAGEREF _Toc761541787 \h </w:instrText>
      </w:r>
      <w:r>
        <w:fldChar w:fldCharType="separate"/>
      </w:r>
      <w:r>
        <w:t>140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_Toc1362354029 </w:instrText>
      </w:r>
      <w:r>
        <w:rPr>
          <w:highlight w:val="none"/>
        </w:rPr>
        <w:fldChar w:fldCharType="separate"/>
      </w:r>
      <w:r>
        <w:rPr>
          <w:rFonts w:hint="eastAsia" w:ascii="宋体" w:hAnsi="宋体" w:eastAsia="宋体" w:cs="宋体"/>
          <w:bCs/>
          <w:kern w:val="0"/>
          <w:szCs w:val="21"/>
          <w:highlight w:val="none"/>
        </w:rPr>
        <w:t>《北京市节水条例》《北京市水污染防治条例》案由14项</w:t>
      </w:r>
      <w:r>
        <w:tab/>
      </w:r>
      <w:r>
        <w:fldChar w:fldCharType="begin"/>
      </w:r>
      <w:r>
        <w:instrText xml:space="preserve"> PAGEREF _Toc1362354029 \h </w:instrText>
      </w:r>
      <w:r>
        <w:fldChar w:fldCharType="separate"/>
      </w:r>
      <w:r>
        <w:t>141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_Toc1514692142 </w:instrText>
      </w:r>
      <w:r>
        <w:rPr>
          <w:highlight w:val="none"/>
        </w:rPr>
        <w:fldChar w:fldCharType="separate"/>
      </w:r>
      <w:r>
        <w:rPr>
          <w:rFonts w:hint="eastAsia" w:ascii="黑体" w:hAnsi="黑体" w:eastAsia="黑体" w:cs="黑体"/>
          <w:kern w:val="0"/>
          <w:szCs w:val="28"/>
          <w:highlight w:val="none"/>
        </w:rPr>
        <w:t>水资源管理方面</w:t>
      </w:r>
      <w:r>
        <w:tab/>
      </w:r>
      <w:r>
        <w:fldChar w:fldCharType="begin"/>
      </w:r>
      <w:r>
        <w:instrText xml:space="preserve"> PAGEREF _Toc1514692142 \h </w:instrText>
      </w:r>
      <w:r>
        <w:fldChar w:fldCharType="separate"/>
      </w:r>
      <w:r>
        <w:t>144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_Toc1630665407 </w:instrText>
      </w:r>
      <w:r>
        <w:rPr>
          <w:highlight w:val="none"/>
        </w:rPr>
        <w:fldChar w:fldCharType="separate"/>
      </w:r>
      <w:r>
        <w:rPr>
          <w:rFonts w:hint="eastAsia" w:ascii="宋体" w:hAnsi="宋体" w:eastAsia="宋体" w:cs="宋体"/>
          <w:bCs/>
          <w:kern w:val="0"/>
          <w:szCs w:val="21"/>
          <w:highlight w:val="none"/>
        </w:rPr>
        <w:t>《中华人民共和国水法》案由2项</w:t>
      </w:r>
      <w:r>
        <w:tab/>
      </w:r>
      <w:r>
        <w:fldChar w:fldCharType="begin"/>
      </w:r>
      <w:r>
        <w:instrText xml:space="preserve"> PAGEREF _Toc1630665407 \h </w:instrText>
      </w:r>
      <w:r>
        <w:fldChar w:fldCharType="separate"/>
      </w:r>
      <w:r>
        <w:t>144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_Toc765626694 </w:instrText>
      </w:r>
      <w:r>
        <w:rPr>
          <w:highlight w:val="none"/>
        </w:rPr>
        <w:fldChar w:fldCharType="separate"/>
      </w:r>
      <w:r>
        <w:rPr>
          <w:rFonts w:hint="eastAsia" w:ascii="宋体" w:hAnsi="宋体" w:eastAsia="宋体" w:cs="宋体"/>
          <w:bCs/>
          <w:kern w:val="0"/>
          <w:szCs w:val="21"/>
          <w:highlight w:val="none"/>
        </w:rPr>
        <w:t>《取水许可和水资源费征收管理条例》《地下水管理条例》案由9项</w:t>
      </w:r>
      <w:r>
        <w:tab/>
      </w:r>
      <w:r>
        <w:fldChar w:fldCharType="begin"/>
      </w:r>
      <w:r>
        <w:instrText xml:space="preserve"> PAGEREF _Toc765626694 \h </w:instrText>
      </w:r>
      <w:r>
        <w:fldChar w:fldCharType="separate"/>
      </w:r>
      <w:r>
        <w:t>145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_Toc997759312 </w:instrText>
      </w:r>
      <w:r>
        <w:rPr>
          <w:highlight w:val="none"/>
        </w:rPr>
        <w:fldChar w:fldCharType="separate"/>
      </w:r>
      <w:r>
        <w:rPr>
          <w:rFonts w:hint="eastAsia" w:ascii="宋体" w:hAnsi="宋体" w:eastAsia="宋体" w:cs="宋体"/>
          <w:bCs/>
          <w:kern w:val="0"/>
          <w:szCs w:val="21"/>
          <w:highlight w:val="none"/>
        </w:rPr>
        <w:t>《地下水管理条例》案由6项</w:t>
      </w:r>
      <w:r>
        <w:tab/>
      </w:r>
      <w:r>
        <w:fldChar w:fldCharType="begin"/>
      </w:r>
      <w:r>
        <w:instrText xml:space="preserve"> PAGEREF _Toc997759312 \h </w:instrText>
      </w:r>
      <w:r>
        <w:fldChar w:fldCharType="separate"/>
      </w:r>
      <w:r>
        <w:t>148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_Toc1713452765 </w:instrText>
      </w:r>
      <w:r>
        <w:rPr>
          <w:highlight w:val="none"/>
        </w:rPr>
        <w:fldChar w:fldCharType="separate"/>
      </w:r>
      <w:r>
        <w:rPr>
          <w:rFonts w:hint="eastAsia" w:ascii="宋体" w:hAnsi="宋体" w:eastAsia="宋体" w:cs="宋体"/>
          <w:bCs/>
          <w:kern w:val="0"/>
          <w:szCs w:val="21"/>
          <w:highlight w:val="none"/>
        </w:rPr>
        <w:t>《取水许可管理办法》案由3项</w:t>
      </w:r>
      <w:r>
        <w:tab/>
      </w:r>
      <w:r>
        <w:fldChar w:fldCharType="begin"/>
      </w:r>
      <w:r>
        <w:instrText xml:space="preserve"> PAGEREF _Toc1713452765 \h </w:instrText>
      </w:r>
      <w:r>
        <w:fldChar w:fldCharType="separate"/>
      </w:r>
      <w:r>
        <w:t>149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_Toc383853627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中华人民共和国水法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办法》案由1项</w:t>
      </w:r>
      <w:r>
        <w:tab/>
      </w:r>
      <w:r>
        <w:fldChar w:fldCharType="begin"/>
      </w:r>
      <w:r>
        <w:instrText xml:space="preserve"> PAGEREF _Toc383853627 \h </w:instrText>
      </w:r>
      <w:r>
        <w:fldChar w:fldCharType="separate"/>
      </w:r>
      <w:r>
        <w:t>150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_Toc509715699 </w:instrText>
      </w:r>
      <w:r>
        <w:rPr>
          <w:highlight w:val="none"/>
        </w:rPr>
        <w:fldChar w:fldCharType="separate"/>
      </w:r>
      <w:r>
        <w:rPr>
          <w:rFonts w:hint="eastAsia" w:ascii="黑体" w:hAnsi="黑体" w:eastAsia="黑体" w:cs="黑体"/>
          <w:kern w:val="0"/>
          <w:szCs w:val="28"/>
          <w:highlight w:val="none"/>
        </w:rPr>
        <w:t>排水管理方面</w:t>
      </w:r>
      <w:r>
        <w:tab/>
      </w:r>
      <w:r>
        <w:fldChar w:fldCharType="begin"/>
      </w:r>
      <w:r>
        <w:instrText xml:space="preserve"> PAGEREF _Toc509715699 \h </w:instrText>
      </w:r>
      <w:r>
        <w:fldChar w:fldCharType="separate"/>
      </w:r>
      <w:r>
        <w:t>150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_Toc428580382 </w:instrText>
      </w:r>
      <w:r>
        <w:rPr>
          <w:highlight w:val="none"/>
        </w:rPr>
        <w:fldChar w:fldCharType="separate"/>
      </w:r>
      <w:r>
        <w:rPr>
          <w:rFonts w:hint="eastAsia" w:ascii="宋体" w:hAnsi="宋体" w:eastAsia="宋体" w:cs="宋体"/>
          <w:bCs/>
          <w:kern w:val="0"/>
          <w:szCs w:val="21"/>
          <w:highlight w:val="none"/>
        </w:rPr>
        <w:t>《中华人民共和国固体废物污染环境防治法》《城镇排水与污水处理条例》《中华人民共和国水污染防治法》案由2项</w:t>
      </w:r>
      <w:r>
        <w:tab/>
      </w:r>
      <w:r>
        <w:fldChar w:fldCharType="begin"/>
      </w:r>
      <w:r>
        <w:instrText xml:space="preserve"> PAGEREF _Toc428580382 \h </w:instrText>
      </w:r>
      <w:r>
        <w:fldChar w:fldCharType="separate"/>
      </w:r>
      <w:r>
        <w:t>150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_Toc439646679 </w:instrText>
      </w:r>
      <w:r>
        <w:rPr>
          <w:highlight w:val="none"/>
        </w:rPr>
        <w:fldChar w:fldCharType="separate"/>
      </w:r>
      <w:r>
        <w:rPr>
          <w:rFonts w:hint="eastAsia" w:ascii="宋体" w:hAnsi="宋体" w:eastAsia="宋体" w:cs="宋体"/>
          <w:bCs/>
          <w:kern w:val="0"/>
          <w:szCs w:val="21"/>
          <w:highlight w:val="none"/>
        </w:rPr>
        <w:t>《城镇排水与污水处理条例》《北京市排水和再生水管理办法》案由12项</w:t>
      </w:r>
      <w:r>
        <w:tab/>
      </w:r>
      <w:r>
        <w:fldChar w:fldCharType="begin"/>
      </w:r>
      <w:r>
        <w:instrText xml:space="preserve"> PAGEREF _Toc439646679 \h </w:instrText>
      </w:r>
      <w:r>
        <w:fldChar w:fldCharType="separate"/>
      </w:r>
      <w:r>
        <w:t>151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_Toc713830715 </w:instrText>
      </w:r>
      <w:r>
        <w:rPr>
          <w:highlight w:val="none"/>
        </w:rPr>
        <w:fldChar w:fldCharType="separate"/>
      </w:r>
      <w:r>
        <w:rPr>
          <w:rFonts w:hint="eastAsia" w:ascii="宋体" w:hAnsi="宋体" w:eastAsia="宋体" w:cs="宋体"/>
          <w:bCs/>
          <w:kern w:val="0"/>
          <w:szCs w:val="21"/>
          <w:highlight w:val="none"/>
        </w:rPr>
        <w:t>《城镇污水排入排水管网许可管理办法》《城镇排水与污水处理条例》案由10项</w:t>
      </w:r>
      <w:r>
        <w:tab/>
      </w:r>
      <w:r>
        <w:fldChar w:fldCharType="begin"/>
      </w:r>
      <w:r>
        <w:instrText xml:space="preserve"> PAGEREF _Toc713830715 \h </w:instrText>
      </w:r>
      <w:r>
        <w:fldChar w:fldCharType="separate"/>
      </w:r>
      <w:r>
        <w:t>155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_Toc1091591781 </w:instrText>
      </w:r>
      <w:r>
        <w:rPr>
          <w:highlight w:val="none"/>
        </w:rPr>
        <w:fldChar w:fldCharType="separate"/>
      </w:r>
      <w:r>
        <w:rPr>
          <w:rFonts w:hint="eastAsia" w:ascii="宋体" w:hAnsi="宋体" w:eastAsia="宋体" w:cs="宋体"/>
          <w:bCs/>
          <w:kern w:val="0"/>
          <w:szCs w:val="21"/>
          <w:highlight w:val="none"/>
        </w:rPr>
        <w:t>《北京市水污染防治条例》案由1项</w:t>
      </w:r>
      <w:r>
        <w:tab/>
      </w:r>
      <w:r>
        <w:fldChar w:fldCharType="begin"/>
      </w:r>
      <w:r>
        <w:instrText xml:space="preserve"> PAGEREF _Toc1091591781 \h </w:instrText>
      </w:r>
      <w:r>
        <w:fldChar w:fldCharType="separate"/>
      </w:r>
      <w:r>
        <w:t>159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_Toc2088984333 </w:instrText>
      </w:r>
      <w:r>
        <w:rPr>
          <w:highlight w:val="none"/>
        </w:rPr>
        <w:fldChar w:fldCharType="separate"/>
      </w:r>
      <w:r>
        <w:rPr>
          <w:rFonts w:hint="eastAsia" w:ascii="宋体" w:hAnsi="宋体" w:eastAsia="宋体" w:cs="宋体"/>
          <w:bCs/>
          <w:kern w:val="0"/>
          <w:szCs w:val="21"/>
          <w:highlight w:val="none"/>
        </w:rPr>
        <w:t>《北京市排水和再生水管理办法》案由9项</w:t>
      </w:r>
      <w:r>
        <w:tab/>
      </w:r>
      <w:r>
        <w:fldChar w:fldCharType="begin"/>
      </w:r>
      <w:r>
        <w:instrText xml:space="preserve"> PAGEREF _Toc2088984333 \h </w:instrText>
      </w:r>
      <w:r>
        <w:fldChar w:fldCharType="separate"/>
      </w:r>
      <w:r>
        <w:t>159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_Toc608059543 </w:instrText>
      </w:r>
      <w:r>
        <w:rPr>
          <w:highlight w:val="none"/>
        </w:rPr>
        <w:fldChar w:fldCharType="separate"/>
      </w:r>
      <w:r>
        <w:rPr>
          <w:rFonts w:hint="eastAsia" w:ascii="黑体" w:hAnsi="黑体" w:eastAsia="黑体" w:cs="黑体"/>
          <w:kern w:val="0"/>
          <w:szCs w:val="28"/>
          <w:highlight w:val="none"/>
        </w:rPr>
        <w:t>供水管理方面</w:t>
      </w:r>
      <w:r>
        <w:tab/>
      </w:r>
      <w:r>
        <w:fldChar w:fldCharType="begin"/>
      </w:r>
      <w:r>
        <w:instrText xml:space="preserve"> PAGEREF _Toc608059543 \h </w:instrText>
      </w:r>
      <w:r>
        <w:fldChar w:fldCharType="separate"/>
      </w:r>
      <w:r>
        <w:t>161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_Toc106263869 </w:instrText>
      </w:r>
      <w:r>
        <w:rPr>
          <w:highlight w:val="none"/>
        </w:rPr>
        <w:fldChar w:fldCharType="separate"/>
      </w:r>
      <w:r>
        <w:rPr>
          <w:rFonts w:hint="eastAsia" w:ascii="宋体" w:hAnsi="宋体" w:eastAsia="宋体" w:cs="宋体"/>
          <w:bCs/>
          <w:kern w:val="0"/>
          <w:szCs w:val="21"/>
          <w:highlight w:val="none"/>
        </w:rPr>
        <w:t>《中华人民共和国水污染防治法》《城市供水条例》《北京市自建设施供水管理办法》《北京市城市公共供水管理办法》案由1项</w:t>
      </w:r>
      <w:r>
        <w:tab/>
      </w:r>
      <w:r>
        <w:fldChar w:fldCharType="begin"/>
      </w:r>
      <w:r>
        <w:instrText xml:space="preserve"> PAGEREF _Toc106263869 \h </w:instrText>
      </w:r>
      <w:r>
        <w:fldChar w:fldCharType="separate"/>
      </w:r>
      <w:r>
        <w:t>161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_Toc660843752 </w:instrText>
      </w:r>
      <w:r>
        <w:rPr>
          <w:highlight w:val="none"/>
        </w:rPr>
        <w:fldChar w:fldCharType="separate"/>
      </w:r>
      <w:r>
        <w:rPr>
          <w:rFonts w:hint="eastAsia" w:ascii="宋体" w:hAnsi="宋体" w:eastAsia="宋体" w:cs="宋体"/>
          <w:bCs/>
          <w:kern w:val="0"/>
          <w:szCs w:val="21"/>
          <w:highlight w:val="none"/>
        </w:rPr>
        <w:t>《城市供水条例》《建设工程质量管理条例》《北京市城市公共供水管理办法》案由4项</w:t>
      </w:r>
      <w:r>
        <w:tab/>
      </w:r>
      <w:r>
        <w:fldChar w:fldCharType="begin"/>
      </w:r>
      <w:r>
        <w:instrText xml:space="preserve"> PAGEREF _Toc660843752 \h </w:instrText>
      </w:r>
      <w:r>
        <w:fldChar w:fldCharType="separate"/>
      </w:r>
      <w:r>
        <w:t>162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_Toc2112681388 </w:instrText>
      </w:r>
      <w:r>
        <w:rPr>
          <w:highlight w:val="none"/>
        </w:rPr>
        <w:fldChar w:fldCharType="separate"/>
      </w:r>
      <w:r>
        <w:rPr>
          <w:rFonts w:hint="eastAsia" w:ascii="宋体" w:hAnsi="宋体" w:eastAsia="宋体" w:cs="宋体"/>
          <w:bCs/>
          <w:kern w:val="0"/>
          <w:szCs w:val="21"/>
          <w:highlight w:val="none"/>
        </w:rPr>
        <w:t>《城市供水水质管理规定》案由9项</w:t>
      </w:r>
      <w:r>
        <w:tab/>
      </w:r>
      <w:r>
        <w:fldChar w:fldCharType="begin"/>
      </w:r>
      <w:r>
        <w:instrText xml:space="preserve"> PAGEREF _Toc2112681388 \h </w:instrText>
      </w:r>
      <w:r>
        <w:fldChar w:fldCharType="separate"/>
      </w:r>
      <w:r>
        <w:t>163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_Toc1454725585 </w:instrText>
      </w:r>
      <w:r>
        <w:rPr>
          <w:highlight w:val="none"/>
        </w:rPr>
        <w:fldChar w:fldCharType="separate"/>
      </w:r>
      <w:r>
        <w:rPr>
          <w:rFonts w:hint="eastAsia" w:ascii="宋体" w:hAnsi="宋体" w:eastAsia="宋体" w:cs="宋体"/>
          <w:bCs/>
          <w:kern w:val="0"/>
          <w:szCs w:val="21"/>
          <w:highlight w:val="none"/>
        </w:rPr>
        <w:t>《生活饮用水卫生监督管理办法》案由2项</w:t>
      </w:r>
      <w:r>
        <w:tab/>
      </w:r>
      <w:r>
        <w:fldChar w:fldCharType="begin"/>
      </w:r>
      <w:r>
        <w:instrText xml:space="preserve"> PAGEREF _Toc1454725585 \h </w:instrText>
      </w:r>
      <w:r>
        <w:fldChar w:fldCharType="separate"/>
      </w:r>
      <w:r>
        <w:t>164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_Toc162322224 </w:instrText>
      </w:r>
      <w:r>
        <w:rPr>
          <w:highlight w:val="none"/>
        </w:rPr>
        <w:fldChar w:fldCharType="separate"/>
      </w:r>
      <w:r>
        <w:rPr>
          <w:rFonts w:hint="eastAsia" w:ascii="宋体" w:hAnsi="宋体" w:eastAsia="宋体" w:cs="宋体"/>
          <w:bCs/>
          <w:kern w:val="0"/>
          <w:szCs w:val="21"/>
          <w:highlight w:val="none"/>
        </w:rPr>
        <w:t>《北京市节水条例》案由7项</w:t>
      </w:r>
      <w:r>
        <w:tab/>
      </w:r>
      <w:r>
        <w:fldChar w:fldCharType="begin"/>
      </w:r>
      <w:r>
        <w:instrText xml:space="preserve"> PAGEREF _Toc162322224 \h </w:instrText>
      </w:r>
      <w:r>
        <w:fldChar w:fldCharType="separate"/>
      </w:r>
      <w:r>
        <w:t>165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_Toc1892404142 </w:instrText>
      </w:r>
      <w:r>
        <w:rPr>
          <w:highlight w:val="none"/>
        </w:rPr>
        <w:fldChar w:fldCharType="separate"/>
      </w:r>
      <w:r>
        <w:rPr>
          <w:rFonts w:hint="eastAsia" w:ascii="宋体" w:hAnsi="宋体" w:eastAsia="宋体" w:cs="宋体"/>
          <w:bCs/>
          <w:kern w:val="0"/>
          <w:szCs w:val="21"/>
          <w:highlight w:val="none"/>
        </w:rPr>
        <w:t>《北京市物业管理条例》案由1项</w:t>
      </w:r>
      <w:r>
        <w:tab/>
      </w:r>
      <w:r>
        <w:fldChar w:fldCharType="begin"/>
      </w:r>
      <w:r>
        <w:instrText xml:space="preserve"> PAGEREF _Toc1892404142 \h </w:instrText>
      </w:r>
      <w:r>
        <w:fldChar w:fldCharType="separate"/>
      </w:r>
      <w:r>
        <w:t>167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_Toc1264629060 </w:instrText>
      </w:r>
      <w:r>
        <w:rPr>
          <w:highlight w:val="none"/>
        </w:rPr>
        <w:fldChar w:fldCharType="separate"/>
      </w:r>
      <w:r>
        <w:rPr>
          <w:rFonts w:hint="eastAsia" w:ascii="宋体" w:hAnsi="宋体" w:eastAsia="宋体" w:cs="宋体"/>
          <w:bCs/>
          <w:kern w:val="0"/>
          <w:szCs w:val="21"/>
          <w:highlight w:val="none"/>
        </w:rPr>
        <w:t>《北京市城市公共供水管理办法》案由7项</w:t>
      </w:r>
      <w:r>
        <w:tab/>
      </w:r>
      <w:r>
        <w:fldChar w:fldCharType="begin"/>
      </w:r>
      <w:r>
        <w:instrText xml:space="preserve"> PAGEREF _Toc1264629060 \h </w:instrText>
      </w:r>
      <w:r>
        <w:fldChar w:fldCharType="separate"/>
      </w:r>
      <w:r>
        <w:t>168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_Toc609053030 </w:instrText>
      </w:r>
      <w:r>
        <w:rPr>
          <w:highlight w:val="none"/>
        </w:rPr>
        <w:fldChar w:fldCharType="separate"/>
      </w:r>
      <w:r>
        <w:rPr>
          <w:rFonts w:hint="eastAsia" w:ascii="宋体" w:hAnsi="宋体" w:eastAsia="宋体" w:cs="宋体"/>
          <w:bCs/>
          <w:kern w:val="0"/>
          <w:szCs w:val="21"/>
          <w:highlight w:val="none"/>
        </w:rPr>
        <w:t>《北京市自建设施供水管理办法》《城市供水条例》案由3项</w:t>
      </w:r>
      <w:r>
        <w:tab/>
      </w:r>
      <w:r>
        <w:fldChar w:fldCharType="begin"/>
      </w:r>
      <w:r>
        <w:instrText xml:space="preserve"> PAGEREF _Toc609053030 \h </w:instrText>
      </w:r>
      <w:r>
        <w:fldChar w:fldCharType="separate"/>
      </w:r>
      <w:r>
        <w:t>169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_Toc183722722 </w:instrText>
      </w:r>
      <w:r>
        <w:rPr>
          <w:highlight w:val="none"/>
        </w:rPr>
        <w:fldChar w:fldCharType="separate"/>
      </w:r>
      <w:r>
        <w:rPr>
          <w:rFonts w:hint="eastAsia" w:ascii="黑体" w:hAnsi="黑体" w:eastAsia="黑体" w:cs="黑体"/>
          <w:kern w:val="0"/>
          <w:szCs w:val="28"/>
          <w:highlight w:val="none"/>
        </w:rPr>
        <w:t>水环境管理方面</w:t>
      </w:r>
      <w:r>
        <w:tab/>
      </w:r>
      <w:r>
        <w:fldChar w:fldCharType="begin"/>
      </w:r>
      <w:r>
        <w:instrText xml:space="preserve"> PAGEREF _Toc183722722 \h </w:instrText>
      </w:r>
      <w:r>
        <w:fldChar w:fldCharType="separate"/>
      </w:r>
      <w:r>
        <w:t>170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_Toc875638807 </w:instrText>
      </w:r>
      <w:r>
        <w:rPr>
          <w:highlight w:val="none"/>
        </w:rPr>
        <w:fldChar w:fldCharType="separate"/>
      </w:r>
      <w:r>
        <w:rPr>
          <w:rFonts w:hint="eastAsia" w:ascii="宋体" w:hAnsi="宋体" w:eastAsia="宋体" w:cs="宋体"/>
          <w:bCs/>
          <w:kern w:val="0"/>
          <w:szCs w:val="21"/>
          <w:highlight w:val="none"/>
        </w:rPr>
        <w:t>《中华人民共和国防洪法》《中华人民共和国水法》《北京市河湖保护管理条例》案由2项</w:t>
      </w:r>
      <w:r>
        <w:tab/>
      </w:r>
      <w:r>
        <w:fldChar w:fldCharType="begin"/>
      </w:r>
      <w:r>
        <w:instrText xml:space="preserve"> PAGEREF _Toc875638807 \h </w:instrText>
      </w:r>
      <w:r>
        <w:fldChar w:fldCharType="separate"/>
      </w:r>
      <w:r>
        <w:t>170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_Toc294490159 </w:instrText>
      </w:r>
      <w:r>
        <w:rPr>
          <w:highlight w:val="none"/>
        </w:rPr>
        <w:fldChar w:fldCharType="separate"/>
      </w:r>
      <w:r>
        <w:rPr>
          <w:rFonts w:hint="eastAsia" w:ascii="宋体" w:hAnsi="宋体" w:eastAsia="宋体" w:cs="宋体"/>
          <w:bCs/>
          <w:kern w:val="0"/>
          <w:szCs w:val="21"/>
          <w:highlight w:val="none"/>
        </w:rPr>
        <w:t>《中华人民共和国水污染防治法》案由1项</w:t>
      </w:r>
      <w:r>
        <w:tab/>
      </w:r>
      <w:r>
        <w:fldChar w:fldCharType="begin"/>
      </w:r>
      <w:r>
        <w:instrText xml:space="preserve"> PAGEREF _Toc294490159 \h </w:instrText>
      </w:r>
      <w:r>
        <w:fldChar w:fldCharType="separate"/>
      </w:r>
      <w:r>
        <w:t>171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_Toc8330100 </w:instrText>
      </w:r>
      <w:r>
        <w:rPr>
          <w:highlight w:val="none"/>
        </w:rPr>
        <w:fldChar w:fldCharType="separate"/>
      </w:r>
      <w:r>
        <w:rPr>
          <w:rFonts w:hint="eastAsia" w:ascii="宋体" w:hAnsi="宋体" w:eastAsia="宋体" w:cs="宋体"/>
          <w:bCs/>
          <w:kern w:val="0"/>
          <w:szCs w:val="21"/>
          <w:highlight w:val="none"/>
        </w:rPr>
        <w:t>《中华人民共和国河道管理条例》《北京市河湖保护管理条例》案由2项</w:t>
      </w:r>
      <w:r>
        <w:tab/>
      </w:r>
      <w:r>
        <w:fldChar w:fldCharType="begin"/>
      </w:r>
      <w:r>
        <w:instrText xml:space="preserve"> PAGEREF _Toc8330100 \h </w:instrText>
      </w:r>
      <w:r>
        <w:fldChar w:fldCharType="separate"/>
      </w:r>
      <w:r>
        <w:t>171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_Toc1741202637 </w:instrText>
      </w:r>
      <w:r>
        <w:rPr>
          <w:highlight w:val="none"/>
        </w:rPr>
        <w:fldChar w:fldCharType="separate"/>
      </w:r>
      <w:r>
        <w:rPr>
          <w:rFonts w:hint="eastAsia" w:ascii="宋体" w:hAnsi="宋体" w:eastAsia="宋体" w:cs="宋体"/>
          <w:bCs/>
          <w:kern w:val="0"/>
          <w:szCs w:val="21"/>
          <w:highlight w:val="none"/>
        </w:rPr>
        <w:t>《公路安全保护条例》案由1项</w:t>
      </w:r>
      <w:r>
        <w:tab/>
      </w:r>
      <w:r>
        <w:fldChar w:fldCharType="begin"/>
      </w:r>
      <w:r>
        <w:instrText xml:space="preserve"> PAGEREF _Toc1741202637 \h </w:instrText>
      </w:r>
      <w:r>
        <w:fldChar w:fldCharType="separate"/>
      </w:r>
      <w:r>
        <w:t>172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_Toc925511154 </w:instrText>
      </w:r>
      <w:r>
        <w:rPr>
          <w:highlight w:val="none"/>
        </w:rPr>
        <w:fldChar w:fldCharType="separate"/>
      </w:r>
      <w:r>
        <w:rPr>
          <w:rFonts w:hint="eastAsia" w:ascii="宋体" w:hAnsi="宋体" w:eastAsia="宋体" w:cs="宋体"/>
          <w:bCs/>
          <w:kern w:val="0"/>
          <w:szCs w:val="21"/>
          <w:highlight w:val="none"/>
        </w:rPr>
        <w:t>《北京市河湖保护管理条例》案由4项</w:t>
      </w:r>
      <w:r>
        <w:tab/>
      </w:r>
      <w:r>
        <w:fldChar w:fldCharType="begin"/>
      </w:r>
      <w:r>
        <w:instrText xml:space="preserve"> PAGEREF _Toc925511154 \h </w:instrText>
      </w:r>
      <w:r>
        <w:fldChar w:fldCharType="separate"/>
      </w:r>
      <w:r>
        <w:t>172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_Toc1609337569 </w:instrText>
      </w:r>
      <w:r>
        <w:rPr>
          <w:highlight w:val="none"/>
        </w:rPr>
        <w:fldChar w:fldCharType="separate"/>
      </w:r>
      <w:r>
        <w:rPr>
          <w:rFonts w:hint="eastAsia" w:ascii="宋体" w:hAnsi="宋体" w:eastAsia="宋体" w:cs="宋体"/>
          <w:bCs/>
          <w:kern w:val="0"/>
          <w:szCs w:val="21"/>
          <w:highlight w:val="none"/>
        </w:rPr>
        <w:t>《北京市湿地保护条例》案由8项</w:t>
      </w:r>
      <w:r>
        <w:tab/>
      </w:r>
      <w:r>
        <w:fldChar w:fldCharType="begin"/>
      </w:r>
      <w:r>
        <w:instrText xml:space="preserve"> PAGEREF _Toc1609337569 \h </w:instrText>
      </w:r>
      <w:r>
        <w:fldChar w:fldCharType="separate"/>
      </w:r>
      <w:r>
        <w:t>173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_Toc34395612 </w:instrText>
      </w:r>
      <w:r>
        <w:rPr>
          <w:highlight w:val="none"/>
        </w:rPr>
        <w:fldChar w:fldCharType="separate"/>
      </w:r>
      <w:r>
        <w:rPr>
          <w:rFonts w:hint="eastAsia" w:ascii="宋体" w:hAnsi="宋体" w:eastAsia="宋体" w:cs="宋体"/>
          <w:bCs/>
          <w:kern w:val="0"/>
          <w:szCs w:val="21"/>
          <w:highlight w:val="none"/>
        </w:rPr>
        <w:t>《北京市水污染防治条例》案由2项</w:t>
      </w:r>
      <w:r>
        <w:tab/>
      </w:r>
      <w:r>
        <w:fldChar w:fldCharType="begin"/>
      </w:r>
      <w:r>
        <w:instrText xml:space="preserve"> PAGEREF _Toc34395612 \h </w:instrText>
      </w:r>
      <w:r>
        <w:fldChar w:fldCharType="separate"/>
      </w:r>
      <w:r>
        <w:t>177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_Toc1687052942 </w:instrText>
      </w:r>
      <w:r>
        <w:rPr>
          <w:highlight w:val="none"/>
        </w:rPr>
        <w:fldChar w:fldCharType="separate"/>
      </w:r>
      <w:r>
        <w:rPr>
          <w:rFonts w:hint="eastAsia" w:ascii="黑体" w:hAnsi="黑体" w:eastAsia="黑体" w:cs="黑体"/>
          <w:kern w:val="0"/>
          <w:szCs w:val="28"/>
          <w:highlight w:val="none"/>
        </w:rPr>
        <w:t>水土保持管理方面</w:t>
      </w:r>
      <w:r>
        <w:tab/>
      </w:r>
      <w:r>
        <w:fldChar w:fldCharType="begin"/>
      </w:r>
      <w:r>
        <w:instrText xml:space="preserve"> PAGEREF _Toc1687052942 \h </w:instrText>
      </w:r>
      <w:r>
        <w:fldChar w:fldCharType="separate"/>
      </w:r>
      <w:r>
        <w:t>177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_Toc824207951 </w:instrText>
      </w:r>
      <w:r>
        <w:rPr>
          <w:highlight w:val="none"/>
        </w:rPr>
        <w:fldChar w:fldCharType="separate"/>
      </w:r>
      <w:r>
        <w:rPr>
          <w:rFonts w:hint="eastAsia" w:ascii="宋体" w:hAnsi="宋体" w:eastAsia="宋体" w:cs="宋体"/>
          <w:bCs/>
          <w:kern w:val="0"/>
          <w:szCs w:val="21"/>
          <w:highlight w:val="none"/>
        </w:rPr>
        <w:t>《中华人民共和国水土保持法》案由9项</w:t>
      </w:r>
      <w:r>
        <w:tab/>
      </w:r>
      <w:r>
        <w:fldChar w:fldCharType="begin"/>
      </w:r>
      <w:r>
        <w:instrText xml:space="preserve"> PAGEREF _Toc824207951 \h </w:instrText>
      </w:r>
      <w:r>
        <w:fldChar w:fldCharType="separate"/>
      </w:r>
      <w:r>
        <w:t>177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_Toc1549087754 </w:instrText>
      </w:r>
      <w:r>
        <w:rPr>
          <w:highlight w:val="none"/>
        </w:rPr>
        <w:fldChar w:fldCharType="separate"/>
      </w:r>
      <w:r>
        <w:rPr>
          <w:rFonts w:hint="eastAsia" w:ascii="宋体" w:hAnsi="宋体" w:eastAsia="宋体" w:cs="宋体"/>
          <w:bCs/>
          <w:kern w:val="0"/>
          <w:szCs w:val="21"/>
          <w:highlight w:val="none"/>
        </w:rPr>
        <w:t>《北京市水土保持条例》案由9项</w:t>
      </w:r>
      <w:r>
        <w:tab/>
      </w:r>
      <w:r>
        <w:fldChar w:fldCharType="begin"/>
      </w:r>
      <w:r>
        <w:instrText xml:space="preserve"> PAGEREF _Toc1549087754 \h </w:instrText>
      </w:r>
      <w:r>
        <w:fldChar w:fldCharType="separate"/>
      </w:r>
      <w:r>
        <w:t>179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_Toc1170234701 </w:instrText>
      </w:r>
      <w:r>
        <w:rPr>
          <w:highlight w:val="none"/>
        </w:rPr>
        <w:fldChar w:fldCharType="separate"/>
      </w:r>
      <w:r>
        <w:rPr>
          <w:rFonts w:hint="eastAsia" w:ascii="黑体" w:hAnsi="黑体" w:eastAsia="黑体" w:cs="黑体"/>
          <w:kern w:val="0"/>
          <w:szCs w:val="28"/>
          <w:highlight w:val="none"/>
        </w:rPr>
        <w:t>水工程运行管理方面</w:t>
      </w:r>
      <w:r>
        <w:tab/>
      </w:r>
      <w:r>
        <w:fldChar w:fldCharType="begin"/>
      </w:r>
      <w:r>
        <w:instrText xml:space="preserve"> PAGEREF _Toc1170234701 \h </w:instrText>
      </w:r>
      <w:r>
        <w:fldChar w:fldCharType="separate"/>
      </w:r>
      <w:r>
        <w:t>181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_Toc1589834645 </w:instrText>
      </w:r>
      <w:r>
        <w:rPr>
          <w:highlight w:val="none"/>
        </w:rPr>
        <w:fldChar w:fldCharType="separate"/>
      </w:r>
      <w:r>
        <w:rPr>
          <w:rFonts w:hint="eastAsia" w:ascii="宋体" w:hAnsi="宋体" w:eastAsia="宋体" w:cs="宋体"/>
          <w:bCs/>
          <w:kern w:val="0"/>
          <w:szCs w:val="21"/>
          <w:highlight w:val="none"/>
        </w:rPr>
        <w:t>《中华人民共和国水法》《中华人民共和国河道管理条例》《南水北调工程供用水管理条例》案由10项</w:t>
      </w:r>
      <w:r>
        <w:tab/>
      </w:r>
      <w:r>
        <w:fldChar w:fldCharType="begin"/>
      </w:r>
      <w:r>
        <w:instrText xml:space="preserve"> PAGEREF _Toc1589834645 \h </w:instrText>
      </w:r>
      <w:r>
        <w:fldChar w:fldCharType="separate"/>
      </w:r>
      <w:r>
        <w:t>181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_Toc399363418 </w:instrText>
      </w:r>
      <w:r>
        <w:rPr>
          <w:highlight w:val="none"/>
        </w:rPr>
        <w:fldChar w:fldCharType="separate"/>
      </w:r>
      <w:r>
        <w:rPr>
          <w:rFonts w:hint="eastAsia" w:ascii="宋体" w:hAnsi="宋体" w:eastAsia="宋体" w:cs="宋体"/>
          <w:bCs/>
          <w:kern w:val="0"/>
          <w:szCs w:val="21"/>
          <w:highlight w:val="none"/>
        </w:rPr>
        <w:t>《中华人民共和国防洪法》案由7项</w:t>
      </w:r>
      <w:r>
        <w:tab/>
      </w:r>
      <w:r>
        <w:fldChar w:fldCharType="begin"/>
      </w:r>
      <w:r>
        <w:instrText xml:space="preserve"> PAGEREF _Toc399363418 \h </w:instrText>
      </w:r>
      <w:r>
        <w:fldChar w:fldCharType="separate"/>
      </w:r>
      <w:r>
        <w:t>183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_Toc736203818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_Toc736203818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_Toc1973688272 </w:instrText>
      </w:r>
      <w:r>
        <w:rPr>
          <w:highlight w:val="none"/>
        </w:rPr>
        <w:fldChar w:fldCharType="separate"/>
      </w:r>
      <w:r>
        <w:rPr>
          <w:rFonts w:hint="eastAsia" w:ascii="宋体" w:hAnsi="宋体" w:eastAsia="宋体" w:cs="宋体"/>
          <w:bCs/>
          <w:kern w:val="0"/>
          <w:szCs w:val="21"/>
          <w:highlight w:val="none"/>
        </w:rPr>
        <w:t>《水库大坝注册登记办法》案由1项</w:t>
      </w:r>
      <w:r>
        <w:tab/>
      </w:r>
      <w:r>
        <w:fldChar w:fldCharType="begin"/>
      </w:r>
      <w:r>
        <w:instrText xml:space="preserve"> PAGEREF _Toc1973688272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_Toc909079117 </w:instrText>
      </w:r>
      <w:r>
        <w:rPr>
          <w:highlight w:val="none"/>
        </w:rPr>
        <w:fldChar w:fldCharType="separate"/>
      </w:r>
      <w:r>
        <w:rPr>
          <w:rFonts w:hint="eastAsia" w:ascii="宋体" w:hAnsi="宋体" w:eastAsia="宋体" w:cs="宋体"/>
          <w:bCs/>
          <w:kern w:val="0"/>
          <w:szCs w:val="21"/>
          <w:highlight w:val="none"/>
        </w:rPr>
        <w:t>《北京市河湖保护管理条例》《中华人民共和国河道管理条例》案由10项</w:t>
      </w:r>
      <w:r>
        <w:tab/>
      </w:r>
      <w:r>
        <w:fldChar w:fldCharType="begin"/>
      </w:r>
      <w:r>
        <w:instrText xml:space="preserve"> PAGEREF _Toc909079117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_Toc1164784201 </w:instrText>
      </w:r>
      <w:r>
        <w:rPr>
          <w:highlight w:val="none"/>
        </w:rPr>
        <w:fldChar w:fldCharType="separate"/>
      </w:r>
      <w:r>
        <w:rPr>
          <w:rFonts w:hint="eastAsia" w:ascii="宋体" w:hAnsi="宋体" w:eastAsia="宋体" w:cs="宋体"/>
          <w:bCs/>
          <w:kern w:val="0"/>
          <w:szCs w:val="21"/>
          <w:highlight w:val="none"/>
        </w:rPr>
        <w:t>《北京市湿地保护条例》案由1项</w:t>
      </w:r>
      <w:r>
        <w:tab/>
      </w:r>
      <w:r>
        <w:fldChar w:fldCharType="begin"/>
      </w:r>
      <w:r>
        <w:instrText xml:space="preserve"> PAGEREF _Toc1164784201 \h </w:instrText>
      </w:r>
      <w:r>
        <w:fldChar w:fldCharType="separate"/>
      </w:r>
      <w:r>
        <w:t>188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_Toc265851304 </w:instrText>
      </w:r>
      <w:r>
        <w:rPr>
          <w:highlight w:val="none"/>
        </w:rPr>
        <w:fldChar w:fldCharType="separate"/>
      </w:r>
      <w:r>
        <w:rPr>
          <w:rFonts w:hint="eastAsia" w:ascii="宋体" w:hAnsi="宋体" w:eastAsia="宋体" w:cs="宋体"/>
          <w:bCs/>
          <w:kern w:val="0"/>
          <w:szCs w:val="21"/>
          <w:highlight w:val="none"/>
        </w:rPr>
        <w:t>《北京市南水北调工程保护办法》案由7项</w:t>
      </w:r>
      <w:r>
        <w:tab/>
      </w:r>
      <w:r>
        <w:fldChar w:fldCharType="begin"/>
      </w:r>
      <w:r>
        <w:instrText xml:space="preserve"> PAGEREF _Toc265851304 \h </w:instrText>
      </w:r>
      <w:r>
        <w:fldChar w:fldCharType="separate"/>
      </w:r>
      <w:r>
        <w:t>188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_Toc1622909832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中华人民共和国防洪法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办法》案由2项</w:t>
      </w:r>
      <w:r>
        <w:tab/>
      </w:r>
      <w:r>
        <w:fldChar w:fldCharType="begin"/>
      </w:r>
      <w:r>
        <w:instrText xml:space="preserve"> PAGEREF _Toc1622909832 \h </w:instrText>
      </w:r>
      <w:r>
        <w:fldChar w:fldCharType="separate"/>
      </w:r>
      <w:r>
        <w:t>189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_Toc108892334 </w:instrText>
      </w:r>
      <w:r>
        <w:rPr>
          <w:highlight w:val="none"/>
        </w:rPr>
        <w:fldChar w:fldCharType="separate"/>
      </w:r>
      <w:r>
        <w:rPr>
          <w:rFonts w:hint="eastAsia" w:ascii="黑体" w:hAnsi="黑体" w:eastAsia="黑体" w:cs="黑体"/>
          <w:kern w:val="0"/>
          <w:szCs w:val="28"/>
          <w:highlight w:val="none"/>
        </w:rPr>
        <w:t>水利建设资质管理方面</w:t>
      </w:r>
      <w:r>
        <w:tab/>
      </w:r>
      <w:r>
        <w:fldChar w:fldCharType="begin"/>
      </w:r>
      <w:r>
        <w:instrText xml:space="preserve"> PAGEREF _Toc108892334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_Toc207351989 </w:instrText>
      </w:r>
      <w:r>
        <w:rPr>
          <w:highlight w:val="none"/>
        </w:rPr>
        <w:fldChar w:fldCharType="separate"/>
      </w:r>
      <w:r>
        <w:rPr>
          <w:rFonts w:hint="eastAsia" w:ascii="宋体" w:hAnsi="宋体" w:eastAsia="宋体" w:cs="宋体"/>
          <w:bCs/>
          <w:kern w:val="0"/>
          <w:szCs w:val="21"/>
          <w:highlight w:val="none"/>
        </w:rPr>
        <w:t>《中华人民共和国建筑法》案由1项</w:t>
      </w:r>
      <w:r>
        <w:tab/>
      </w:r>
      <w:r>
        <w:fldChar w:fldCharType="begin"/>
      </w:r>
      <w:r>
        <w:instrText xml:space="preserve"> PAGEREF _Toc207351989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_Toc83485727 </w:instrText>
      </w:r>
      <w:r>
        <w:rPr>
          <w:highlight w:val="none"/>
        </w:rPr>
        <w:fldChar w:fldCharType="separate"/>
      </w:r>
      <w:r>
        <w:rPr>
          <w:rFonts w:hint="eastAsia" w:ascii="宋体" w:hAnsi="宋体" w:eastAsia="宋体" w:cs="宋体"/>
          <w:bCs/>
          <w:kern w:val="0"/>
          <w:szCs w:val="21"/>
          <w:highlight w:val="none"/>
        </w:rPr>
        <w:t>《建设工程质量管理条例》案由3项</w:t>
      </w:r>
      <w:r>
        <w:tab/>
      </w:r>
      <w:r>
        <w:fldChar w:fldCharType="begin"/>
      </w:r>
      <w:r>
        <w:instrText xml:space="preserve"> PAGEREF _Toc83485727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_Toc215156203 </w:instrText>
      </w:r>
      <w:r>
        <w:rPr>
          <w:highlight w:val="none"/>
        </w:rPr>
        <w:fldChar w:fldCharType="separate"/>
      </w:r>
      <w:r>
        <w:rPr>
          <w:rFonts w:hint="eastAsia" w:ascii="宋体" w:hAnsi="宋体" w:eastAsia="宋体" w:cs="宋体"/>
          <w:bCs/>
          <w:kern w:val="0"/>
          <w:szCs w:val="21"/>
          <w:highlight w:val="none"/>
        </w:rPr>
        <w:t>《建筑业企业资质管理规定》案由4项</w:t>
      </w:r>
      <w:r>
        <w:tab/>
      </w:r>
      <w:r>
        <w:fldChar w:fldCharType="begin"/>
      </w:r>
      <w:r>
        <w:instrText xml:space="preserve"> PAGEREF _Toc215156203 \h </w:instrText>
      </w:r>
      <w:r>
        <w:fldChar w:fldCharType="separate"/>
      </w:r>
      <w:r>
        <w:t>192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_Toc868195741 </w:instrText>
      </w:r>
      <w:r>
        <w:rPr>
          <w:highlight w:val="none"/>
        </w:rPr>
        <w:fldChar w:fldCharType="separate"/>
      </w:r>
      <w:r>
        <w:rPr>
          <w:rFonts w:hint="eastAsia" w:ascii="宋体" w:hAnsi="宋体" w:eastAsia="宋体" w:cs="宋体"/>
          <w:bCs/>
          <w:kern w:val="0"/>
          <w:szCs w:val="21"/>
          <w:highlight w:val="none"/>
        </w:rPr>
        <w:t>《工程监理企业资质管理规定》案由3项</w:t>
      </w:r>
      <w:r>
        <w:tab/>
      </w:r>
      <w:r>
        <w:fldChar w:fldCharType="begin"/>
      </w:r>
      <w:r>
        <w:instrText xml:space="preserve"> PAGEREF _Toc868195741 \h </w:instrText>
      </w:r>
      <w:r>
        <w:fldChar w:fldCharType="separate"/>
      </w:r>
      <w:r>
        <w:t>192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_Toc48683468 </w:instrText>
      </w:r>
      <w:r>
        <w:rPr>
          <w:highlight w:val="none"/>
        </w:rPr>
        <w:fldChar w:fldCharType="separate"/>
      </w:r>
      <w:r>
        <w:rPr>
          <w:rFonts w:hint="eastAsia" w:ascii="宋体" w:hAnsi="宋体" w:eastAsia="宋体" w:cs="宋体"/>
          <w:bCs/>
          <w:kern w:val="0"/>
          <w:szCs w:val="21"/>
          <w:highlight w:val="none"/>
        </w:rPr>
        <w:t>《水利工程建设监理规定》案由2项</w:t>
      </w:r>
      <w:r>
        <w:tab/>
      </w:r>
      <w:r>
        <w:fldChar w:fldCharType="begin"/>
      </w:r>
      <w:r>
        <w:instrText xml:space="preserve"> PAGEREF _Toc48683468 \h </w:instrText>
      </w:r>
      <w:r>
        <w:fldChar w:fldCharType="separate"/>
      </w:r>
      <w:r>
        <w:t>193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_Toc1669881788 </w:instrText>
      </w:r>
      <w:r>
        <w:rPr>
          <w:highlight w:val="none"/>
        </w:rPr>
        <w:fldChar w:fldCharType="separate"/>
      </w:r>
      <w:r>
        <w:rPr>
          <w:rFonts w:hint="eastAsia" w:ascii="宋体" w:hAnsi="宋体" w:eastAsia="宋体" w:cs="宋体"/>
          <w:bCs/>
          <w:kern w:val="0"/>
          <w:szCs w:val="21"/>
          <w:highlight w:val="none"/>
        </w:rPr>
        <w:t>《水利工程质量检测管理规定》案由5项</w:t>
      </w:r>
      <w:r>
        <w:tab/>
      </w:r>
      <w:r>
        <w:fldChar w:fldCharType="begin"/>
      </w:r>
      <w:r>
        <w:instrText xml:space="preserve"> PAGEREF _Toc1669881788 \h </w:instrText>
      </w:r>
      <w:r>
        <w:fldChar w:fldCharType="separate"/>
      </w:r>
      <w:r>
        <w:t>193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_Toc1030517965 </w:instrText>
      </w:r>
      <w:r>
        <w:rPr>
          <w:highlight w:val="none"/>
        </w:rPr>
        <w:fldChar w:fldCharType="separate"/>
      </w:r>
      <w:r>
        <w:rPr>
          <w:rFonts w:hint="eastAsia" w:ascii="宋体" w:hAnsi="宋体" w:eastAsia="宋体" w:cs="宋体"/>
          <w:bCs/>
          <w:kern w:val="0"/>
          <w:szCs w:val="21"/>
          <w:highlight w:val="none"/>
        </w:rPr>
        <w:t>《市政公用事业特许经营管理办法》案由1项</w:t>
      </w:r>
      <w:r>
        <w:tab/>
      </w:r>
      <w:r>
        <w:fldChar w:fldCharType="begin"/>
      </w:r>
      <w:r>
        <w:instrText xml:space="preserve"> PAGEREF _Toc1030517965 \h </w:instrText>
      </w:r>
      <w:r>
        <w:fldChar w:fldCharType="separate"/>
      </w:r>
      <w:r>
        <w:t>194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_Toc1941087610 </w:instrText>
      </w:r>
      <w:r>
        <w:rPr>
          <w:highlight w:val="none"/>
        </w:rPr>
        <w:fldChar w:fldCharType="separate"/>
      </w:r>
      <w:r>
        <w:rPr>
          <w:rFonts w:hint="eastAsia" w:ascii="宋体" w:hAnsi="宋体" w:eastAsia="宋体" w:cs="宋体"/>
          <w:bCs/>
          <w:kern w:val="0"/>
          <w:szCs w:val="21"/>
          <w:highlight w:val="none"/>
        </w:rPr>
        <w:t>《注册造价工程师管理办法》案由3项</w:t>
      </w:r>
      <w:r>
        <w:tab/>
      </w:r>
      <w:r>
        <w:fldChar w:fldCharType="begin"/>
      </w:r>
      <w:r>
        <w:instrText xml:space="preserve"> PAGEREF _Toc1941087610 \h </w:instrText>
      </w:r>
      <w:r>
        <w:fldChar w:fldCharType="separate"/>
      </w:r>
      <w:r>
        <w:t>194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_Toc787027200 </w:instrText>
      </w:r>
      <w:r>
        <w:rPr>
          <w:highlight w:val="none"/>
        </w:rPr>
        <w:fldChar w:fldCharType="separate"/>
      </w:r>
      <w:r>
        <w:rPr>
          <w:rFonts w:hint="eastAsia" w:ascii="黑体" w:hAnsi="黑体" w:eastAsia="黑体" w:cs="黑体"/>
          <w:kern w:val="0"/>
          <w:szCs w:val="28"/>
          <w:highlight w:val="none"/>
        </w:rPr>
        <w:t>水文与水行政许可管理方面</w:t>
      </w:r>
      <w:r>
        <w:tab/>
      </w:r>
      <w:r>
        <w:fldChar w:fldCharType="begin"/>
      </w:r>
      <w:r>
        <w:instrText xml:space="preserve"> PAGEREF _Toc787027200 \h </w:instrText>
      </w:r>
      <w:r>
        <w:fldChar w:fldCharType="separate"/>
      </w:r>
      <w:r>
        <w:t>195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_Toc1639570995 </w:instrText>
      </w:r>
      <w:r>
        <w:rPr>
          <w:highlight w:val="none"/>
        </w:rPr>
        <w:fldChar w:fldCharType="separate"/>
      </w:r>
      <w:r>
        <w:rPr>
          <w:rFonts w:hint="eastAsia" w:ascii="宋体" w:hAnsi="宋体" w:eastAsia="宋体" w:cs="宋体"/>
          <w:bCs/>
          <w:kern w:val="0"/>
          <w:szCs w:val="21"/>
          <w:highlight w:val="none"/>
        </w:rPr>
        <w:t>《中华人民共和国水文条例》案由5项</w:t>
      </w:r>
      <w:r>
        <w:tab/>
      </w:r>
      <w:r>
        <w:fldChar w:fldCharType="begin"/>
      </w:r>
      <w:r>
        <w:instrText xml:space="preserve"> PAGEREF _Toc1639570995 \h </w:instrText>
      </w:r>
      <w:r>
        <w:fldChar w:fldCharType="separate"/>
      </w:r>
      <w:r>
        <w:t>195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_Toc2124810332 </w:instrText>
      </w:r>
      <w:r>
        <w:rPr>
          <w:highlight w:val="none"/>
        </w:rPr>
        <w:fldChar w:fldCharType="separate"/>
      </w:r>
      <w:r>
        <w:rPr>
          <w:rFonts w:hint="eastAsia" w:ascii="宋体" w:hAnsi="宋体" w:eastAsia="宋体" w:cs="宋体"/>
          <w:bCs/>
          <w:kern w:val="0"/>
          <w:szCs w:val="21"/>
          <w:highlight w:val="none"/>
        </w:rPr>
        <w:t>《中华人民共和国行政许可法》《水行政许可实施办法》案由4项</w:t>
      </w:r>
      <w:r>
        <w:tab/>
      </w:r>
      <w:r>
        <w:fldChar w:fldCharType="begin"/>
      </w:r>
      <w:r>
        <w:instrText xml:space="preserve"> PAGEREF _Toc2124810332 \h </w:instrText>
      </w:r>
      <w:r>
        <w:fldChar w:fldCharType="separate"/>
      </w:r>
      <w:r>
        <w:t>196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_Toc1662666008 </w:instrText>
      </w:r>
      <w:r>
        <w:rPr>
          <w:highlight w:val="none"/>
        </w:rPr>
        <w:fldChar w:fldCharType="separate"/>
      </w:r>
      <w:r>
        <w:rPr>
          <w:rFonts w:hint="eastAsia" w:ascii="黑体" w:hAnsi="黑体" w:eastAsia="黑体" w:cs="黑体"/>
          <w:kern w:val="0"/>
          <w:szCs w:val="28"/>
          <w:highlight w:val="none"/>
        </w:rPr>
        <w:t>水务移民管理方面</w:t>
      </w:r>
      <w:r>
        <w:tab/>
      </w:r>
      <w:r>
        <w:fldChar w:fldCharType="begin"/>
      </w:r>
      <w:r>
        <w:instrText xml:space="preserve"> PAGEREF _Toc1662666008 \h </w:instrText>
      </w:r>
      <w:r>
        <w:fldChar w:fldCharType="separate"/>
      </w:r>
      <w:r>
        <w:t>197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_Toc1934061154 </w:instrText>
      </w:r>
      <w:r>
        <w:rPr>
          <w:highlight w:val="none"/>
        </w:rPr>
        <w:fldChar w:fldCharType="separate"/>
      </w:r>
      <w:r>
        <w:rPr>
          <w:rFonts w:hint="eastAsia" w:ascii="宋体" w:hAnsi="宋体" w:eastAsia="宋体" w:cs="宋体"/>
          <w:bCs/>
          <w:kern w:val="0"/>
          <w:szCs w:val="21"/>
          <w:highlight w:val="none"/>
        </w:rPr>
        <w:t>《大中型水利水电工程建设征地补偿和移民安置条例》案由3项</w:t>
      </w:r>
      <w:r>
        <w:tab/>
      </w:r>
      <w:r>
        <w:fldChar w:fldCharType="begin"/>
      </w:r>
      <w:r>
        <w:instrText xml:space="preserve"> PAGEREF _Toc1934061154 \h </w:instrText>
      </w:r>
      <w:r>
        <w:fldChar w:fldCharType="separate"/>
      </w:r>
      <w:r>
        <w:t>197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_Toc2133140433 </w:instrText>
      </w:r>
      <w:r>
        <w:rPr>
          <w:highlight w:val="none"/>
        </w:rPr>
        <w:fldChar w:fldCharType="separate"/>
      </w:r>
      <w:r>
        <w:rPr>
          <w:rFonts w:hint="eastAsia" w:ascii="黑体" w:hAnsi="黑体" w:eastAsia="黑体" w:cs="黑体"/>
          <w:kern w:val="0"/>
          <w:szCs w:val="28"/>
          <w:highlight w:val="none"/>
        </w:rPr>
        <w:t>防汛抗旱管理方面</w:t>
      </w:r>
      <w:r>
        <w:tab/>
      </w:r>
      <w:r>
        <w:fldChar w:fldCharType="begin"/>
      </w:r>
      <w:r>
        <w:instrText xml:space="preserve"> PAGEREF _Toc2133140433 \h </w:instrText>
      </w:r>
      <w:r>
        <w:fldChar w:fldCharType="separate"/>
      </w:r>
      <w:r>
        <w:t>198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_Toc1256384997 </w:instrText>
      </w:r>
      <w:r>
        <w:rPr>
          <w:highlight w:val="none"/>
        </w:rPr>
        <w:fldChar w:fldCharType="separate"/>
      </w:r>
      <w:r>
        <w:rPr>
          <w:rFonts w:hint="eastAsia" w:ascii="宋体" w:hAnsi="宋体" w:eastAsia="宋体" w:cs="宋体"/>
          <w:bCs/>
          <w:kern w:val="0"/>
          <w:szCs w:val="21"/>
          <w:highlight w:val="none"/>
        </w:rPr>
        <w:t>《中华人民共和国抗旱条例》案由4项</w:t>
      </w:r>
      <w:r>
        <w:tab/>
      </w:r>
      <w:r>
        <w:fldChar w:fldCharType="begin"/>
      </w:r>
      <w:r>
        <w:instrText xml:space="preserve"> PAGEREF _Toc1256384997 \h </w:instrText>
      </w:r>
      <w:r>
        <w:fldChar w:fldCharType="separate"/>
      </w:r>
      <w:r>
        <w:t>198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_Toc712088661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_Toc712088661 \h </w:instrText>
      </w:r>
      <w:r>
        <w:fldChar w:fldCharType="separate"/>
      </w:r>
      <w:r>
        <w:t>199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_Toc1594994354 </w:instrText>
      </w:r>
      <w:r>
        <w:rPr>
          <w:highlight w:val="none"/>
        </w:rPr>
        <w:fldChar w:fldCharType="separate"/>
      </w:r>
      <w:r>
        <w:rPr>
          <w:rFonts w:hint="eastAsia" w:ascii="黑体" w:hAnsi="黑体" w:eastAsia="黑体" w:cs="黑体"/>
          <w:kern w:val="0"/>
          <w:szCs w:val="28"/>
          <w:highlight w:val="none"/>
        </w:rPr>
        <w:t>水利项目招投标管理方面</w:t>
      </w:r>
      <w:r>
        <w:tab/>
      </w:r>
      <w:r>
        <w:fldChar w:fldCharType="begin"/>
      </w:r>
      <w:r>
        <w:instrText xml:space="preserve"> PAGEREF _Toc1594994354 \h </w:instrText>
      </w:r>
      <w:r>
        <w:fldChar w:fldCharType="separate"/>
      </w:r>
      <w:r>
        <w:t>199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_Toc1290780609 </w:instrText>
      </w:r>
      <w:r>
        <w:rPr>
          <w:highlight w:val="none"/>
        </w:rPr>
        <w:fldChar w:fldCharType="separate"/>
      </w:r>
      <w:r>
        <w:rPr>
          <w:rFonts w:hint="eastAsia" w:ascii="宋体" w:hAnsi="宋体" w:eastAsia="宋体" w:cs="宋体"/>
          <w:bCs/>
          <w:kern w:val="0"/>
          <w:szCs w:val="21"/>
          <w:highlight w:val="none"/>
        </w:rPr>
        <w:t>《中华人民共和国招标投标法》《中华人民共和国招标投标法实施条例》案由9项</w:t>
      </w:r>
      <w:r>
        <w:tab/>
      </w:r>
      <w:r>
        <w:fldChar w:fldCharType="begin"/>
      </w:r>
      <w:r>
        <w:instrText xml:space="preserve"> PAGEREF _Toc1290780609 \h </w:instrText>
      </w:r>
      <w:r>
        <w:fldChar w:fldCharType="separate"/>
      </w:r>
      <w:r>
        <w:t>199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_Toc251657955 </w:instrText>
      </w:r>
      <w:r>
        <w:rPr>
          <w:highlight w:val="none"/>
        </w:rPr>
        <w:fldChar w:fldCharType="separate"/>
      </w:r>
      <w:r>
        <w:rPr>
          <w:rFonts w:hint="eastAsia" w:ascii="宋体" w:hAnsi="宋体" w:eastAsia="宋体" w:cs="宋体"/>
          <w:bCs/>
          <w:kern w:val="0"/>
          <w:szCs w:val="21"/>
          <w:highlight w:val="none"/>
        </w:rPr>
        <w:t>《中华人民共和国招标投标法实施条例》案由12项</w:t>
      </w:r>
      <w:r>
        <w:tab/>
      </w:r>
      <w:r>
        <w:fldChar w:fldCharType="begin"/>
      </w:r>
      <w:r>
        <w:instrText xml:space="preserve"> PAGEREF _Toc251657955 \h </w:instrText>
      </w:r>
      <w:r>
        <w:fldChar w:fldCharType="separate"/>
      </w:r>
      <w:r>
        <w:t>201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_Toc271718657 </w:instrText>
      </w:r>
      <w:r>
        <w:rPr>
          <w:highlight w:val="none"/>
        </w:rPr>
        <w:fldChar w:fldCharType="separate"/>
      </w:r>
      <w:r>
        <w:rPr>
          <w:rFonts w:hint="eastAsia" w:ascii="宋体" w:hAnsi="宋体" w:eastAsia="宋体" w:cs="宋体"/>
          <w:bCs/>
          <w:kern w:val="0"/>
          <w:szCs w:val="21"/>
          <w:highlight w:val="none"/>
        </w:rPr>
        <w:t>《工程建设项目施工招标投标办法》案由1项</w:t>
      </w:r>
      <w:r>
        <w:tab/>
      </w:r>
      <w:r>
        <w:fldChar w:fldCharType="begin"/>
      </w:r>
      <w:r>
        <w:instrText xml:space="preserve"> PAGEREF _Toc271718657 \h </w:instrText>
      </w:r>
      <w:r>
        <w:fldChar w:fldCharType="separate"/>
      </w:r>
      <w:r>
        <w:t>204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_Toc692384715 </w:instrText>
      </w:r>
      <w:r>
        <w:rPr>
          <w:highlight w:val="none"/>
        </w:rPr>
        <w:fldChar w:fldCharType="separate"/>
      </w:r>
      <w:r>
        <w:rPr>
          <w:rFonts w:hint="eastAsia" w:ascii="黑体" w:hAnsi="黑体" w:eastAsia="黑体" w:cs="黑体"/>
          <w:kern w:val="0"/>
          <w:szCs w:val="28"/>
          <w:highlight w:val="none"/>
        </w:rPr>
        <w:t>水利建设勘察设计管理方面</w:t>
      </w:r>
      <w:r>
        <w:tab/>
      </w:r>
      <w:r>
        <w:fldChar w:fldCharType="begin"/>
      </w:r>
      <w:r>
        <w:instrText xml:space="preserve"> PAGEREF _Toc692384715 \h </w:instrText>
      </w:r>
      <w:r>
        <w:fldChar w:fldCharType="separate"/>
      </w:r>
      <w:r>
        <w:t>204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_Toc1421892656 </w:instrText>
      </w:r>
      <w:r>
        <w:rPr>
          <w:highlight w:val="none"/>
        </w:rPr>
        <w:fldChar w:fldCharType="separate"/>
      </w:r>
      <w:r>
        <w:rPr>
          <w:rFonts w:hint="eastAsia" w:ascii="宋体" w:hAnsi="宋体" w:eastAsia="宋体" w:cs="宋体"/>
          <w:bCs/>
          <w:kern w:val="0"/>
          <w:szCs w:val="21"/>
          <w:highlight w:val="none"/>
        </w:rPr>
        <w:t>《建设工程勘察设计管理条例》案由5项</w:t>
      </w:r>
      <w:r>
        <w:tab/>
      </w:r>
      <w:r>
        <w:fldChar w:fldCharType="begin"/>
      </w:r>
      <w:r>
        <w:instrText xml:space="preserve"> PAGEREF _Toc1421892656 \h </w:instrText>
      </w:r>
      <w:r>
        <w:fldChar w:fldCharType="separate"/>
      </w:r>
      <w:r>
        <w:t>204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_Toc1861553303 </w:instrText>
      </w:r>
      <w:r>
        <w:rPr>
          <w:highlight w:val="none"/>
        </w:rPr>
        <w:fldChar w:fldCharType="separate"/>
      </w:r>
      <w:r>
        <w:rPr>
          <w:rFonts w:ascii="Times New Roman" w:hAnsi="Times New Roman" w:eastAsia="宋体" w:cs="Times New Roman"/>
          <w:bCs/>
          <w:kern w:val="0"/>
          <w:szCs w:val="21"/>
          <w:highlight w:val="none"/>
        </w:rPr>
        <w:t>《建设工程质量管理条例》《水利工程质量管理规定》案由4项</w:t>
      </w:r>
      <w:r>
        <w:tab/>
      </w:r>
      <w:r>
        <w:fldChar w:fldCharType="begin"/>
      </w:r>
      <w:r>
        <w:instrText xml:space="preserve"> PAGEREF _Toc1861553303 \h </w:instrText>
      </w:r>
      <w:r>
        <w:fldChar w:fldCharType="separate"/>
      </w:r>
      <w:r>
        <w:t>205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_Toc1091748133 </w:instrText>
      </w:r>
      <w:r>
        <w:rPr>
          <w:highlight w:val="none"/>
        </w:rPr>
        <w:fldChar w:fldCharType="separate"/>
      </w:r>
      <w:r>
        <w:rPr>
          <w:rFonts w:ascii="Times New Roman" w:hAnsi="Times New Roman" w:eastAsia="宋体" w:cs="Times New Roman"/>
          <w:bCs/>
          <w:kern w:val="0"/>
          <w:szCs w:val="21"/>
          <w:highlight w:val="none"/>
        </w:rPr>
        <w:t>《建设工程勘察质量管理办法》案由17项</w:t>
      </w:r>
      <w:r>
        <w:tab/>
      </w:r>
      <w:r>
        <w:fldChar w:fldCharType="begin"/>
      </w:r>
      <w:r>
        <w:instrText xml:space="preserve"> PAGEREF _Toc1091748133 \h </w:instrText>
      </w:r>
      <w:r>
        <w:fldChar w:fldCharType="separate"/>
      </w:r>
      <w:r>
        <w:t>206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_Toc10612826 </w:instrText>
      </w:r>
      <w:r>
        <w:rPr>
          <w:highlight w:val="none"/>
        </w:rPr>
        <w:fldChar w:fldCharType="separate"/>
      </w:r>
      <w:r>
        <w:rPr>
          <w:rFonts w:hint="eastAsia" w:ascii="宋体" w:hAnsi="宋体" w:eastAsia="宋体" w:cs="宋体"/>
          <w:bCs/>
          <w:kern w:val="0"/>
          <w:szCs w:val="21"/>
          <w:highlight w:val="none"/>
        </w:rPr>
        <w:t>《建设工程勘察设计资质管理规定》案由4项</w:t>
      </w:r>
      <w:r>
        <w:tab/>
      </w:r>
      <w:r>
        <w:fldChar w:fldCharType="begin"/>
      </w:r>
      <w:r>
        <w:instrText xml:space="preserve"> PAGEREF _Toc10612826 \h </w:instrText>
      </w:r>
      <w:r>
        <w:fldChar w:fldCharType="separate"/>
      </w:r>
      <w:r>
        <w:t>209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_Toc1687757927 </w:instrText>
      </w:r>
      <w:r>
        <w:rPr>
          <w:highlight w:val="none"/>
        </w:rPr>
        <w:fldChar w:fldCharType="separate"/>
      </w:r>
      <w:r>
        <w:rPr>
          <w:rFonts w:hint="eastAsia" w:ascii="黑体" w:hAnsi="黑体" w:eastAsia="黑体" w:cs="黑体"/>
          <w:kern w:val="0"/>
          <w:szCs w:val="28"/>
          <w:highlight w:val="none"/>
        </w:rPr>
        <w:t>水利工程建设质量管理方面</w:t>
      </w:r>
      <w:r>
        <w:tab/>
      </w:r>
      <w:r>
        <w:fldChar w:fldCharType="begin"/>
      </w:r>
      <w:r>
        <w:instrText xml:space="preserve"> PAGEREF _Toc1687757927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_Toc2000827251 </w:instrText>
      </w:r>
      <w:r>
        <w:rPr>
          <w:highlight w:val="none"/>
        </w:rPr>
        <w:fldChar w:fldCharType="separate"/>
      </w:r>
      <w:r>
        <w:rPr>
          <w:rFonts w:ascii="Times New Roman" w:hAnsi="Times New Roman" w:eastAsia="宋体" w:cs="Times New Roman"/>
          <w:bCs/>
          <w:kern w:val="0"/>
          <w:szCs w:val="21"/>
          <w:highlight w:val="none"/>
        </w:rPr>
        <w:t>《中华人民共和国建筑法》案由1项</w:t>
      </w:r>
      <w:r>
        <w:tab/>
      </w:r>
      <w:r>
        <w:fldChar w:fldCharType="begin"/>
      </w:r>
      <w:r>
        <w:instrText xml:space="preserve"> PAGEREF _Toc2000827251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_Toc1175397027 </w:instrText>
      </w:r>
      <w:r>
        <w:rPr>
          <w:highlight w:val="none"/>
        </w:rPr>
        <w:fldChar w:fldCharType="separate"/>
      </w:r>
      <w:r>
        <w:rPr>
          <w:rFonts w:hint="eastAsia" w:ascii="宋体" w:hAnsi="宋体" w:eastAsia="宋体" w:cs="宋体"/>
          <w:bCs/>
          <w:kern w:val="0"/>
          <w:szCs w:val="21"/>
          <w:highlight w:val="none"/>
        </w:rPr>
        <w:t>《建设工程质量管理条例》《水利工程质量管理规定》案由28项</w:t>
      </w:r>
      <w:r>
        <w:tab/>
      </w:r>
      <w:r>
        <w:fldChar w:fldCharType="begin"/>
      </w:r>
      <w:r>
        <w:instrText xml:space="preserve"> PAGEREF _Toc1175397027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_Toc1953609231 </w:instrText>
      </w:r>
      <w:r>
        <w:rPr>
          <w:highlight w:val="none"/>
        </w:rPr>
        <w:fldChar w:fldCharType="separate"/>
      </w:r>
      <w:r>
        <w:rPr>
          <w:rFonts w:hint="eastAsia" w:ascii="宋体" w:hAnsi="宋体" w:eastAsia="宋体" w:cs="宋体"/>
          <w:bCs/>
          <w:kern w:val="0"/>
          <w:szCs w:val="21"/>
          <w:highlight w:val="none"/>
        </w:rPr>
        <w:t>《水利工程质量管理规定》案由1项</w:t>
      </w:r>
      <w:r>
        <w:tab/>
      </w:r>
      <w:r>
        <w:fldChar w:fldCharType="begin"/>
      </w:r>
      <w:r>
        <w:instrText xml:space="preserve"> PAGEREF _Toc1953609231 \h </w:instrText>
      </w:r>
      <w:r>
        <w:fldChar w:fldCharType="separate"/>
      </w:r>
      <w:r>
        <w:t>216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_Toc1476253435 </w:instrText>
      </w:r>
      <w:r>
        <w:rPr>
          <w:highlight w:val="none"/>
        </w:rPr>
        <w:fldChar w:fldCharType="separate"/>
      </w:r>
      <w:r>
        <w:rPr>
          <w:rFonts w:hint="eastAsia" w:ascii="宋体" w:hAnsi="宋体" w:eastAsia="宋体" w:cs="宋体"/>
          <w:bCs/>
          <w:kern w:val="0"/>
          <w:szCs w:val="21"/>
          <w:highlight w:val="none"/>
        </w:rPr>
        <w:t>《水利工程质量检测管理规定》案由11项</w:t>
      </w:r>
      <w:r>
        <w:tab/>
      </w:r>
      <w:r>
        <w:fldChar w:fldCharType="begin"/>
      </w:r>
      <w:r>
        <w:instrText xml:space="preserve"> PAGEREF _Toc1476253435 \h </w:instrText>
      </w:r>
      <w:r>
        <w:fldChar w:fldCharType="separate"/>
      </w:r>
      <w:r>
        <w:t>216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_Toc1284289362 </w:instrText>
      </w:r>
      <w:r>
        <w:rPr>
          <w:highlight w:val="none"/>
        </w:rPr>
        <w:fldChar w:fldCharType="separate"/>
      </w:r>
      <w:r>
        <w:rPr>
          <w:rFonts w:hint="eastAsia" w:ascii="宋体" w:hAnsi="宋体" w:eastAsia="宋体" w:cs="宋体"/>
          <w:bCs/>
          <w:kern w:val="0"/>
          <w:szCs w:val="21"/>
          <w:highlight w:val="none"/>
        </w:rPr>
        <w:t>《水利工程建设监理规定》案由</w:t>
      </w:r>
      <w:r>
        <w:rPr>
          <w:rFonts w:hint="eastAsia" w:ascii="宋体" w:hAnsi="宋体" w:eastAsia="宋体" w:cs="宋体"/>
          <w:bCs/>
          <w:kern w:val="0"/>
          <w:szCs w:val="21"/>
          <w:highlight w:val="none"/>
          <w:lang w:val="en-US" w:eastAsia="zh-CN"/>
        </w:rPr>
        <w:t>10</w:t>
      </w:r>
      <w:r>
        <w:rPr>
          <w:rFonts w:hint="eastAsia" w:ascii="宋体" w:hAnsi="宋体" w:eastAsia="宋体" w:cs="宋体"/>
          <w:bCs/>
          <w:kern w:val="0"/>
          <w:szCs w:val="21"/>
          <w:highlight w:val="none"/>
        </w:rPr>
        <w:t>项</w:t>
      </w:r>
      <w:r>
        <w:tab/>
      </w:r>
      <w:r>
        <w:fldChar w:fldCharType="begin"/>
      </w:r>
      <w:r>
        <w:instrText xml:space="preserve"> PAGEREF _Toc1284289362 \h </w:instrText>
      </w:r>
      <w:r>
        <w:fldChar w:fldCharType="separate"/>
      </w:r>
      <w:r>
        <w:t>218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_Toc13477572 </w:instrText>
      </w:r>
      <w:r>
        <w:rPr>
          <w:highlight w:val="none"/>
        </w:rPr>
        <w:fldChar w:fldCharType="separate"/>
      </w:r>
      <w:r>
        <w:rPr>
          <w:rFonts w:hint="eastAsia" w:ascii="宋体" w:hAnsi="宋体" w:eastAsia="宋体" w:cs="宋体"/>
          <w:bCs/>
          <w:kern w:val="0"/>
          <w:szCs w:val="21"/>
          <w:highlight w:val="none"/>
        </w:rPr>
        <w:t>《水利工程质量事故处理规定》案由1项</w:t>
      </w:r>
      <w:r>
        <w:tab/>
      </w:r>
      <w:r>
        <w:fldChar w:fldCharType="begin"/>
      </w:r>
      <w:r>
        <w:instrText xml:space="preserve"> PAGEREF _Toc13477572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_Toc1559739163 </w:instrText>
      </w:r>
      <w:r>
        <w:rPr>
          <w:highlight w:val="none"/>
        </w:rPr>
        <w:fldChar w:fldCharType="separate"/>
      </w:r>
      <w:r>
        <w:rPr>
          <w:rFonts w:hint="eastAsia" w:ascii="宋体" w:hAnsi="宋体" w:eastAsia="宋体" w:cs="宋体"/>
          <w:bCs/>
          <w:kern w:val="0"/>
          <w:szCs w:val="21"/>
          <w:highlight w:val="none"/>
        </w:rPr>
        <w:t>《实施工程建设强制性标准监督规定》案由1项</w:t>
      </w:r>
      <w:r>
        <w:tab/>
      </w:r>
      <w:r>
        <w:fldChar w:fldCharType="begin"/>
      </w:r>
      <w:r>
        <w:instrText xml:space="preserve"> PAGEREF _Toc1559739163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_Toc1499445565 </w:instrText>
      </w:r>
      <w:r>
        <w:rPr>
          <w:highlight w:val="none"/>
        </w:rPr>
        <w:fldChar w:fldCharType="separate"/>
      </w:r>
      <w:r>
        <w:rPr>
          <w:rFonts w:hint="eastAsia" w:ascii="宋体" w:hAnsi="宋体" w:eastAsia="宋体" w:cs="宋体"/>
          <w:bCs/>
          <w:kern w:val="0"/>
          <w:szCs w:val="21"/>
          <w:highlight w:val="none"/>
        </w:rPr>
        <w:t>《建设工程勘察质量管理办法》案由1项</w:t>
      </w:r>
      <w:r>
        <w:tab/>
      </w:r>
      <w:r>
        <w:fldChar w:fldCharType="begin"/>
      </w:r>
      <w:r>
        <w:instrText xml:space="preserve"> PAGEREF _Toc1499445565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_Toc881673313 </w:instrText>
      </w:r>
      <w:r>
        <w:rPr>
          <w:highlight w:val="none"/>
        </w:rPr>
        <w:fldChar w:fldCharType="separate"/>
      </w:r>
      <w:r>
        <w:rPr>
          <w:rFonts w:hint="eastAsia" w:ascii="宋体" w:hAnsi="宋体" w:eastAsia="宋体" w:cs="宋体"/>
          <w:bCs/>
          <w:kern w:val="0"/>
          <w:szCs w:val="21"/>
          <w:highlight w:val="none"/>
        </w:rPr>
        <w:t>《北京市建设工程质量条例》案由28项</w:t>
      </w:r>
      <w:r>
        <w:tab/>
      </w:r>
      <w:r>
        <w:fldChar w:fldCharType="begin"/>
      </w:r>
      <w:r>
        <w:instrText xml:space="preserve"> PAGEREF _Toc881673313 \h </w:instrText>
      </w:r>
      <w:r>
        <w:fldChar w:fldCharType="separate"/>
      </w:r>
      <w:r>
        <w:t>222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_Toc1608422631 </w:instrText>
      </w:r>
      <w:r>
        <w:rPr>
          <w:highlight w:val="none"/>
        </w:rPr>
        <w:fldChar w:fldCharType="separate"/>
      </w:r>
      <w:r>
        <w:rPr>
          <w:rFonts w:hint="eastAsia" w:ascii="黑体" w:hAnsi="黑体" w:eastAsia="黑体" w:cs="黑体"/>
          <w:kern w:val="0"/>
          <w:szCs w:val="28"/>
          <w:highlight w:val="none"/>
        </w:rPr>
        <w:t>水利建设工程安全生产管理方面</w:t>
      </w:r>
      <w:r>
        <w:tab/>
      </w:r>
      <w:r>
        <w:fldChar w:fldCharType="begin"/>
      </w:r>
      <w:r>
        <w:instrText xml:space="preserve"> PAGEREF _Toc1608422631 \h </w:instrText>
      </w:r>
      <w:r>
        <w:fldChar w:fldCharType="separate"/>
      </w:r>
      <w:r>
        <w:t>227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_Toc1021843706 </w:instrText>
      </w:r>
      <w:r>
        <w:rPr>
          <w:highlight w:val="none"/>
        </w:rPr>
        <w:fldChar w:fldCharType="separate"/>
      </w:r>
      <w:r>
        <w:rPr>
          <w:rFonts w:ascii="Times New Roman" w:hAnsi="Times New Roman" w:eastAsia="宋体" w:cs="Times New Roman"/>
          <w:bCs/>
          <w:kern w:val="0"/>
          <w:szCs w:val="21"/>
          <w:highlight w:val="none"/>
        </w:rPr>
        <w:t>《建设工程安全生产管理条例》《水利工程建设监理规定》案由28项</w:t>
      </w:r>
      <w:r>
        <w:tab/>
      </w:r>
      <w:r>
        <w:fldChar w:fldCharType="begin"/>
      </w:r>
      <w:r>
        <w:instrText xml:space="preserve"> PAGEREF _Toc1021843706 \h </w:instrText>
      </w:r>
      <w:r>
        <w:fldChar w:fldCharType="separate"/>
      </w:r>
      <w:r>
        <w:t>227</w:t>
      </w:r>
      <w:r>
        <w:fldChar w:fldCharType="end"/>
      </w:r>
      <w:r>
        <w:rPr>
          <w:color w:val="auto"/>
          <w:highlight w:val="none"/>
        </w:rPr>
        <w:fldChar w:fldCharType="end"/>
      </w:r>
    </w:p>
    <w:p>
      <w:pPr>
        <w:pStyle w:val="22"/>
        <w:tabs>
          <w:tab w:val="left" w:pos="1516"/>
        </w:tabs>
        <w:ind w:left="0" w:leftChars="0" w:firstLine="0" w:firstLineChars="0"/>
        <w:rPr>
          <w:color w:val="auto"/>
          <w:highlight w:val="none"/>
        </w:rPr>
      </w:pPr>
      <w:r>
        <w:rPr>
          <w:color w:val="auto"/>
          <w:highlight w:val="none"/>
        </w:rPr>
        <w:fldChar w:fldCharType="end"/>
      </w:r>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720" w:num="1"/>
          <w:rtlGutter w:val="0"/>
          <w:docGrid w:linePitch="634" w:charSpace="0"/>
        </w:sectPr>
      </w:pPr>
    </w:p>
    <w:p>
      <w:pPr>
        <w:pStyle w:val="22"/>
        <w:rPr>
          <w:rFonts w:hint="eastAsia"/>
          <w:color w:val="auto"/>
          <w:highlight w:val="none"/>
        </w:rPr>
      </w:pPr>
    </w:p>
    <w:tbl>
      <w:tblPr>
        <w:tblStyle w:val="23"/>
        <w:tblW w:w="15116"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
        <w:gridCol w:w="1811"/>
        <w:gridCol w:w="17"/>
        <w:gridCol w:w="2776"/>
        <w:gridCol w:w="13"/>
        <w:gridCol w:w="851"/>
        <w:gridCol w:w="840"/>
        <w:gridCol w:w="3426"/>
        <w:gridCol w:w="4"/>
        <w:gridCol w:w="1871"/>
        <w:gridCol w:w="10"/>
        <w:gridCol w:w="1972"/>
        <w:gridCol w:w="1"/>
        <w:gridCol w:w="896"/>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90" w:hRule="atLeast"/>
          <w:tblHeader/>
        </w:trPr>
        <w:tc>
          <w:tcPr>
            <w:tcW w:w="610"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830" w:type="dxa"/>
            <w:gridSpan w:val="3"/>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3426"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lang w:eastAsia="zh-CN"/>
              </w:rPr>
              <w:t>情节</w:t>
            </w:r>
            <w:r>
              <w:rPr>
                <w:rFonts w:hint="eastAsia" w:ascii="黑体" w:hAnsi="宋体" w:eastAsia="黑体" w:cs="宋体"/>
                <w:b/>
                <w:bCs/>
                <w:color w:val="auto"/>
                <w:kern w:val="0"/>
                <w:sz w:val="24"/>
                <w:highlight w:val="none"/>
              </w:rPr>
              <w:t>系数</w:t>
            </w:r>
          </w:p>
        </w:tc>
        <w:tc>
          <w:tcPr>
            <w:tcW w:w="1875"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1982"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97"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15100" w:type="dxa"/>
            <w:gridSpan w:val="15"/>
            <w:noWrap w:val="0"/>
            <w:vAlign w:val="center"/>
          </w:tcPr>
          <w:p>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1859613639"/>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0" w:hRule="atLeast"/>
        </w:trPr>
        <w:tc>
          <w:tcPr>
            <w:tcW w:w="15100" w:type="dxa"/>
            <w:gridSpan w:val="15"/>
            <w:noWrap w:val="0"/>
            <w:vAlign w:val="center"/>
          </w:tcPr>
          <w:p>
            <w:pPr>
              <w:pStyle w:val="3"/>
              <w:widowControl w:val="0"/>
              <w:spacing w:line="232" w:lineRule="exact"/>
              <w:jc w:val="center"/>
              <w:rPr>
                <w:rFonts w:ascii="宋体" w:hAnsi="宋体" w:eastAsia="宋体"/>
                <w:color w:val="auto"/>
                <w:sz w:val="22"/>
                <w:szCs w:val="22"/>
                <w:highlight w:val="none"/>
              </w:rPr>
            </w:pPr>
            <w:bookmarkStart w:id="3" w:name="_Toc110851436"/>
            <w:bookmarkStart w:id="4" w:name="_Toc959675187"/>
            <w:bookmarkStart w:id="5" w:name="_Toc1944272260"/>
            <w:r>
              <w:rPr>
                <w:rFonts w:hint="eastAsia" w:ascii="宋体" w:hAnsi="宋体" w:eastAsia="宋体"/>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bookmarkStart w:id="6" w:name="OLE_LINK1"/>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未按要求履行维护市容环境卫生责任</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（注：单位：</w:t>
            </w:r>
            <w:r>
              <w:rPr>
                <w:rFonts w:hint="eastAsia" w:ascii="宋体" w:hAnsi="宋体" w:eastAsia="宋体" w:cs="宋体"/>
                <w:bCs/>
                <w:color w:val="auto"/>
                <w:kern w:val="0"/>
                <w:sz w:val="15"/>
                <w:szCs w:val="15"/>
                <w:highlight w:val="none"/>
              </w:rPr>
              <w:t>元，下同</w:t>
            </w:r>
            <w:r>
              <w:rPr>
                <w:rFonts w:hint="eastAsia"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strike w:val="0"/>
                <w:dstrike w:val="0"/>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擅自在临街的建筑物上设置装饰物品</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建筑物顶部、外走廊等未保持整洁或堆物堆料</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规定区域内建筑物顶部、阳台外和窗外设置不符合容貌景观标准的设施</w:t>
            </w:r>
          </w:p>
        </w:tc>
        <w:tc>
          <w:tcPr>
            <w:tcW w:w="2789" w:type="dxa"/>
            <w:gridSpan w:val="2"/>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造成社会不良影响的，变系数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spacing w:line="240" w:lineRule="exact"/>
              <w:rPr>
                <w:rFonts w:ascii="宋体" w:hAnsi="宋体" w:eastAsia="宋体" w:cs="宋体"/>
                <w:strike/>
                <w:dstrike w:val="0"/>
                <w:color w:val="auto"/>
                <w:kern w:val="0"/>
                <w:sz w:val="15"/>
                <w:szCs w:val="15"/>
                <w:highlight w:val="none"/>
                <w:u w:val="singl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规定区域内建筑物顶部、阳台外和窗外吊挂、晾晒、摆放物品</w:t>
            </w: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规定区域内建筑物平台、阳台内堆放物品超出护栏高度</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设施处工程造价1倍的罚款。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300元／㎡</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为违法建筑面积</w:t>
            </w:r>
          </w:p>
        </w:tc>
        <w:tc>
          <w:tcPr>
            <w:tcW w:w="1982" w:type="dxa"/>
            <w:gridSpan w:val="2"/>
            <w:vMerge w:val="restart"/>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造价</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（构筑物、设施）</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按照法规规定执行。</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未按规定管护井盖雨箅</w:t>
            </w:r>
          </w:p>
        </w:tc>
        <w:tc>
          <w:tcPr>
            <w:tcW w:w="2789"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违反条款：第三十一条第一款；处罚条款：第三十一条第二款，责令改正，并可处200元以上2000元以下罚款。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3；延后4小时，系数4；延后5小时，系数5；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1" w:hRule="atLeast"/>
        </w:trPr>
        <w:tc>
          <w:tcPr>
            <w:tcW w:w="610" w:type="dxa"/>
            <w:noWrap w:val="0"/>
            <w:vAlign w:val="center"/>
          </w:tcPr>
          <w:p>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未经批准或未按照批准要求在公共场所设置设施</w:t>
            </w:r>
          </w:p>
        </w:tc>
        <w:tc>
          <w:tcPr>
            <w:tcW w:w="2789"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noWrap w:val="0"/>
            <w:vAlign w:val="center"/>
          </w:tcPr>
          <w:p>
            <w:pPr>
              <w:pStyle w:val="7"/>
              <w:spacing w:line="212" w:lineRule="exact"/>
              <w:jc w:val="center"/>
              <w:rPr>
                <w:rFonts w:ascii="宋体" w:hAnsi="宋体" w:eastAsia="宋体" w:cs="宋体"/>
                <w:color w:val="auto"/>
                <w:kern w:val="0"/>
                <w:sz w:val="15"/>
                <w:szCs w:val="15"/>
                <w:highlight w:val="none"/>
              </w:rPr>
            </w:pPr>
          </w:p>
        </w:tc>
        <w:tc>
          <w:tcPr>
            <w:tcW w:w="840" w:type="dxa"/>
            <w:noWrap w:val="0"/>
            <w:vAlign w:val="center"/>
          </w:tcPr>
          <w:p>
            <w:pPr>
              <w:pStyle w:val="7"/>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pStyle w:val="7"/>
              <w:spacing w:line="212" w:lineRule="exact"/>
              <w:jc w:val="both"/>
              <w:rPr>
                <w:rFonts w:ascii="宋体" w:hAnsi="宋体" w:eastAsia="宋体" w:cs="宋体"/>
                <w:color w:val="auto"/>
                <w:kern w:val="0"/>
                <w:sz w:val="15"/>
                <w:szCs w:val="15"/>
                <w:highlight w:val="none"/>
              </w:rPr>
            </w:pPr>
          </w:p>
        </w:tc>
        <w:tc>
          <w:tcPr>
            <w:tcW w:w="1875"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p>
        </w:tc>
        <w:tc>
          <w:tcPr>
            <w:tcW w:w="1982"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非罚款处罚。</w:t>
            </w:r>
          </w:p>
        </w:tc>
        <w:tc>
          <w:tcPr>
            <w:tcW w:w="897" w:type="dxa"/>
            <w:gridSpan w:val="2"/>
            <w:noWrap w:val="0"/>
            <w:vAlign w:val="center"/>
          </w:tcPr>
          <w:p>
            <w:pPr>
              <w:pStyle w:val="7"/>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未按规定管护公共设施</w:t>
            </w:r>
          </w:p>
        </w:tc>
        <w:tc>
          <w:tcPr>
            <w:tcW w:w="2789"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违反、处罚条款：第三十四条，责令限期改正，并可处500元以上5000元以下罚款。</w:t>
            </w:r>
          </w:p>
        </w:tc>
        <w:tc>
          <w:tcPr>
            <w:tcW w:w="851"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未按照要求</w:t>
            </w:r>
            <w:r>
              <w:rPr>
                <w:rFonts w:hint="eastAsia" w:ascii="宋体" w:hAnsi="宋体" w:eastAsia="宋体" w:cs="宋体"/>
                <w:color w:val="auto"/>
                <w:kern w:val="0"/>
                <w:sz w:val="15"/>
                <w:szCs w:val="15"/>
                <w:highlight w:val="none"/>
              </w:rPr>
              <w:t>维修、更换、清洗或者补设</w:t>
            </w:r>
            <w:r>
              <w:rPr>
                <w:rFonts w:hint="eastAsia" w:ascii="宋体" w:hAnsi="宋体" w:eastAsia="宋体" w:cs="宋体"/>
                <w:color w:val="auto"/>
                <w:kern w:val="0"/>
                <w:sz w:val="15"/>
                <w:szCs w:val="15"/>
                <w:highlight w:val="none"/>
                <w:lang w:eastAsia="zh-CN"/>
              </w:rPr>
              <w:t>，影响设施正常使用或者造成其他严重影响，系数</w:t>
            </w:r>
            <w:r>
              <w:rPr>
                <w:rFonts w:hint="eastAsia" w:ascii="宋体" w:hAnsi="宋体" w:eastAsia="宋体" w:cs="宋体"/>
                <w:color w:val="auto"/>
                <w:kern w:val="0"/>
                <w:sz w:val="15"/>
                <w:szCs w:val="15"/>
                <w:highlight w:val="none"/>
                <w:lang w:val="en-US" w:eastAsia="zh-CN"/>
              </w:rPr>
              <w:t>5-9。</w:t>
            </w:r>
            <w:r>
              <w:rPr>
                <w:rFonts w:hint="default" w:ascii="宋体" w:hAnsi="宋体" w:eastAsia="宋体" w:cs="宋体"/>
                <w:color w:val="auto"/>
                <w:kern w:val="0"/>
                <w:sz w:val="15"/>
                <w:szCs w:val="15"/>
                <w:highlight w:val="none"/>
                <w:lang w:val="en-US"/>
              </w:rPr>
              <w:t>2.存在基准2.1.3规定情形的，系数按照相关规定确定。</w:t>
            </w:r>
          </w:p>
        </w:tc>
        <w:tc>
          <w:tcPr>
            <w:tcW w:w="1875"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0"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b/>
                <w:bCs/>
                <w:color w:val="0000FF"/>
                <w:kern w:val="0"/>
                <w:sz w:val="15"/>
                <w:szCs w:val="15"/>
                <w:highlight w:val="none"/>
              </w:rPr>
              <w:t>擅自摆摊设点</w:t>
            </w:r>
          </w:p>
        </w:tc>
        <w:tc>
          <w:tcPr>
            <w:tcW w:w="2789"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0" w:lineRule="exact"/>
              <w:rPr>
                <w:color w:val="auto"/>
                <w:highlight w:val="none"/>
                <w:lang w:val="en-US" w:eastAsia="zh-CN"/>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占用过街桥、地下过街通道的，系数1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.占用无障碍设施或者机动车道的，系数</w:t>
            </w:r>
            <w:r>
              <w:rPr>
                <w:rFonts w:hint="eastAsia" w:ascii="宋体" w:hAnsi="宋体" w:eastAsia="宋体" w:cs="宋体"/>
                <w:b w:val="0"/>
                <w:bCs w:val="0"/>
                <w:color w:val="auto"/>
                <w:kern w:val="0"/>
                <w:sz w:val="15"/>
                <w:szCs w:val="15"/>
                <w:highlight w:val="none"/>
                <w:lang w:val="en-US" w:eastAsia="zh-CN"/>
              </w:rPr>
              <w:t>4-6</w:t>
            </w:r>
            <w:r>
              <w:rPr>
                <w:rFonts w:hint="eastAsia" w:ascii="宋体" w:hAnsi="宋体" w:eastAsia="宋体" w:cs="宋体"/>
                <w:b w:val="0"/>
                <w:bCs w:val="0"/>
                <w:color w:val="auto"/>
                <w:kern w:val="0"/>
                <w:sz w:val="15"/>
                <w:szCs w:val="15"/>
                <w:highlight w:val="none"/>
                <w:lang w:eastAsia="zh-CN"/>
              </w:rPr>
              <w:t>；</w:t>
            </w:r>
            <w:r>
              <w:rPr>
                <w:rFonts w:hint="default" w:ascii="宋体" w:hAnsi="宋体" w:eastAsia="宋体" w:cs="宋体"/>
                <w:b w:val="0"/>
                <w:bCs w:val="0"/>
                <w:color w:val="auto"/>
                <w:kern w:val="0"/>
                <w:sz w:val="15"/>
                <w:szCs w:val="15"/>
                <w:highlight w:val="none"/>
                <w:lang w:val="en-US"/>
              </w:rPr>
              <w:t>4</w:t>
            </w:r>
            <w:r>
              <w:rPr>
                <w:rFonts w:hint="eastAsia" w:ascii="宋体" w:hAnsi="宋体" w:eastAsia="宋体" w:cs="宋体"/>
                <w:b w:val="0"/>
                <w:bCs w:val="0"/>
                <w:color w:val="auto"/>
                <w:kern w:val="0"/>
                <w:sz w:val="15"/>
                <w:szCs w:val="15"/>
                <w:highlight w:val="none"/>
              </w:rPr>
              <w:t>.</w:t>
            </w:r>
            <w:r>
              <w:rPr>
                <w:rFonts w:hint="eastAsia" w:ascii="宋体" w:hAnsi="宋体" w:eastAsia="宋体" w:cs="宋体"/>
                <w:b/>
                <w:bCs/>
                <w:color w:val="0000FF"/>
                <w:kern w:val="0"/>
                <w:sz w:val="15"/>
                <w:szCs w:val="15"/>
                <w:highlight w:val="none"/>
              </w:rPr>
              <w:t>使用畜力车、农用运输车及</w:t>
            </w:r>
            <w:r>
              <w:rPr>
                <w:rFonts w:hint="eastAsia" w:ascii="宋体" w:hAnsi="宋体" w:eastAsia="宋体" w:cs="宋体"/>
                <w:b/>
                <w:bCs/>
                <w:color w:val="0000FF"/>
                <w:kern w:val="0"/>
                <w:sz w:val="15"/>
                <w:szCs w:val="15"/>
                <w:highlight w:val="none"/>
                <w:lang w:eastAsia="zh-CN"/>
              </w:rPr>
              <w:t>其他</w:t>
            </w:r>
            <w:r>
              <w:rPr>
                <w:rFonts w:hint="eastAsia" w:ascii="宋体" w:hAnsi="宋体" w:eastAsia="宋体" w:cs="宋体"/>
                <w:b/>
                <w:bCs/>
                <w:color w:val="0000FF"/>
                <w:kern w:val="0"/>
                <w:sz w:val="15"/>
                <w:szCs w:val="15"/>
                <w:highlight w:val="none"/>
              </w:rPr>
              <w:t>机动车、电动车为工具的，</w:t>
            </w:r>
            <w:r>
              <w:rPr>
                <w:rFonts w:hint="eastAsia" w:ascii="宋体" w:hAnsi="宋体" w:eastAsia="宋体" w:cs="宋体"/>
                <w:b/>
                <w:bCs/>
                <w:strike w:val="0"/>
                <w:dstrike w:val="0"/>
                <w:color w:val="0000FF"/>
                <w:kern w:val="0"/>
                <w:sz w:val="15"/>
                <w:szCs w:val="15"/>
                <w:highlight w:val="none"/>
                <w:lang w:val="en-US" w:eastAsia="zh-CN"/>
              </w:rPr>
              <w:t>系数1-3</w:t>
            </w:r>
            <w:r>
              <w:rPr>
                <w:rFonts w:hint="eastAsia" w:ascii="宋体" w:hAnsi="宋体" w:eastAsia="宋体" w:cs="宋体"/>
                <w:b w:val="0"/>
                <w:bCs w:val="0"/>
                <w:color w:val="auto"/>
                <w:kern w:val="0"/>
                <w:sz w:val="15"/>
                <w:szCs w:val="15"/>
                <w:highlight w:val="none"/>
              </w:rPr>
              <w:t>；</w:t>
            </w:r>
            <w:r>
              <w:rPr>
                <w:rFonts w:hint="default"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使用液化石油气瓶</w:t>
            </w:r>
            <w:r>
              <w:rPr>
                <w:rFonts w:hint="eastAsia" w:ascii="宋体" w:hAnsi="宋体" w:eastAsia="宋体" w:cs="宋体"/>
                <w:b w:val="0"/>
                <w:bCs w:val="0"/>
                <w:color w:val="auto"/>
                <w:kern w:val="0"/>
                <w:sz w:val="15"/>
                <w:szCs w:val="15"/>
                <w:highlight w:val="none"/>
              </w:rPr>
              <w:t>现场加工制作食品的，系数</w:t>
            </w:r>
            <w:r>
              <w:rPr>
                <w:rFonts w:hint="default" w:ascii="宋体" w:hAnsi="宋体" w:eastAsia="宋体" w:cs="宋体"/>
                <w:b w:val="0"/>
                <w:bCs w:val="0"/>
                <w:color w:val="auto"/>
                <w:kern w:val="0"/>
                <w:sz w:val="15"/>
                <w:szCs w:val="15"/>
                <w:highlight w:val="none"/>
                <w:lang w:val="en-US" w:eastAsia="zh-CN"/>
              </w:rPr>
              <w:t>5-9</w:t>
            </w:r>
            <w:r>
              <w:rPr>
                <w:rFonts w:hint="eastAsia" w:ascii="宋体" w:hAnsi="宋体" w:eastAsia="宋体" w:cs="宋体"/>
                <w:b w:val="0"/>
                <w:bCs w:val="0"/>
                <w:color w:val="auto"/>
                <w:kern w:val="0"/>
                <w:sz w:val="15"/>
                <w:szCs w:val="15"/>
                <w:highlight w:val="none"/>
              </w:rPr>
              <w:t>；6</w:t>
            </w:r>
            <w:r>
              <w:rPr>
                <w:rFonts w:hint="eastAsia" w:ascii="宋体" w:hAnsi="宋体" w:eastAsia="宋体" w:cs="宋体"/>
                <w:color w:val="auto"/>
                <w:kern w:val="0"/>
                <w:sz w:val="15"/>
                <w:szCs w:val="15"/>
                <w:highlight w:val="none"/>
              </w:rPr>
              <w:t>.造成交通秩序、市容秩序严重混乱的，系数5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；7.摆设摊点经营违禁品的，系数9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w:t>
            </w:r>
            <w:r>
              <w:rPr>
                <w:rFonts w:hint="default" w:ascii="宋体" w:hAnsi="宋体" w:eastAsia="宋体" w:cs="宋体"/>
                <w:b/>
                <w:bCs/>
                <w:color w:val="FF0000"/>
                <w:kern w:val="0"/>
                <w:sz w:val="15"/>
                <w:szCs w:val="15"/>
                <w:highlight w:val="none"/>
                <w:lang w:val="en-US"/>
              </w:rPr>
              <w:t>存在基准2.1.3规定情形的，系数按照相关规定确定。</w:t>
            </w:r>
          </w:p>
        </w:tc>
        <w:tc>
          <w:tcPr>
            <w:tcW w:w="1875"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pStyle w:val="22"/>
              <w:spacing w:after="0" w:line="230" w:lineRule="exact"/>
              <w:ind w:firstLine="300"/>
              <w:rPr>
                <w:rFonts w:ascii="宋体" w:hAnsi="宋体" w:eastAsia="宋体" w:cs="宋体"/>
                <w:color w:val="auto"/>
                <w:kern w:val="0"/>
                <w:sz w:val="15"/>
                <w:szCs w:val="15"/>
                <w:highlight w:val="none"/>
              </w:rPr>
            </w:pPr>
          </w:p>
          <w:p>
            <w:pPr>
              <w:pStyle w:val="22"/>
              <w:spacing w:after="0" w:line="230" w:lineRule="exact"/>
              <w:ind w:firstLine="300"/>
              <w:rPr>
                <w:rFonts w:ascii="宋体" w:hAnsi="宋体" w:eastAsia="宋体" w:cs="宋体"/>
                <w:color w:val="auto"/>
                <w:kern w:val="0"/>
                <w:sz w:val="15"/>
                <w:szCs w:val="15"/>
                <w:highlight w:val="none"/>
              </w:rPr>
            </w:pPr>
          </w:p>
          <w:p>
            <w:pPr>
              <w:spacing w:line="23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0"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1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乱堆物料</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default" w:ascii="宋体" w:hAnsi="宋体" w:eastAsia="宋体" w:cs="宋体"/>
                <w:b w:val="0"/>
                <w:bCs w:val="0"/>
                <w:color w:val="auto"/>
                <w:kern w:val="0"/>
                <w:sz w:val="15"/>
                <w:szCs w:val="15"/>
                <w:highlight w:val="none"/>
                <w:lang w:val="en-US"/>
              </w:rPr>
              <w:t>1.占用过街桥、地下过街通道的，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1-3；2.占用非机动车道或者</w:t>
            </w:r>
            <w:r>
              <w:rPr>
                <w:rFonts w:hint="eastAsia" w:ascii="宋体" w:hAnsi="宋体" w:eastAsia="宋体" w:cs="宋体"/>
                <w:b w:val="0"/>
                <w:bCs w:val="0"/>
                <w:color w:val="auto"/>
                <w:kern w:val="0"/>
                <w:sz w:val="15"/>
                <w:szCs w:val="15"/>
                <w:highlight w:val="none"/>
                <w:lang w:val="en-US" w:eastAsia="zh-CN"/>
              </w:rPr>
              <w:t>其他</w:t>
            </w:r>
            <w:r>
              <w:rPr>
                <w:rFonts w:hint="default" w:ascii="宋体" w:hAnsi="宋体" w:eastAsia="宋体" w:cs="宋体"/>
                <w:b w:val="0"/>
                <w:bCs w:val="0"/>
                <w:color w:val="auto"/>
                <w:kern w:val="0"/>
                <w:sz w:val="15"/>
                <w:szCs w:val="15"/>
                <w:highlight w:val="none"/>
                <w:lang w:val="en-US"/>
              </w:rPr>
              <w:t>公共场所，面积较大，</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1-3；3.占用无障碍设施或者机动车道的，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4-6；4.在公共绿地、燃气、热力等保护范围、管理范围堆放的，系数4-6；5.堆放易燃易爆等危险物品的，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5-9；6.造成交通秩序、市容秩序严重混乱的，系数5-9；7.造成人员伤亡的，系数7-9</w:t>
            </w:r>
            <w:r>
              <w:rPr>
                <w:rFonts w:hint="eastAsia" w:ascii="宋体" w:hAnsi="宋体" w:eastAsia="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未按规定举办活动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处罚条款：第三十五条第五款：责令改正，并可处1000元以上1万元以下的罚款。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eastAsia="宋体"/>
                <w:color w:val="auto"/>
                <w:highlight w:val="none"/>
                <w:lang w:val="en-US" w:eastAsia="zh-CN"/>
              </w:rPr>
            </w:pPr>
            <w:r>
              <w:rPr>
                <w:rFonts w:hint="default" w:ascii="宋体" w:hAnsi="宋体" w:eastAsia="宋体" w:cs="宋体"/>
                <w:b w:val="0"/>
                <w:bCs w:val="0"/>
                <w:color w:val="auto"/>
                <w:kern w:val="0"/>
                <w:sz w:val="15"/>
                <w:szCs w:val="15"/>
                <w:highlight w:val="none"/>
                <w:lang w:val="en-US"/>
              </w:rPr>
              <w:t>1.</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占用过街桥、地下过街通道的，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占用非机动车道或者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公共场所，面积较大，</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占用无障碍设施或者机动车道的，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4-6</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造成交通秩序、市容秩序严重混乱的，系数5</w:t>
            </w:r>
            <w:r>
              <w:rPr>
                <w:rFonts w:hint="eastAsia" w:ascii="宋体" w:hAnsi="宋体" w:eastAsia="宋体" w:cs="宋体"/>
                <w:b w:val="0"/>
                <w:bCs w:val="0"/>
                <w:color w:val="auto"/>
                <w:kern w:val="0"/>
                <w:sz w:val="15"/>
                <w:szCs w:val="15"/>
                <w:highlight w:val="none"/>
                <w:lang w:val="en-US" w:eastAsia="zh-CN"/>
              </w:rPr>
              <w:t>-9；5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店外经营</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违反条款：第三十五条第三款；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处罚条款：第三十五条第五款：责令改正，并可处300元以上3000元以下的罚款。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w:t>
            </w:r>
            <w:r>
              <w:rPr>
                <w:rFonts w:hint="eastAsia" w:ascii="宋体" w:hAnsi="宋体" w:eastAsia="宋体" w:cs="宋体"/>
                <w:b w:val="0"/>
                <w:bCs w:val="0"/>
                <w:color w:val="auto"/>
                <w:kern w:val="0"/>
                <w:sz w:val="15"/>
                <w:szCs w:val="15"/>
                <w:highlight w:val="none"/>
              </w:rPr>
              <w:t>较大，系数1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;2.</w:t>
            </w:r>
            <w:r>
              <w:rPr>
                <w:rFonts w:hint="eastAsia" w:ascii="宋体" w:hAnsi="宋体" w:eastAsia="宋体" w:cs="宋体"/>
                <w:color w:val="auto"/>
                <w:kern w:val="0"/>
                <w:sz w:val="15"/>
                <w:szCs w:val="15"/>
                <w:highlight w:val="none"/>
              </w:rPr>
              <w:t>占用无障碍设施或者机动车道、</w:t>
            </w:r>
            <w:r>
              <w:rPr>
                <w:rFonts w:hint="eastAsia" w:ascii="宋体" w:hAnsi="宋体" w:eastAsia="宋体" w:cs="宋体"/>
                <w:b w:val="0"/>
                <w:bCs w:val="0"/>
                <w:color w:val="auto"/>
                <w:kern w:val="0"/>
                <w:sz w:val="15"/>
                <w:szCs w:val="15"/>
                <w:highlight w:val="none"/>
                <w:u w:val="none"/>
              </w:rPr>
              <w:t>绿地的</w:t>
            </w:r>
            <w:r>
              <w:rPr>
                <w:rFonts w:hint="eastAsia" w:ascii="宋体" w:hAnsi="宋体" w:eastAsia="宋体" w:cs="宋体"/>
                <w:color w:val="auto"/>
                <w:kern w:val="0"/>
                <w:sz w:val="15"/>
                <w:szCs w:val="15"/>
                <w:highlight w:val="none"/>
              </w:rPr>
              <w:t>，</w:t>
            </w:r>
            <w:r>
              <w:rPr>
                <w:rFonts w:hint="eastAsia" w:ascii="宋体" w:hAnsi="宋体" w:eastAsia="宋体" w:cs="宋体"/>
                <w:b w:val="0"/>
                <w:bCs w:val="0"/>
                <w:strike w:val="0"/>
                <w:dstrike w:val="0"/>
                <w:color w:val="auto"/>
                <w:kern w:val="0"/>
                <w:sz w:val="15"/>
                <w:szCs w:val="15"/>
                <w:highlight w:val="none"/>
                <w:lang w:val="en-US" w:eastAsia="zh-CN"/>
              </w:rPr>
              <w:t>系数4-6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830" w:type="dxa"/>
            <w:gridSpan w:val="3"/>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在城市道路及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公共场所晾晒衣物、吊挂物品</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违反条款：第三十六条第一款；</w:t>
            </w:r>
          </w:p>
          <w:p>
            <w:pPr>
              <w:spacing w:line="21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处罚条款：第三十六条第二款：责令改正，并可处20元以上50元以下罚款。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p>
        </w:tc>
        <w:tc>
          <w:tcPr>
            <w:tcW w:w="3426" w:type="dxa"/>
            <w:noWrap w:val="0"/>
            <w:vAlign w:val="center"/>
          </w:tcPr>
          <w:p>
            <w:pPr>
              <w:spacing w:line="21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按照简易程序执行</w:t>
            </w:r>
          </w:p>
        </w:tc>
        <w:tc>
          <w:tcPr>
            <w:tcW w:w="897"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830" w:type="dxa"/>
            <w:gridSpan w:val="3"/>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违反规划设置户外广告设施</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pacing w:val="-3"/>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pStyle w:val="8"/>
              <w:rPr>
                <w:rFonts w:hint="eastAsia"/>
                <w:color w:val="auto"/>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宋体" w:hAnsi="宋体" w:eastAsia="宋体"/>
                <w:color w:val="auto"/>
                <w:sz w:val="15"/>
                <w:szCs w:val="15"/>
                <w:highlight w:val="none"/>
              </w:rPr>
            </w:pPr>
          </w:p>
        </w:tc>
        <w:tc>
          <w:tcPr>
            <w:tcW w:w="897"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17</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设置户外广告设施不符合安全技术标准</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w:t>
            </w:r>
          </w:p>
        </w:tc>
        <w:tc>
          <w:tcPr>
            <w:tcW w:w="1982" w:type="dxa"/>
            <w:gridSpan w:val="2"/>
            <w:noWrap w:val="0"/>
            <w:vAlign w:val="center"/>
          </w:tcPr>
          <w:p>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p>
          <w:p>
            <w:pPr>
              <w:spacing w:line="232" w:lineRule="exact"/>
              <w:rPr>
                <w:rFonts w:ascii="宋体" w:hAnsi="宋体" w:eastAsia="宋体" w:cs="宋体"/>
                <w:strike/>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未按规定设置牌匾标识</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第一款 责令限期改正，逾期不改正的，予以强制拆除，并可处500元以上5000元以下罚款。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color w:val="auto"/>
                <w:highlight w:val="none"/>
                <w:lang w:val="en-US"/>
              </w:rPr>
            </w:pPr>
            <w:r>
              <w:rPr>
                <w:rFonts w:hint="eastAsia" w:ascii="宋体" w:hAnsi="宋体" w:eastAsia="宋体"/>
                <w:color w:val="auto"/>
                <w:sz w:val="15"/>
                <w:szCs w:val="15"/>
                <w:highlight w:val="none"/>
              </w:rPr>
              <w:t>1.违法设置大型固定式牌匾标识的，系数2；2.违法设置距地十米以上的固定式牌匾标识的，系数2；3.违法设置2处牌匾标识的，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大型固定式牌匾标识，是指任意边长大于等于四米，或者面积大于等于十平方米的牌匾标识。</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19</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未按规定管护牌匾标识</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第二款 责令停止使用，限期修复，并可处500元以上5000元以下罚款。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color w:val="auto"/>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擅自（散发、悬挂、张贴、刻画、涂写、喷涂）宣传品、广告</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2.张贴、悬挂，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8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1000（情节严重）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因散发、悬挂等行为影响交通通行的，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2.张贴、喷涂等污损名胜古迹的，或者严重污损市政、环卫、电信等设施、城市道路、墙体的，系数5；</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1.一类地区小广告违法行为，按照此档处罚；特殊情况下需给予1000元以下罚款的，报经案审会审核。</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2.“涉黑”“涉黄”等内容违法的小广告违法行为，如刻章办证、卖药、销售假冒伪劣商品、交友等，按照此档处罚。</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3.现场发现小广告数量达到500张以上，悬挂、张贴达到20张以上的，刻画、喷涂、涂写达到10条以上的，按照此档实施处罚。</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u w:val="single"/>
              </w:rPr>
            </w:pPr>
            <w:r>
              <w:rPr>
                <w:rFonts w:hint="eastAsia" w:ascii="宋体" w:hAnsi="宋体" w:eastAsia="宋体" w:cs="宋体"/>
                <w:color w:val="auto"/>
                <w:kern w:val="0"/>
                <w:sz w:val="15"/>
                <w:szCs w:val="15"/>
                <w:highlight w:val="none"/>
              </w:rPr>
              <w:t>擅自利用或者组织（张贴、涂写、刻画、喷涂、散发）（标语、宣传品、广告）进行宣传</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u w:val="singl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u w:val="singl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07"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100000（情节严重）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拒不改正的，系数1；2.拒不配合调查取证的，系数1；3.一年内已有1次同类性质违法行为受到处罚或告诫的，系数1；一年内已有2次同类性质违法行为受到处罚或告诫的，系数2；以此类推。4.在国家和本市的重大活动、会议、庆典等期间的，系数1。5.发生在二类重点管理地区，系数1；一类严格控制地区，系数2。</w:t>
            </w:r>
          </w:p>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上述情形适用，具体以基准2.1.3的具体规定为准。</w:t>
            </w:r>
          </w:p>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组织利用</w:t>
            </w:r>
            <w:r>
              <w:rPr>
                <w:rFonts w:ascii="宋体" w:hAnsi="宋体" w:eastAsia="宋体" w:cs="宋体"/>
                <w:color w:val="auto"/>
                <w:kern w:val="0"/>
                <w:sz w:val="15"/>
                <w:szCs w:val="15"/>
                <w:highlight w:val="none"/>
              </w:rPr>
              <w:t>不满十周岁的未成年</w:t>
            </w:r>
            <w:r>
              <w:rPr>
                <w:rFonts w:hint="eastAsia" w:ascii="宋体" w:hAnsi="宋体" w:eastAsia="宋体" w:cs="宋体"/>
                <w:color w:val="auto"/>
                <w:kern w:val="0"/>
                <w:sz w:val="15"/>
                <w:szCs w:val="15"/>
                <w:highlight w:val="none"/>
              </w:rPr>
              <w:t>人进行宣传的；组织利用三名以上（含三名）</w:t>
            </w:r>
            <w:r>
              <w:rPr>
                <w:rFonts w:ascii="宋体" w:hAnsi="宋体" w:eastAsia="宋体" w:cs="宋体"/>
                <w:color w:val="auto"/>
                <w:kern w:val="0"/>
                <w:sz w:val="15"/>
                <w:szCs w:val="15"/>
                <w:highlight w:val="none"/>
              </w:rPr>
              <w:t>十周岁以上的</w:t>
            </w:r>
            <w:r>
              <w:rPr>
                <w:rFonts w:hint="eastAsia" w:ascii="宋体" w:hAnsi="宋体" w:eastAsia="宋体" w:cs="宋体"/>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严重危害情节的，可视为情节严重。</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未按规划要求设置夜景照明设施</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违反条款：第四十三条第一款；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未经审核实施夜景照明方案</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未按照许可要求设置夜景照明设施</w:t>
            </w:r>
          </w:p>
        </w:tc>
        <w:tc>
          <w:tcPr>
            <w:tcW w:w="2789" w:type="dxa"/>
            <w:gridSpan w:val="2"/>
            <w:noWrap w:val="0"/>
            <w:vAlign w:val="center"/>
          </w:tcPr>
          <w:p>
            <w:pPr>
              <w:spacing w:line="25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违反条款：第四十三条第四款；处罚条款：第四十三条第四款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未按规定管护照明设施</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未按规定开闭照明设施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未按规定清扫保洁</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违反、处罚条款：第四十五条 责令改正，并可处100元以上1000元以下罚款。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建设工程未按规定设置围挡、临时厕所和垃圾收集设施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color w:val="auto"/>
                <w:highlight w:val="none"/>
              </w:rPr>
            </w:pPr>
            <w:r>
              <w:rPr>
                <w:rFonts w:hint="eastAsia" w:ascii="宋体" w:hAnsi="宋体" w:eastAsia="宋体"/>
                <w:color w:val="auto"/>
                <w:sz w:val="15"/>
                <w:szCs w:val="15"/>
                <w:highlight w:val="none"/>
              </w:rPr>
              <w:t>1.未按规定</w:t>
            </w:r>
            <w:r>
              <w:rPr>
                <w:rFonts w:hint="eastAsia" w:ascii="宋体" w:hAnsi="宋体" w:eastAsia="宋体"/>
                <w:color w:val="auto"/>
                <w:sz w:val="15"/>
                <w:szCs w:val="15"/>
                <w:highlight w:val="none"/>
                <w:lang w:eastAsia="zh-CN"/>
              </w:rPr>
              <w:t>设置</w:t>
            </w:r>
            <w:r>
              <w:rPr>
                <w:rFonts w:hint="eastAsia" w:ascii="宋体" w:hAnsi="宋体" w:eastAsia="宋体"/>
                <w:color w:val="auto"/>
                <w:sz w:val="15"/>
                <w:szCs w:val="15"/>
                <w:highlight w:val="none"/>
              </w:rPr>
              <w:t>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建设工程未按规定采取防尘措施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tcBorders>
              <w:bottom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建设工程现场污水流溢</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建筑垃圾未日产日清</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2.逾期不清的，逾期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olor w:val="auto"/>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未及时清除施工弃物弃料或者临时设施</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1.废料占地面积10㎡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strike w:val="0"/>
                <w:dstrike w:val="0"/>
                <w:color w:val="auto"/>
                <w:kern w:val="0"/>
                <w:sz w:val="15"/>
                <w:szCs w:val="15"/>
                <w:highlight w:val="none"/>
                <w:lang w:eastAsia="zh-CN"/>
              </w:rPr>
              <w:t>经责令改正</w:t>
            </w:r>
            <w:r>
              <w:rPr>
                <w:rFonts w:hint="eastAsia" w:ascii="宋体" w:hAnsi="宋体" w:eastAsia="宋体" w:cs="宋体"/>
                <w:strike w:val="0"/>
                <w:dstrike w:val="0"/>
                <w:color w:val="auto"/>
                <w:kern w:val="0"/>
                <w:sz w:val="15"/>
                <w:szCs w:val="15"/>
                <w:highlight w:val="none"/>
              </w:rPr>
              <w:t>逾期不清除临时设施的，逾期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11" w:hRule="atLeast"/>
        </w:trPr>
        <w:tc>
          <w:tcPr>
            <w:tcW w:w="61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33</w:t>
            </w:r>
          </w:p>
        </w:tc>
        <w:tc>
          <w:tcPr>
            <w:tcW w:w="1830" w:type="dxa"/>
            <w:gridSpan w:val="3"/>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公共设施管护作业未按规定清除废弃物</w:t>
            </w:r>
            <w:r>
              <w:rPr>
                <w:rFonts w:hint="eastAsia" w:ascii="宋体" w:hAnsi="宋体" w:eastAsia="宋体"/>
                <w:b w:val="0"/>
                <w:bCs w:val="0"/>
                <w:color w:val="auto"/>
                <w:sz w:val="15"/>
                <w:szCs w:val="15"/>
                <w:highlight w:val="none"/>
              </w:rPr>
              <w:t xml:space="preserve"> </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违反、处罚条款：第四十七条 责令限期清理，并可处500元以上5000元以下罚款。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34</w:t>
            </w:r>
          </w:p>
        </w:tc>
        <w:tc>
          <w:tcPr>
            <w:tcW w:w="1830" w:type="dxa"/>
            <w:gridSpan w:val="3"/>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城市绿地管理养护单位未保持绿地整洁</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绿化作业未按规定清除废弃物</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4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占用公共场所从事车辆清洗、维修业务</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违反条款：第五十条第一款；</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第三款 责令改正，并处50元以上300元以下罚款；情节严重的，处300元以上3000元以下罚款。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7" w:hRule="atLeast"/>
        </w:trPr>
        <w:tc>
          <w:tcPr>
            <w:tcW w:w="610" w:type="dxa"/>
            <w:vMerge w:val="continue"/>
            <w:noWrap w:val="0"/>
            <w:vAlign w:val="center"/>
          </w:tcPr>
          <w:p>
            <w:pPr>
              <w:spacing w:line="232" w:lineRule="exact"/>
              <w:jc w:val="center"/>
              <w:rPr>
                <w:rFonts w:ascii="宋体" w:hAnsi="宋体" w:eastAsia="宋体" w:cs="宋体"/>
                <w:b/>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b/>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b/>
                <w:color w:val="auto"/>
                <w:kern w:val="0"/>
                <w:sz w:val="15"/>
                <w:szCs w:val="15"/>
                <w:highlight w:val="none"/>
              </w:rPr>
            </w:pP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1.占用非机动车道或者占用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公共场所面积较大，或者造成通行秩序、市容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秩序混乱的</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eastAsia="zh-CN"/>
              </w:rPr>
              <w:t>系数</w:t>
            </w:r>
            <w:r>
              <w:rPr>
                <w:rFonts w:hint="eastAsia" w:ascii="宋体" w:hAnsi="宋体" w:eastAsia="宋体" w:cs="宋体"/>
                <w:strike w:val="0"/>
                <w:dstrike w:val="0"/>
                <w:color w:val="auto"/>
                <w:kern w:val="0"/>
                <w:sz w:val="15"/>
                <w:szCs w:val="15"/>
                <w:highlight w:val="none"/>
                <w:lang w:val="en-US" w:eastAsia="zh-CN"/>
              </w:rPr>
              <w:t>0-3</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color w:val="auto"/>
                <w:kern w:val="0"/>
                <w:sz w:val="15"/>
                <w:szCs w:val="15"/>
                <w:highlight w:val="none"/>
              </w:rPr>
              <w:t>占用无障碍设施、机动车道、绿地的，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4-6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3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37</w:t>
            </w:r>
          </w:p>
        </w:tc>
        <w:tc>
          <w:tcPr>
            <w:tcW w:w="1830" w:type="dxa"/>
            <w:gridSpan w:val="3"/>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车辆作业场所环境脏乱</w:t>
            </w:r>
          </w:p>
        </w:tc>
        <w:tc>
          <w:tcPr>
            <w:tcW w:w="2789" w:type="dxa"/>
            <w:gridSpan w:val="2"/>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违反条款：第五十条第二款；</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处罚条款：第五十条第三款 责令改正，并处50元以上300元以下罚款；情节严重的，处300元以上3000元以下罚款。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b/>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4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违法行为发生在一类地区的，或者构成</w:t>
            </w:r>
            <w:r>
              <w:rPr>
                <w:rFonts w:hint="eastAsia" w:ascii="宋体" w:hAnsi="宋体" w:eastAsia="宋体" w:cs="宋体"/>
                <w:color w:val="auto"/>
                <w:kern w:val="0"/>
                <w:sz w:val="15"/>
                <w:szCs w:val="15"/>
                <w:highlight w:val="none"/>
                <w:lang w:eastAsia="zh-CN"/>
              </w:rPr>
              <w:t>《基准表》情节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38</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废品收购场所环境脏乱</w:t>
            </w:r>
          </w:p>
        </w:tc>
        <w:tc>
          <w:tcPr>
            <w:tcW w:w="2789" w:type="dxa"/>
            <w:gridSpan w:val="2"/>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违反、处罚条款：第五十一条 责令限期改正，并处300元以上3000元以下罚款。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39</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焚烧废旧物品</w:t>
            </w: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default" w:eastAsia="宋体"/>
                <w:color w:val="auto"/>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300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40</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废品储存场所未采取遮挡措施</w:t>
            </w: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2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随地吐痰</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随地便溺</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43</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随地丢弃废弃物</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违反条款：第五十二条第一款第（二）项；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5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44</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乱倒污水、垃圾</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焚烧树叶、垃圾</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在城镇地区饲养家禽家畜</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违反、处罚条款：第五十三条第一款责令限期改正，并可按照每只（头）处20元以上50元以下罚款。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根据实际情况执行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47</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饲养鸽子影响市容环境卫生</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1.导致建筑物外立面污损的，系数3；2.导致地面污染面积5㎡</w:t>
            </w:r>
            <w:r>
              <w:rPr>
                <w:rFonts w:hint="eastAsia" w:ascii="宋体" w:hAnsi="宋体" w:eastAsia="宋体" w:cs="仿宋_GB2312"/>
                <w:color w:val="auto"/>
                <w:kern w:val="0"/>
                <w:sz w:val="15"/>
                <w:szCs w:val="15"/>
                <w:highlight w:val="none"/>
              </w:rPr>
              <w:t>以上的，系数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擅自设置建筑垃圾、渣土消纳场所</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违反、处罚条款：第五十五条 责令改正，并处5000元以上1万元以下罚款。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49</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未按规定管护公共厕所</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违反、处罚条款：第五十七条第二款 责令限期改正，并可处500元以上3000元以下罚款。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3-5；2严重影响使用或者造成其他较大影响的，系数5；3.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未按规定排入粪便</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违反条款：第五十八条第一款；处罚条款：第五十八条第三款 责令改正，并处1000元以上2000元以下罚款。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5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未按规定清掏（运输）粪便</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违反条款：第五十八条第二款；处罚条款：第五十八条第三款 责令改正，并处1000元以上2000元以下罚款。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52</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随意倾倒粪便</w:t>
            </w:r>
          </w:p>
        </w:tc>
        <w:tc>
          <w:tcPr>
            <w:tcW w:w="2789" w:type="dxa"/>
            <w:gridSpan w:val="2"/>
            <w:noWrap w:val="0"/>
            <w:vAlign w:val="center"/>
          </w:tcPr>
          <w:p>
            <w:pPr>
              <w:spacing w:line="212" w:lineRule="exact"/>
              <w:rPr>
                <w:rFonts w:hint="eastAsia" w:ascii="宋体" w:hAnsi="宋体" w:eastAsia="宋体" w:cs="宋体"/>
                <w:color w:val="auto"/>
                <w:kern w:val="0"/>
                <w:sz w:val="15"/>
                <w:szCs w:val="15"/>
                <w:highlight w:val="none"/>
                <w:u w:val="single"/>
                <w:lang w:eastAsia="zh-CN"/>
              </w:rPr>
            </w:pPr>
            <w:r>
              <w:rPr>
                <w:rFonts w:hint="eastAsia" w:ascii="宋体" w:hAnsi="宋体" w:eastAsia="宋体" w:cs="宋体"/>
                <w:color w:val="auto"/>
                <w:kern w:val="0"/>
                <w:sz w:val="15"/>
                <w:szCs w:val="15"/>
                <w:highlight w:val="none"/>
              </w:rPr>
              <w:t>违反条款：第五十八条第二款；处罚条款：第五十八条第三款 随意倾倒粪便的，处5000元以上5万元以下罚款</w:t>
            </w:r>
            <w:r>
              <w:rPr>
                <w:rFonts w:hint="eastAsia" w:ascii="宋体" w:hAnsi="宋体" w:eastAsia="宋体" w:cs="宋体"/>
                <w:color w:val="auto"/>
                <w:kern w:val="0"/>
                <w:sz w:val="15"/>
                <w:szCs w:val="15"/>
                <w:highlight w:val="none"/>
                <w:lang w:eastAsia="zh-CN"/>
              </w:rPr>
              <w:t>。</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default" w:ascii="宋体" w:hAnsi="宋体" w:eastAsia="宋体" w:cs="宋体"/>
                <w:color w:val="auto"/>
                <w:kern w:val="0"/>
                <w:sz w:val="15"/>
                <w:szCs w:val="15"/>
                <w:highlight w:val="none"/>
                <w:lang w:val="en-US"/>
              </w:rPr>
              <w:t>.</w:t>
            </w:r>
            <w:r>
              <w:rPr>
                <w:rFonts w:hint="eastAsia" w:ascii="宋体" w:hAnsi="宋体" w:eastAsia="宋体" w:cs="宋体"/>
                <w:color w:val="auto"/>
                <w:kern w:val="0"/>
                <w:sz w:val="15"/>
                <w:szCs w:val="15"/>
                <w:highlight w:val="none"/>
              </w:rPr>
              <w:t>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rPr>
              <w:t>；6－10㎡</w:t>
            </w:r>
            <w:r>
              <w:rPr>
                <w:rFonts w:hint="eastAsia" w:ascii="宋体" w:hAnsi="宋体" w:eastAsia="宋体" w:cs="仿宋_GB2312"/>
                <w:strike w:val="0"/>
                <w:dstrike w:val="0"/>
                <w:color w:val="auto"/>
                <w:kern w:val="0"/>
                <w:sz w:val="15"/>
                <w:szCs w:val="15"/>
                <w:highlight w:val="none"/>
              </w:rPr>
              <w:t>，系数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default"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；2.倾倒在绿地、城市道路等公共场所，或者燃气、供暖等公用管道和设施保护（管理）范围的，或者</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区域台账与《基准表》中情节系数相关点位重叠的，不适用区域台账。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53</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环卫设施未经验收（验收不合格）投入使用</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违反条款：第六十条第二款；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处罚条款：第六十条第三款 责令限期改正，并处5000元以上3万元以下罚款。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ascii="宋体" w:hAnsi="宋体" w:eastAsia="宋体" w:cs="宋体"/>
                <w:color w:val="auto"/>
                <w:kern w:val="0"/>
                <w:sz w:val="15"/>
                <w:szCs w:val="15"/>
                <w:highlight w:val="none"/>
                <w:lang w:val="en-US" w:eastAsia="zh-CN"/>
              </w:rPr>
              <w:t>3-5；2.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54</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擅自占用、损毁环卫设施</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违反条款：第六十一条第一款；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责令恢复原状或者赔偿损失，并处500元以上3000元以下罚款。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占用、损毁车站、机场、居民小区、医院、学校、体育场馆、影剧院、繁华商业街区、旅游景区等人口集中地区环卫设施的，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擅自拆除、迁移、改建、停用环卫设施</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拆除、迁移、改建、停用车站、机场、居民小区、医院、学校、体育场馆、影剧院、繁华商业街区、旅游景区等人口集中地区环卫设施的，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擅自改变环卫设施用途</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擅自改变车站、机场、居民小区、医院、学校、体育场馆、影剧院、繁华商业街区、旅游景区等人口集中地区环卫设施的，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0"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7" w:name="_Toc1542301765"/>
            <w:bookmarkStart w:id="8" w:name="_Toc110851437"/>
            <w:bookmarkStart w:id="9" w:name="_Toc422619426"/>
            <w:r>
              <w:rPr>
                <w:rFonts w:hint="eastAsia" w:ascii="宋体" w:hAnsi="宋体" w:eastAsia="宋体"/>
                <w:color w:val="auto"/>
                <w:sz w:val="21"/>
                <w:szCs w:val="21"/>
                <w:highlight w:val="none"/>
              </w:rPr>
              <w:t>《北京市生活垃圾管理条例》案由</w:t>
            </w:r>
            <w:r>
              <w:rPr>
                <w:rFonts w:ascii="宋体" w:hAnsi="宋体" w:eastAsia="宋体"/>
                <w:color w:val="auto"/>
                <w:sz w:val="21"/>
                <w:szCs w:val="21"/>
                <w:highlight w:val="none"/>
              </w:rPr>
              <w:t>36</w:t>
            </w:r>
            <w:r>
              <w:rPr>
                <w:rFonts w:hint="eastAsia" w:ascii="宋体" w:hAnsi="宋体" w:eastAsia="宋体"/>
                <w:color w:val="auto"/>
                <w:sz w:val="21"/>
                <w:szCs w:val="21"/>
                <w:highlight w:val="none"/>
              </w:rPr>
              <w:t>项</w:t>
            </w:r>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5"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主动向消费者提供一次性用品</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5000（初次违反）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初次违反适用此情形。</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10000（再次违反）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一年度内</w:t>
            </w:r>
            <w:r>
              <w:rPr>
                <w:rFonts w:hint="eastAsia" w:ascii="宋体" w:hAnsi="宋体" w:eastAsia="宋体" w:cs="宋体"/>
                <w:color w:val="auto"/>
                <w:kern w:val="0"/>
                <w:sz w:val="15"/>
                <w:szCs w:val="15"/>
                <w:highlight w:val="none"/>
                <w:lang w:eastAsia="zh-CN"/>
              </w:rPr>
              <w:t>因</w:t>
            </w:r>
            <w:r>
              <w:rPr>
                <w:rFonts w:hint="eastAsia" w:ascii="宋体" w:hAnsi="宋体" w:eastAsia="宋体" w:cs="宋体"/>
                <w:color w:val="auto"/>
                <w:kern w:val="0"/>
                <w:sz w:val="15"/>
                <w:szCs w:val="15"/>
                <w:highlight w:val="none"/>
              </w:rPr>
              <w:t>同类性质违法行为</w:t>
            </w:r>
            <w:r>
              <w:rPr>
                <w:rFonts w:hint="eastAsia" w:ascii="宋体" w:hAnsi="宋体" w:eastAsia="宋体" w:cs="宋体"/>
                <w:color w:val="auto"/>
                <w:kern w:val="0"/>
                <w:sz w:val="15"/>
                <w:szCs w:val="15"/>
                <w:highlight w:val="none"/>
                <w:lang w:eastAsia="zh-CN"/>
              </w:rPr>
              <w:t>再次</w:t>
            </w:r>
            <w:r>
              <w:rPr>
                <w:rFonts w:hint="eastAsia" w:ascii="宋体" w:hAnsi="宋体" w:eastAsia="宋体" w:cs="宋体"/>
                <w:color w:val="auto"/>
                <w:kern w:val="0"/>
                <w:sz w:val="15"/>
                <w:szCs w:val="15"/>
                <w:highlight w:val="none"/>
              </w:rPr>
              <w:t>受到书面告诫或者处罚的</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eastAsia="zh-CN"/>
              </w:rPr>
              <w:t>不适用本案由。</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4"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未将生活垃圾分别投入相应标识的收集容器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（单位情节严重的）</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eastAsia" w:ascii="宋体" w:hAnsi="宋体" w:eastAsia="宋体"/>
                <w:b/>
                <w:color w:val="auto"/>
                <w:sz w:val="15"/>
                <w:szCs w:val="15"/>
                <w:highlight w:val="none"/>
                <w:lang w:eastAsia="zh-CN"/>
              </w:rPr>
            </w:pPr>
            <w:r>
              <w:rPr>
                <w:rFonts w:hint="eastAsia" w:ascii="宋体" w:hAnsi="宋体" w:eastAsia="宋体"/>
                <w:color w:val="auto"/>
                <w:sz w:val="15"/>
                <w:szCs w:val="15"/>
                <w:highlight w:val="none"/>
              </w:rPr>
              <w:t>1.可回收物</w:t>
            </w:r>
            <w:r>
              <w:rPr>
                <w:rFonts w:hint="eastAsia" w:ascii="宋体" w:hAnsi="宋体" w:eastAsia="宋体"/>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eastAsia="宋体"/>
                <w:b w:val="0"/>
                <w:bCs w:val="0"/>
                <w:strike w:val="0"/>
                <w:dstrike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；2.其他垃圾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；3.厨余垃圾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hint="eastAsia" w:ascii="宋体" w:hAnsi="宋体" w:eastAsia="宋体"/>
                <w:b w:val="0"/>
                <w:bCs w:val="0"/>
                <w:color w:val="auto"/>
                <w:sz w:val="15"/>
                <w:szCs w:val="15"/>
                <w:highlight w:val="none"/>
                <w:lang w:val="en-US" w:eastAsia="zh-CN"/>
              </w:rPr>
              <w:t xml:space="preserve"> 2</w:t>
            </w:r>
            <w:r>
              <w:rPr>
                <w:rFonts w:hint="eastAsia" w:ascii="宋体" w:hAnsi="宋体" w:eastAsia="宋体"/>
                <w:b w:val="0"/>
                <w:bCs w:val="0"/>
                <w:color w:val="auto"/>
                <w:sz w:val="15"/>
                <w:szCs w:val="15"/>
                <w:highlight w:val="none"/>
              </w:rPr>
              <w:t>；4.有害垃圾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5</w:t>
            </w:r>
            <w:r>
              <w:rPr>
                <w:rFonts w:hint="default" w:ascii="宋体" w:hAnsi="宋体" w:eastAsia="宋体"/>
                <w:b w:val="0"/>
                <w:bCs w:val="0"/>
                <w:color w:val="auto"/>
                <w:sz w:val="15"/>
                <w:szCs w:val="15"/>
                <w:highlight w:val="none"/>
                <w:lang w:val="en-US" w:eastAsia="zh-CN"/>
              </w:rPr>
              <w:t>.</w:t>
            </w:r>
            <w:r>
              <w:rPr>
                <w:rFonts w:hint="eastAsia" w:ascii="宋体" w:hAnsi="宋体" w:eastAsia="宋体"/>
                <w:color w:val="auto"/>
                <w:sz w:val="15"/>
                <w:szCs w:val="15"/>
                <w:highlight w:val="none"/>
              </w:rPr>
              <w:t>造成环境秩序较严重影响的，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6.存在基准2.1.3规定情形的，</w:t>
            </w:r>
            <w:r>
              <w:rPr>
                <w:rFonts w:hint="eastAsia" w:ascii="宋体" w:hAnsi="宋体" w:eastAsia="宋体" w:cs="宋体"/>
                <w:color w:val="auto"/>
                <w:kern w:val="0"/>
                <w:sz w:val="15"/>
                <w:szCs w:val="15"/>
                <w:highlight w:val="none"/>
                <w:lang w:val="en-US" w:eastAsia="zh-CN"/>
              </w:rPr>
              <w:t>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的，视为情节严重。</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20" w:lineRule="exact"/>
              <w:rPr>
                <w:rFonts w:hint="eastAsia" w:ascii="宋体" w:hAnsi="宋体" w:eastAsia="宋体"/>
                <w:color w:val="auto"/>
                <w:sz w:val="15"/>
                <w:szCs w:val="15"/>
                <w:highlight w:val="none"/>
                <w:lang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个人拒不听从生活垃圾分类管理责任人劝阻，且拒不改正的，进行书面警告。</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2.个人自愿参加生活垃圾分类等社区服务活动的，不予行政处罚。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1.可回收物未投入相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；2.其他垃圾未投入相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0-3；3.厨余垃圾未投入相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ascii="宋体" w:hAnsi="宋体" w:eastAsia="宋体"/>
                <w:color w:val="auto"/>
                <w:spacing w:val="-4"/>
                <w:sz w:val="15"/>
                <w:szCs w:val="15"/>
                <w:highlight w:val="none"/>
              </w:rPr>
              <w:t>.</w:t>
            </w:r>
            <w:r>
              <w:rPr>
                <w:rFonts w:hint="eastAsia" w:ascii="宋体" w:hAnsi="宋体" w:eastAsia="宋体"/>
                <w:color w:val="auto"/>
                <w:spacing w:val="-4"/>
                <w:sz w:val="15"/>
                <w:szCs w:val="15"/>
                <w:highlight w:val="none"/>
              </w:rPr>
              <w:t>有害垃圾未投入相</w:t>
            </w:r>
            <w:r>
              <w:rPr>
                <w:rFonts w:hint="eastAsia" w:ascii="宋体" w:hAnsi="宋体" w:eastAsia="宋体"/>
                <w:color w:val="auto"/>
                <w:spacing w:val="-4"/>
                <w:sz w:val="15"/>
                <w:szCs w:val="15"/>
                <w:highlight w:val="none"/>
                <w:lang w:eastAsia="zh-CN"/>
              </w:rPr>
              <w:t>对</w:t>
            </w:r>
            <w:r>
              <w:rPr>
                <w:rFonts w:hint="eastAsia" w:ascii="宋体" w:hAnsi="宋体" w:eastAsia="宋体"/>
                <w:color w:val="auto"/>
                <w:spacing w:val="-4"/>
                <w:sz w:val="15"/>
                <w:szCs w:val="15"/>
                <w:highlight w:val="none"/>
              </w:rPr>
              <w:t>应标识的收集容器</w:t>
            </w:r>
            <w:r>
              <w:rPr>
                <w:rFonts w:hint="eastAsia" w:ascii="宋体" w:hAnsi="宋体" w:eastAsia="宋体"/>
                <w:color w:val="auto"/>
                <w:spacing w:val="-4"/>
                <w:sz w:val="15"/>
                <w:szCs w:val="15"/>
                <w:highlight w:val="none"/>
                <w:lang w:eastAsia="zh-CN"/>
              </w:rPr>
              <w:t>系数</w:t>
            </w:r>
            <w:r>
              <w:rPr>
                <w:rFonts w:hint="eastAsia" w:ascii="宋体" w:hAnsi="宋体" w:eastAsia="宋体"/>
                <w:color w:val="auto"/>
                <w:spacing w:val="-4"/>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pacing w:val="-4"/>
                <w:sz w:val="15"/>
                <w:szCs w:val="15"/>
                <w:highlight w:val="none"/>
                <w:lang w:eastAsia="zh-CN"/>
              </w:rPr>
              <w:t>；</w:t>
            </w:r>
            <w:r>
              <w:rPr>
                <w:rFonts w:hint="eastAsia" w:ascii="宋体" w:hAnsi="宋体" w:eastAsia="宋体" w:cs="宋体"/>
                <w:color w:val="auto"/>
                <w:kern w:val="0"/>
                <w:sz w:val="15"/>
                <w:szCs w:val="15"/>
                <w:highlight w:val="none"/>
                <w:lang w:val="en-US" w:eastAsia="zh-CN"/>
              </w:rPr>
              <w:t>5.存在基准2.1.3规定情形的，系数按照相关规定确定（基准2.1.3.5不适用）。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79" w:hRule="atLeast"/>
        </w:trPr>
        <w:tc>
          <w:tcPr>
            <w:tcW w:w="610"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体积较大的废弃物品未单独堆放</w:t>
            </w:r>
          </w:p>
        </w:tc>
        <w:tc>
          <w:tcPr>
            <w:tcW w:w="2789" w:type="dxa"/>
            <w:gridSpan w:val="2"/>
            <w:tcBorders>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.占地面积在5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宋体"/>
                <w:color w:val="auto"/>
                <w:kern w:val="0"/>
                <w:sz w:val="15"/>
                <w:szCs w:val="15"/>
                <w:highlight w:val="none"/>
              </w:rPr>
              <w:t>，系数1；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eastAsia="zh-CN"/>
              </w:rPr>
              <w:t>面积</w:t>
            </w:r>
            <w:r>
              <w:rPr>
                <w:rFonts w:hint="eastAsia" w:ascii="宋体" w:hAnsi="宋体" w:eastAsia="宋体" w:cs="宋体"/>
                <w:color w:val="auto"/>
                <w:sz w:val="15"/>
                <w:szCs w:val="15"/>
                <w:highlight w:val="none"/>
                <w:lang w:val="en-US" w:eastAsia="zh-CN"/>
              </w:rPr>
              <w:t>46</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及以上的，系数</w:t>
            </w:r>
            <w:r>
              <w:rPr>
                <w:rFonts w:hint="eastAsia" w:ascii="宋体" w:hAnsi="宋体" w:eastAsia="宋体" w:cs="宋体"/>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堆放在城市道路、绿地、居住小区消防通道</w:t>
            </w:r>
            <w:r>
              <w:rPr>
                <w:rFonts w:hint="eastAsia" w:ascii="宋体" w:hAnsi="宋体" w:eastAsia="宋体" w:cs="宋体"/>
                <w:color w:val="auto"/>
                <w:sz w:val="15"/>
                <w:szCs w:val="15"/>
                <w:highlight w:val="none"/>
                <w:shd w:val="clear" w:color="auto" w:fill="FFFFFF"/>
              </w:rPr>
              <w:t>等共用部位</w:t>
            </w:r>
            <w:r>
              <w:rPr>
                <w:rFonts w:hint="eastAsia" w:ascii="宋体" w:hAnsi="宋体" w:eastAsia="宋体" w:cs="宋体"/>
                <w:color w:val="auto"/>
                <w:sz w:val="15"/>
                <w:szCs w:val="15"/>
                <w:highlight w:val="none"/>
                <w:shd w:val="clear" w:color="auto" w:fill="FFFFFF"/>
                <w:lang w:eastAsia="zh-CN"/>
              </w:rPr>
              <w:t>的，系数</w:t>
            </w:r>
            <w:r>
              <w:rPr>
                <w:rFonts w:hint="eastAsia" w:ascii="宋体" w:hAnsi="宋体" w:eastAsia="宋体" w:cs="宋体"/>
                <w:color w:val="auto"/>
                <w:sz w:val="15"/>
                <w:szCs w:val="15"/>
                <w:highlight w:val="none"/>
                <w:shd w:val="clear" w:color="auto" w:fill="FFFFFF"/>
                <w:lang w:val="en-US" w:eastAsia="zh-CN"/>
              </w:rPr>
              <w:t>0-1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占压燃气、供暖等公用管道和设施保护（管理）范围的，或者林地、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w:t>
            </w:r>
            <w:r>
              <w:rPr>
                <w:rFonts w:hint="eastAsia" w:ascii="宋体" w:hAnsi="宋体" w:eastAsia="宋体" w:cs="宋体"/>
                <w:color w:val="auto"/>
                <w:sz w:val="15"/>
                <w:szCs w:val="15"/>
                <w:highlight w:val="none"/>
                <w:shd w:val="clear" w:color="auto" w:fill="FFFFFF"/>
                <w:lang w:eastAsia="zh-CN"/>
              </w:rPr>
              <w:t>系数</w:t>
            </w:r>
            <w:r>
              <w:rPr>
                <w:rFonts w:hint="eastAsia" w:ascii="宋体" w:hAnsi="宋体" w:eastAsia="宋体" w:cs="宋体"/>
                <w:color w:val="auto"/>
                <w:sz w:val="15"/>
                <w:szCs w:val="15"/>
                <w:highlight w:val="none"/>
                <w:shd w:val="clear" w:color="auto" w:fill="FFFFFF"/>
                <w:lang w:val="en-US" w:eastAsia="zh-CN"/>
              </w:rPr>
              <w:t>5</w:t>
            </w:r>
            <w:r>
              <w:rPr>
                <w:rFonts w:hint="default" w:ascii="宋体" w:hAnsi="宋体" w:eastAsia="宋体" w:cs="宋体"/>
                <w:color w:val="auto"/>
                <w:sz w:val="15"/>
                <w:szCs w:val="15"/>
                <w:highlight w:val="none"/>
                <w:shd w:val="clear" w:color="auto" w:fill="FFFFFF"/>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hint="eastAsia" w:ascii="宋体" w:hAnsi="宋体" w:eastAsia="宋体" w:cs="宋体"/>
                <w:strike/>
                <w:dstrike w:val="0"/>
                <w:color w:val="auto"/>
                <w:kern w:val="0"/>
                <w:sz w:val="15"/>
                <w:szCs w:val="15"/>
                <w:highlight w:val="none"/>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，或者造成严重后果的，视为情节严重。</w:t>
            </w:r>
          </w:p>
        </w:tc>
        <w:tc>
          <w:tcPr>
            <w:tcW w:w="897" w:type="dxa"/>
            <w:gridSpan w:val="2"/>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5" w:hRule="atLeast"/>
        </w:trPr>
        <w:tc>
          <w:tcPr>
            <w:tcW w:w="610" w:type="dxa"/>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9"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未单独堆放在生活垃圾分类管理责任人指定的地点，系数0-1；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75" w:hRule="atLeast"/>
        </w:trPr>
        <w:tc>
          <w:tcPr>
            <w:tcW w:w="610"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农村村民产生的灰土未按规定投放的</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right w:val="single" w:color="auto" w:sz="4" w:space="0"/>
            </w:tcBorders>
            <w:noWrap w:val="0"/>
            <w:vAlign w:val="center"/>
          </w:tcPr>
          <w:p>
            <w:pPr>
              <w:spacing w:line="232" w:lineRule="exact"/>
              <w:jc w:val="left"/>
              <w:rPr>
                <w:rFonts w:hint="eastAsia" w:ascii="宋体" w:hAnsi="宋体" w:eastAsia="宋体"/>
                <w:color w:val="auto"/>
                <w:sz w:val="15"/>
                <w:szCs w:val="15"/>
                <w:highlight w:val="none"/>
                <w:lang w:eastAsia="zh-CN"/>
              </w:rPr>
            </w:pPr>
          </w:p>
        </w:tc>
        <w:tc>
          <w:tcPr>
            <w:tcW w:w="1875" w:type="dxa"/>
            <w:gridSpan w:val="2"/>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7" w:hRule="atLeast"/>
        </w:trPr>
        <w:tc>
          <w:tcPr>
            <w:tcW w:w="610" w:type="dxa"/>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1.未单独投放在相应的容器或者生活垃圾分类管理责任人指定的地点，系数0-1；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5" w:hRule="atLeast"/>
        </w:trPr>
        <w:tc>
          <w:tcPr>
            <w:tcW w:w="610"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居民装饰装修房屋过程中产生的建筑垃圾未按指定的时间、地点和要求单独堆放</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right w:val="single" w:color="auto" w:sz="4" w:space="0"/>
            </w:tcBorders>
            <w:noWrap w:val="0"/>
            <w:vAlign w:val="center"/>
          </w:tcPr>
          <w:p>
            <w:pPr>
              <w:spacing w:line="232" w:lineRule="exact"/>
              <w:rPr>
                <w:rFonts w:hint="default" w:ascii="宋体" w:hAnsi="宋体" w:eastAsia="宋体"/>
                <w:color w:val="auto"/>
                <w:sz w:val="15"/>
                <w:szCs w:val="15"/>
                <w:highlight w:val="none"/>
                <w:lang w:val="en-US"/>
              </w:rPr>
            </w:pPr>
          </w:p>
        </w:tc>
        <w:tc>
          <w:tcPr>
            <w:tcW w:w="1875" w:type="dxa"/>
            <w:gridSpan w:val="2"/>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1"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left w:val="single" w:color="auto" w:sz="4" w:space="0"/>
              <w:bottom w:val="single" w:color="auto" w:sz="4" w:space="0"/>
              <w:right w:val="single" w:color="auto" w:sz="4" w:space="0"/>
            </w:tcBorders>
            <w:noWrap w:val="0"/>
            <w:vAlign w:val="center"/>
          </w:tcPr>
          <w:p>
            <w:pPr>
              <w:spacing w:line="232" w:lineRule="exact"/>
              <w:rPr>
                <w:rFonts w:hint="default"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1.未单独堆放在生活垃圾分类管理责任人指定的地点，系数0-1；</w:t>
            </w:r>
            <w:r>
              <w:rPr>
                <w:rFonts w:hint="eastAsia" w:ascii="宋体" w:hAnsi="宋体" w:eastAsia="宋体" w:cs="宋体"/>
                <w:color w:val="auto"/>
                <w:kern w:val="0"/>
                <w:sz w:val="15"/>
                <w:szCs w:val="15"/>
                <w:highlight w:val="none"/>
              </w:rPr>
              <w:t>2.占地面积在5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pPr>
              <w:spacing w:line="232" w:lineRule="exact"/>
              <w:rPr>
                <w:rFonts w:hint="default"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未建立生活垃圾分类日常管理制度</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违反条款：第三十六条第一款第（一）项；处罚条款：第六十九条第一款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pPr>
              <w:spacing w:line="232" w:lineRule="exact"/>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1.同时存在第三十六条第一款第（一）、（二）、（三）、（四）、（六）项违法行为中2项行为的，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1-2；3项及以上行为的，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3-5；2</w:t>
            </w:r>
            <w:r>
              <w:rPr>
                <w:rFonts w:hint="default" w:ascii="宋体" w:hAnsi="宋体" w:eastAsia="宋体"/>
                <w:color w:val="auto"/>
                <w:sz w:val="15"/>
                <w:szCs w:val="15"/>
                <w:highlight w:val="none"/>
                <w:lang w:val="en-US"/>
              </w:rPr>
              <w:t>.</w:t>
            </w:r>
            <w:r>
              <w:rPr>
                <w:rFonts w:hint="eastAsia" w:ascii="宋体" w:hAnsi="宋体" w:eastAsia="宋体"/>
                <w:color w:val="auto"/>
                <w:sz w:val="15"/>
                <w:szCs w:val="15"/>
                <w:highlight w:val="none"/>
              </w:rPr>
              <w:t>生活垃圾分类</w:t>
            </w:r>
            <w:r>
              <w:rPr>
                <w:rFonts w:ascii="宋体" w:hAnsi="宋体" w:eastAsia="宋体"/>
                <w:color w:val="auto"/>
                <w:sz w:val="15"/>
                <w:szCs w:val="15"/>
                <w:highlight w:val="none"/>
              </w:rPr>
              <w:t>管理责任人未履行法律规定</w:t>
            </w:r>
            <w:r>
              <w:rPr>
                <w:rFonts w:hint="eastAsia" w:ascii="宋体" w:hAnsi="宋体" w:eastAsia="宋体"/>
                <w:color w:val="auto"/>
                <w:sz w:val="15"/>
                <w:szCs w:val="15"/>
                <w:highlight w:val="none"/>
              </w:rPr>
              <w:t>责任</w:t>
            </w:r>
            <w:r>
              <w:rPr>
                <w:rFonts w:ascii="宋体" w:hAnsi="宋体" w:eastAsia="宋体"/>
                <w:color w:val="auto"/>
                <w:sz w:val="15"/>
                <w:szCs w:val="15"/>
                <w:highlight w:val="none"/>
              </w:rPr>
              <w:t>或</w:t>
            </w:r>
            <w:r>
              <w:rPr>
                <w:rFonts w:hint="eastAsia" w:ascii="宋体" w:hAnsi="宋体" w:eastAsia="宋体"/>
                <w:color w:val="auto"/>
                <w:sz w:val="15"/>
                <w:szCs w:val="15"/>
                <w:highlight w:val="none"/>
              </w:rPr>
              <w:t>因生活垃圾分类收集容器配备不足造成垃圾满冒或随意堆放造成环境秩序较严重影响的，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jc w:val="both"/>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2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未开展宣传或未指定专人负责指导、监督垃圾分类工作</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违反条款：第三十六条第一款第（二）项；处罚条款：第六十九条第一款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未按规定设置生活垃圾分类收集容器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未按规定管护生活垃圾分类收集容器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未明确生活垃圾投放的时间、地点</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分类管理责任人未分类收集、贮存生活垃圾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未及时制止翻拣、混合已分类生活垃圾的行为</w:t>
            </w:r>
          </w:p>
        </w:tc>
        <w:tc>
          <w:tcPr>
            <w:tcW w:w="278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违反条款：第三十六条第一款第（六）项；处罚条款：第六十九条第一款 责令立即改正，处三千元以上三万元以下罚款。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6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将生活垃圾交由未经许可或者备案的企业和个人进行处置</w:t>
            </w:r>
          </w:p>
        </w:tc>
        <w:tc>
          <w:tcPr>
            <w:tcW w:w="2789"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违反条款：第三十六条第一款第（五）项；处罚条款：第六十九条第二款 责令立即改正，处一万元以上十万元以下罚款。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1.违法行为持续时间</w:t>
            </w:r>
            <w:r>
              <w:rPr>
                <w:rFonts w:hint="eastAsia" w:ascii="宋体" w:hAnsi="宋体"/>
                <w:b w:val="0"/>
                <w:bCs w:val="0"/>
                <w:color w:val="auto"/>
                <w:sz w:val="15"/>
                <w:szCs w:val="15"/>
                <w:highlight w:val="none"/>
                <w:lang w:eastAsia="zh-CN"/>
              </w:rPr>
              <w:t>一个月以上</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垃圾产生量较大，</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3-4；</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.造成环境较严重影响的，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strike w:val="0"/>
                <w:dstrike w:val="0"/>
                <w:color w:val="auto"/>
                <w:sz w:val="15"/>
                <w:szCs w:val="15"/>
                <w:highlight w:val="none"/>
                <w:lang w:val="en-US" w:eastAsia="zh-CN"/>
              </w:rPr>
              <w:t xml:space="preserve"> 6</w:t>
            </w: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餐饮服务单位未按规定收集、交运、处理厨余垃圾的行为，优先适用</w:t>
            </w:r>
            <w:r>
              <w:rPr>
                <w:rFonts w:hint="eastAsia" w:ascii="宋体" w:hAnsi="宋体" w:eastAsia="宋体"/>
                <w:color w:val="auto"/>
                <w:sz w:val="15"/>
                <w:szCs w:val="15"/>
                <w:highlight w:val="none"/>
              </w:rPr>
              <w:t>第四十八条第二款的规定，依据第七十四条第一款予以处罚。</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分类管理责任人未办理生活垃圾排放登记</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　</w:t>
            </w:r>
          </w:p>
        </w:tc>
        <w:tc>
          <w:tcPr>
            <w:tcW w:w="851" w:type="dxa"/>
            <w:noWrap w:val="0"/>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ascii="宋体" w:hAnsi="宋体" w:eastAsia="宋体" w:cs="宋体"/>
                <w:color w:val="auto"/>
                <w:kern w:val="0"/>
                <w:sz w:val="15"/>
                <w:szCs w:val="15"/>
                <w:highlight w:val="none"/>
              </w:rPr>
            </w:pPr>
            <w:r>
              <w:rPr>
                <w:rFonts w:hint="default" w:ascii="宋体" w:hAnsi="宋体"/>
                <w:b w:val="0"/>
                <w:bCs w:val="0"/>
                <w:color w:val="auto"/>
                <w:spacing w:val="-4"/>
                <w:sz w:val="15"/>
                <w:szCs w:val="15"/>
                <w:highlight w:val="none"/>
                <w:lang w:val="en-US"/>
              </w:rPr>
              <w:t>1.</w:t>
            </w:r>
            <w:r>
              <w:rPr>
                <w:rFonts w:hint="eastAsia" w:ascii="宋体" w:hAnsi="宋体"/>
                <w:b w:val="0"/>
                <w:bCs w:val="0"/>
                <w:color w:val="auto"/>
                <w:spacing w:val="-4"/>
                <w:sz w:val="15"/>
                <w:szCs w:val="15"/>
                <w:highlight w:val="none"/>
                <w:lang w:eastAsia="zh-CN"/>
              </w:rPr>
              <w:t>未办理排放登记时间</w:t>
            </w:r>
            <w:r>
              <w:rPr>
                <w:rFonts w:hint="eastAsia" w:ascii="宋体" w:hAnsi="宋体"/>
                <w:b w:val="0"/>
                <w:bCs w:val="0"/>
                <w:color w:val="auto"/>
                <w:spacing w:val="-4"/>
                <w:sz w:val="15"/>
                <w:szCs w:val="15"/>
                <w:highlight w:val="none"/>
                <w:lang w:val="en-US" w:eastAsia="zh-CN"/>
              </w:rPr>
              <w:t>1个月以上的，系数1；2个月以上的，系数2；3个月以上的，系数3；4个月及以上的，系数4。2.</w:t>
            </w:r>
            <w:r>
              <w:rPr>
                <w:rFonts w:hint="eastAsia" w:ascii="宋体" w:hAnsi="宋体" w:eastAsia="宋体"/>
                <w:b w:val="0"/>
                <w:bCs w:val="0"/>
                <w:color w:val="auto"/>
                <w:spacing w:val="-4"/>
                <w:sz w:val="15"/>
                <w:szCs w:val="15"/>
                <w:highlight w:val="none"/>
              </w:rPr>
              <w:t>造成环境较严重影响的，系数</w:t>
            </w:r>
            <w:r>
              <w:rPr>
                <w:rFonts w:hint="eastAsia" w:ascii="宋体" w:hAnsi="宋体" w:eastAsia="宋体"/>
                <w:b w:val="0"/>
                <w:bCs w:val="0"/>
                <w:strike w:val="0"/>
                <w:dstrike w:val="0"/>
                <w:color w:val="auto"/>
                <w:spacing w:val="-4"/>
                <w:sz w:val="15"/>
                <w:szCs w:val="15"/>
                <w:highlight w:val="none"/>
                <w:lang w:val="en-US" w:eastAsia="zh-CN"/>
              </w:rPr>
              <w:t>2-4</w:t>
            </w:r>
            <w:r>
              <w:rPr>
                <w:rFonts w:hint="eastAsia" w:ascii="宋体" w:hAnsi="宋体"/>
                <w:b w:val="0"/>
                <w:bCs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w:t>
            </w:r>
            <w:r>
              <w:rPr>
                <w:rFonts w:hint="eastAsia" w:ascii="宋体" w:hAnsi="宋体" w:eastAsia="宋体" w:cs="宋体"/>
                <w:color w:val="auto"/>
                <w:kern w:val="0"/>
                <w:sz w:val="15"/>
                <w:szCs w:val="15"/>
                <w:highlight w:val="none"/>
                <w:lang w:val="en-US" w:eastAsia="zh-CN"/>
              </w:rPr>
              <w:t>基准2.1.3规定情形的，系数按照相关规定确定（基准2.1.3.5不适用）。</w:t>
            </w:r>
          </w:p>
        </w:tc>
        <w:tc>
          <w:tcPr>
            <w:tcW w:w="1875"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分类管理责任人未如实办理生活垃圾排放登记</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ind w:left="0" w:leftChars="0" w:firstLine="0" w:firstLineChars="0"/>
              <w:jc w:val="both"/>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color w:val="auto"/>
                <w:sz w:val="15"/>
                <w:szCs w:val="15"/>
                <w:highlight w:val="none"/>
                <w:lang w:val="en-US" w:eastAsia="zh-CN"/>
              </w:rPr>
              <w:t>缺少</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项的，系数</w:t>
            </w:r>
            <w:r>
              <w:rPr>
                <w:rFonts w:hint="default" w:ascii="宋体" w:hAnsi="宋体"/>
                <w:color w:val="auto"/>
                <w:sz w:val="15"/>
                <w:szCs w:val="15"/>
                <w:highlight w:val="none"/>
                <w:lang w:val="en-US" w:eastAsia="zh-CN"/>
              </w:rPr>
              <w:t>1</w:t>
            </w:r>
            <w:r>
              <w:rPr>
                <w:rFonts w:hint="eastAsia" w:ascii="宋体" w:hAnsi="宋体"/>
                <w:color w:val="auto"/>
                <w:sz w:val="15"/>
                <w:szCs w:val="15"/>
                <w:highlight w:val="none"/>
                <w:lang w:val="en-US" w:eastAsia="zh-CN"/>
              </w:rPr>
              <w:t>；缺少3项的，系数</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；缺少4的，系数3；缺少5项及以上的，系数4。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w:t>
            </w:r>
            <w:r>
              <w:rPr>
                <w:rFonts w:hint="eastAsia" w:ascii="宋体" w:hAnsi="宋体" w:eastAsia="宋体"/>
                <w:color w:val="auto"/>
                <w:spacing w:val="-4"/>
                <w:sz w:val="15"/>
                <w:szCs w:val="15"/>
                <w:highlight w:val="none"/>
                <w:lang w:eastAsia="zh-CN"/>
              </w:rPr>
              <w:t>登记</w:t>
            </w:r>
            <w:r>
              <w:rPr>
                <w:rFonts w:hint="eastAsia" w:ascii="宋体" w:hAnsi="宋体" w:eastAsia="宋体" w:cs="宋体"/>
                <w:color w:val="auto"/>
                <w:kern w:val="0"/>
                <w:sz w:val="15"/>
                <w:szCs w:val="15"/>
                <w:highlight w:val="none"/>
              </w:rPr>
              <w:t>存在弄虚作假</w:t>
            </w:r>
            <w:r>
              <w:rPr>
                <w:rFonts w:hint="eastAsia" w:ascii="宋体" w:hAnsi="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较严重影响的情形，系数</w:t>
            </w:r>
            <w:r>
              <w:rPr>
                <w:rFonts w:hint="eastAsia" w:ascii="宋体" w:hAnsi="宋体" w:eastAsia="宋体" w:cs="宋体"/>
                <w:color w:val="auto"/>
                <w:kern w:val="0"/>
                <w:sz w:val="15"/>
                <w:szCs w:val="15"/>
                <w:highlight w:val="none"/>
                <w:lang w:val="en-US" w:eastAsia="zh-CN"/>
              </w:rPr>
              <w:t>3-4</w:t>
            </w:r>
            <w:r>
              <w:rPr>
                <w:rFonts w:hint="eastAsia" w:ascii="宋体" w:hAnsi="宋体" w:cs="宋体"/>
                <w:color w:val="auto"/>
                <w:kern w:val="0"/>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分类管理责任人未建立生活垃圾管理台账</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hint="eastAsia" w:ascii="宋体" w:hAnsi="宋体" w:eastAsia="宋体"/>
                <w:color w:val="auto"/>
                <w:sz w:val="15"/>
                <w:szCs w:val="15"/>
                <w:highlight w:val="none"/>
                <w:lang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strike w:val="0"/>
                <w:dstrike w:val="0"/>
                <w:color w:val="auto"/>
                <w:sz w:val="15"/>
                <w:szCs w:val="15"/>
                <w:highlight w:val="none"/>
              </w:rPr>
              <w:t>.违法行为持续时间</w:t>
            </w:r>
            <w:r>
              <w:rPr>
                <w:rFonts w:hint="eastAsia" w:ascii="宋体" w:hAnsi="宋体"/>
                <w:b w:val="0"/>
                <w:bCs w:val="0"/>
                <w:strike w:val="0"/>
                <w:dstrike w:val="0"/>
                <w:color w:val="auto"/>
                <w:sz w:val="15"/>
                <w:szCs w:val="15"/>
                <w:highlight w:val="none"/>
                <w:lang w:eastAsia="zh-CN"/>
              </w:rPr>
              <w:t>一个月以上</w:t>
            </w:r>
            <w:r>
              <w:rPr>
                <w:rFonts w:hint="eastAsia" w:ascii="宋体" w:hAnsi="宋体" w:eastAsia="宋体"/>
                <w:b w:val="0"/>
                <w:bCs w:val="0"/>
                <w:strike w:val="0"/>
                <w:dstrike w:val="0"/>
                <w:color w:val="auto"/>
                <w:sz w:val="15"/>
                <w:szCs w:val="15"/>
                <w:highlight w:val="none"/>
              </w:rPr>
              <w:t>，垃圾产生量较</w:t>
            </w:r>
            <w:r>
              <w:rPr>
                <w:rFonts w:hint="eastAsia" w:ascii="宋体" w:hAnsi="宋体" w:eastAsia="宋体"/>
                <w:b w:val="0"/>
                <w:bCs w:val="0"/>
                <w:strike w:val="0"/>
                <w:dstrike w:val="0"/>
                <w:color w:val="auto"/>
                <w:spacing w:val="-4"/>
                <w:sz w:val="15"/>
                <w:szCs w:val="15"/>
                <w:highlight w:val="none"/>
              </w:rPr>
              <w:t>大，</w:t>
            </w:r>
            <w:r>
              <w:rPr>
                <w:rFonts w:hint="eastAsia" w:ascii="宋体" w:hAnsi="宋体"/>
                <w:b w:val="0"/>
                <w:bCs w:val="0"/>
                <w:strike w:val="0"/>
                <w:dstrike w:val="0"/>
                <w:color w:val="auto"/>
                <w:spacing w:val="-4"/>
                <w:sz w:val="15"/>
                <w:szCs w:val="15"/>
                <w:highlight w:val="none"/>
                <w:lang w:eastAsia="zh-CN"/>
              </w:rPr>
              <w:t>系数</w:t>
            </w:r>
            <w:r>
              <w:rPr>
                <w:rFonts w:hint="eastAsia" w:ascii="宋体" w:hAnsi="宋体" w:eastAsia="宋体"/>
                <w:b w:val="0"/>
                <w:bCs w:val="0"/>
                <w:strike w:val="0"/>
                <w:dstrike w:val="0"/>
                <w:color w:val="auto"/>
                <w:spacing w:val="-4"/>
                <w:sz w:val="15"/>
                <w:szCs w:val="15"/>
                <w:highlight w:val="none"/>
              </w:rPr>
              <w:t>2-4；</w:t>
            </w:r>
            <w:r>
              <w:rPr>
                <w:rFonts w:hint="eastAsia" w:ascii="宋体" w:hAnsi="宋体" w:eastAsia="宋体"/>
                <w:b w:val="0"/>
                <w:bCs w:val="0"/>
                <w:strike w:val="0"/>
                <w:dstrike w:val="0"/>
                <w:color w:val="auto"/>
                <w:spacing w:val="-4"/>
                <w:sz w:val="15"/>
                <w:szCs w:val="15"/>
                <w:highlight w:val="none"/>
                <w:lang w:val="en-US" w:eastAsia="zh-CN"/>
              </w:rPr>
              <w:t>2</w:t>
            </w:r>
            <w:r>
              <w:rPr>
                <w:rFonts w:hint="eastAsia" w:ascii="宋体" w:hAnsi="宋体" w:eastAsia="宋体"/>
                <w:b w:val="0"/>
                <w:bCs w:val="0"/>
                <w:strike w:val="0"/>
                <w:dstrike w:val="0"/>
                <w:color w:val="auto"/>
                <w:spacing w:val="-4"/>
                <w:sz w:val="15"/>
                <w:szCs w:val="15"/>
                <w:highlight w:val="none"/>
              </w:rPr>
              <w:t>.造成环境较严重影响的</w:t>
            </w:r>
            <w:r>
              <w:rPr>
                <w:rFonts w:hint="eastAsia" w:ascii="宋体" w:hAnsi="宋体" w:eastAsia="宋体"/>
                <w:strike w:val="0"/>
                <w:dstrike w:val="0"/>
                <w:color w:val="auto"/>
                <w:spacing w:val="-4"/>
                <w:sz w:val="15"/>
                <w:szCs w:val="15"/>
                <w:highlight w:val="none"/>
              </w:rPr>
              <w:t>，系数5-9</w:t>
            </w:r>
            <w:r>
              <w:rPr>
                <w:rFonts w:hint="eastAsia" w:ascii="宋体" w:hAnsi="宋体"/>
                <w:strike w:val="0"/>
                <w:dstrike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jc w:val="left"/>
              <w:rPr>
                <w:rFonts w:hint="default" w:ascii="宋体" w:hAnsi="宋体" w:eastAsia="宋体" w:cs="宋体"/>
                <w:color w:val="auto"/>
                <w:kern w:val="0"/>
                <w:sz w:val="15"/>
                <w:szCs w:val="15"/>
                <w:highlight w:val="none"/>
                <w:lang w:val="en-US"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分类管理责任人未如实记录生活垃圾排放情况</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rPr>
              <w:t>1.台账未记录实际产生的生活垃圾的种类、数量、运输者、去向等情况，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记录内容</w:t>
            </w:r>
            <w:r>
              <w:rPr>
                <w:rFonts w:ascii="宋体" w:hAnsi="宋体" w:eastAsia="宋体"/>
                <w:color w:val="auto"/>
                <w:sz w:val="15"/>
                <w:szCs w:val="15"/>
                <w:highlight w:val="none"/>
              </w:rPr>
              <w:t>每</w:t>
            </w:r>
            <w:r>
              <w:rPr>
                <w:rFonts w:hint="eastAsia" w:ascii="宋体" w:hAnsi="宋体" w:eastAsia="宋体"/>
                <w:color w:val="auto"/>
                <w:sz w:val="15"/>
                <w:szCs w:val="15"/>
                <w:highlight w:val="none"/>
              </w:rPr>
              <w:t>缺少1项</w:t>
            </w:r>
            <w:r>
              <w:rPr>
                <w:rFonts w:ascii="宋体" w:hAnsi="宋体" w:eastAsia="宋体"/>
                <w:color w:val="auto"/>
                <w:sz w:val="15"/>
                <w:szCs w:val="15"/>
                <w:highlight w:val="none"/>
              </w:rPr>
              <w:t>系数加</w:t>
            </w:r>
            <w:r>
              <w:rPr>
                <w:rFonts w:hint="eastAsia" w:ascii="宋体" w:hAnsi="宋体" w:eastAsia="宋体"/>
                <w:color w:val="auto"/>
                <w:sz w:val="15"/>
                <w:szCs w:val="15"/>
                <w:highlight w:val="none"/>
              </w:rPr>
              <w:t>1；</w:t>
            </w:r>
            <w:r>
              <w:rPr>
                <w:rFonts w:hint="eastAsia" w:ascii="宋体" w:hAnsi="宋体" w:eastAsia="宋体"/>
                <w:strike w:val="0"/>
                <w:dstrike w:val="0"/>
                <w:color w:val="auto"/>
                <w:sz w:val="15"/>
                <w:szCs w:val="15"/>
                <w:highlight w:val="none"/>
              </w:rPr>
              <w:t>2.</w:t>
            </w:r>
            <w:r>
              <w:rPr>
                <w:rFonts w:hint="eastAsia" w:ascii="宋体" w:hAnsi="宋体" w:eastAsia="宋体"/>
                <w:color w:val="auto"/>
                <w:spacing w:val="-4"/>
                <w:sz w:val="15"/>
                <w:szCs w:val="15"/>
                <w:highlight w:val="none"/>
                <w:lang w:eastAsia="zh-CN"/>
              </w:rPr>
              <w:t>记录</w:t>
            </w:r>
            <w:r>
              <w:rPr>
                <w:rFonts w:hint="eastAsia" w:ascii="宋体" w:hAnsi="宋体" w:eastAsia="宋体" w:cs="宋体"/>
                <w:color w:val="auto"/>
                <w:kern w:val="0"/>
                <w:sz w:val="15"/>
                <w:szCs w:val="15"/>
                <w:highlight w:val="none"/>
              </w:rPr>
              <w:t>存在弄虚作假或较严重影响的情形，系数</w:t>
            </w:r>
            <w:r>
              <w:rPr>
                <w:rFonts w:hint="eastAsia" w:ascii="宋体" w:hAnsi="宋体" w:eastAsia="宋体" w:cs="宋体"/>
                <w:color w:val="auto"/>
                <w:kern w:val="0"/>
                <w:sz w:val="15"/>
                <w:szCs w:val="15"/>
                <w:highlight w:val="none"/>
                <w:lang w:val="en-US" w:eastAsia="zh-CN"/>
              </w:rPr>
              <w:t>5-9</w:t>
            </w:r>
            <w:r>
              <w:rPr>
                <w:rFonts w:hint="eastAsia" w:ascii="宋体" w:hAnsi="宋体" w:cs="宋体"/>
                <w:color w:val="auto"/>
                <w:kern w:val="0"/>
                <w:sz w:val="15"/>
                <w:szCs w:val="15"/>
                <w:highlight w:val="none"/>
                <w:lang w:val="en-US"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top"/>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7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收集、运输单位未按时、分类收集、运输生活垃圾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1.未按时、分类收运生活垃圾的，</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0-1；2.违法行为持续时间较长</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收集、运输垃圾量较大，</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1-2；3.造成环境较严重影响的</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4</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95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生活垃圾收集工具、运输车辆、人员不符合要求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1.工具、车辆、人员其中两类不符合要求的，系数1；2.工具、车辆、人员都不符合要求的，系数2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1.造成泄漏遗撒的，按照专项案由从重处罚。</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lang w:eastAsia="zh-CN"/>
              </w:rPr>
            </w:pPr>
            <w:r>
              <w:rPr>
                <w:rFonts w:hint="eastAsia" w:ascii="宋体" w:hAnsi="宋体" w:eastAsia="宋体" w:cs="宋体"/>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ascii="宋体" w:hAnsi="宋体" w:eastAsia="宋体" w:cs="宋体"/>
                <w:b w:val="0"/>
                <w:bCs w:val="0"/>
                <w:color w:val="auto"/>
                <w:kern w:val="0"/>
                <w:sz w:val="15"/>
                <w:szCs w:val="15"/>
                <w:highlight w:val="none"/>
                <w:lang w:eastAsia="zh-CN"/>
              </w:rPr>
              <w:t>。</w:t>
            </w:r>
          </w:p>
          <w:p>
            <w:pPr>
              <w:spacing w:line="232" w:lineRule="exact"/>
              <w:rPr>
                <w:rFonts w:hint="eastAsia" w:ascii="宋体" w:hAnsi="宋体" w:eastAsia="宋体" w:cs="宋体"/>
                <w:b w:val="0"/>
                <w:bCs w:val="0"/>
                <w:color w:val="auto"/>
                <w:kern w:val="0"/>
                <w:sz w:val="15"/>
                <w:szCs w:val="15"/>
                <w:highlight w:val="none"/>
                <w:lang w:eastAsia="zh-CN"/>
              </w:rPr>
            </w:pPr>
          </w:p>
          <w:p>
            <w:pPr>
              <w:spacing w:line="232" w:lineRule="exact"/>
              <w:rPr>
                <w:rFonts w:hint="eastAsia" w:ascii="宋体" w:hAnsi="宋体" w:eastAsia="宋体" w:cs="宋体"/>
                <w:b w:val="0"/>
                <w:bCs w:val="0"/>
                <w:color w:val="auto"/>
                <w:kern w:val="0"/>
                <w:sz w:val="15"/>
                <w:szCs w:val="15"/>
                <w:highlight w:val="none"/>
                <w:lang w:eastAsia="zh-CN"/>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6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收集、运输单位未按要求将生活垃圾运输至集中收集设施或者转运、处理设施</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b w:val="0"/>
                <w:bCs w:val="0"/>
                <w:strike w:val="0"/>
                <w:dstrike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b w:val="0"/>
                <w:bCs w:val="0"/>
                <w:strike w:val="0"/>
                <w:dstrike w:val="0"/>
                <w:color w:val="auto"/>
                <w:sz w:val="15"/>
                <w:szCs w:val="15"/>
                <w:highlight w:val="none"/>
                <w:lang w:val="en-US" w:eastAsia="zh-CN"/>
              </w:rPr>
              <w:t>存在使用不合规车辆的，系数1。</w:t>
            </w:r>
          </w:p>
          <w:p>
            <w:pPr>
              <w:numPr>
                <w:ilvl w:val="0"/>
                <w:numId w:val="0"/>
              </w:numPr>
              <w:spacing w:line="232" w:lineRule="exact"/>
              <w:rPr>
                <w:rFonts w:hint="eastAsia" w:ascii="宋体" w:hAnsi="宋体" w:eastAsia="宋体"/>
                <w:b w:val="0"/>
                <w:bCs w:val="0"/>
                <w:color w:val="auto"/>
                <w:sz w:val="15"/>
                <w:szCs w:val="15"/>
                <w:highlight w:val="none"/>
                <w:lang w:eastAsia="zh-CN"/>
              </w:rPr>
            </w:pPr>
            <w:r>
              <w:rPr>
                <w:rFonts w:hint="eastAsia" w:ascii="宋体" w:hAnsi="宋体"/>
                <w:b w:val="0"/>
                <w:bCs w:val="0"/>
                <w:color w:val="auto"/>
                <w:sz w:val="15"/>
                <w:szCs w:val="15"/>
                <w:highlight w:val="none"/>
                <w:lang w:val="en-US" w:eastAsia="zh-CN"/>
              </w:rPr>
              <w:t>2.运输</w:t>
            </w:r>
            <w:r>
              <w:rPr>
                <w:rFonts w:hint="eastAsia" w:ascii="宋体" w:hAnsi="宋体" w:eastAsia="宋体"/>
                <w:b w:val="0"/>
                <w:bCs w:val="0"/>
                <w:color w:val="auto"/>
                <w:sz w:val="15"/>
                <w:szCs w:val="15"/>
                <w:highlight w:val="none"/>
                <w:lang w:val="en-US" w:eastAsia="zh-CN"/>
              </w:rPr>
              <w:t>2车次或者垃圾运输量5吨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以上10吨以下的，系数1</w:t>
            </w:r>
            <w:r>
              <w:rPr>
                <w:rFonts w:hint="eastAsia" w:ascii="宋体" w:hAnsi="宋体"/>
                <w:b w:val="0"/>
                <w:bCs w:val="0"/>
                <w:color w:val="auto"/>
                <w:sz w:val="15"/>
                <w:szCs w:val="15"/>
                <w:highlight w:val="none"/>
                <w:lang w:val="en-US" w:eastAsia="zh-CN"/>
              </w:rPr>
              <w:t>；3车次或者10吨及以上20吨以下的，系数2；4车次或者20吨及以上30吨以下的，系数3；5车次或者30吨及以上40吨以下的，系数4；6车次或者40吨及以上50吨以下的，系数5；</w:t>
            </w:r>
            <w:r>
              <w:rPr>
                <w:rFonts w:hint="eastAsia" w:ascii="宋体" w:hAnsi="宋体" w:eastAsia="宋体"/>
                <w:b w:val="0"/>
                <w:bCs w:val="0"/>
                <w:color w:val="auto"/>
                <w:sz w:val="15"/>
                <w:szCs w:val="15"/>
                <w:highlight w:val="none"/>
                <w:lang w:val="en-US" w:eastAsia="zh-CN"/>
              </w:rPr>
              <w:t>以此类推，每增加1车次或者每增加10吨，系数加1，10车次及以上或者</w:t>
            </w:r>
            <w:r>
              <w:rPr>
                <w:rFonts w:hint="eastAsia" w:ascii="宋体" w:hAnsi="宋体"/>
                <w:b w:val="0"/>
                <w:bCs w:val="0"/>
                <w:color w:val="auto"/>
                <w:sz w:val="15"/>
                <w:szCs w:val="15"/>
                <w:highlight w:val="none"/>
                <w:lang w:val="en-US" w:eastAsia="zh-CN"/>
              </w:rPr>
              <w:t>80</w:t>
            </w:r>
            <w:r>
              <w:rPr>
                <w:rFonts w:hint="eastAsia" w:ascii="宋体" w:hAnsi="宋体" w:eastAsia="宋体"/>
                <w:b w:val="0"/>
                <w:bCs w:val="0"/>
                <w:color w:val="auto"/>
                <w:sz w:val="15"/>
                <w:szCs w:val="15"/>
                <w:highlight w:val="none"/>
                <w:lang w:val="en-US" w:eastAsia="zh-CN"/>
              </w:rPr>
              <w:t>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以上的，系数9。3.</w:t>
            </w:r>
            <w:r>
              <w:rPr>
                <w:rFonts w:hint="eastAsia" w:ascii="宋体" w:hAnsi="宋体"/>
                <w:b w:val="0"/>
                <w:bCs w:val="0"/>
                <w:color w:val="auto"/>
                <w:sz w:val="15"/>
                <w:szCs w:val="15"/>
                <w:highlight w:val="none"/>
                <w:lang w:eastAsia="zh-CN"/>
              </w:rPr>
              <w:t>出现</w:t>
            </w:r>
            <w:r>
              <w:rPr>
                <w:rFonts w:hint="eastAsia" w:ascii="宋体" w:hAnsi="宋体" w:eastAsia="宋体"/>
                <w:b w:val="0"/>
                <w:bCs w:val="0"/>
                <w:color w:val="auto"/>
                <w:sz w:val="15"/>
                <w:szCs w:val="15"/>
                <w:highlight w:val="none"/>
              </w:rPr>
              <w:t>造成环境较严重影响</w:t>
            </w:r>
            <w:r>
              <w:rPr>
                <w:rFonts w:hint="eastAsia" w:ascii="宋体" w:hAnsi="宋体"/>
                <w:b w:val="0"/>
                <w:bCs w:val="0"/>
                <w:color w:val="auto"/>
                <w:sz w:val="15"/>
                <w:szCs w:val="15"/>
                <w:highlight w:val="none"/>
                <w:lang w:eastAsia="zh-CN"/>
              </w:rPr>
              <w:t>的</w:t>
            </w:r>
            <w:r>
              <w:rPr>
                <w:rFonts w:hint="eastAsia" w:ascii="宋体" w:hAnsi="宋体" w:eastAsia="宋体"/>
                <w:b w:val="0"/>
                <w:bCs w:val="0"/>
                <w:color w:val="auto"/>
                <w:sz w:val="15"/>
                <w:szCs w:val="15"/>
                <w:highlight w:val="none"/>
              </w:rPr>
              <w:t>，系数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b w:val="0"/>
                <w:bCs w:val="0"/>
                <w:color w:val="auto"/>
                <w:sz w:val="15"/>
                <w:szCs w:val="15"/>
                <w:highlight w:val="none"/>
                <w:lang w:eastAsia="zh-CN"/>
              </w:rPr>
              <w:t>。</w:t>
            </w:r>
          </w:p>
          <w:p>
            <w:pPr>
              <w:numPr>
                <w:ilvl w:val="0"/>
                <w:numId w:val="0"/>
              </w:num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numPr>
                <w:ilvl w:val="0"/>
                <w:numId w:val="1"/>
              </w:num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8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收集、运输单位将生活垃圾混装混运</w:t>
            </w: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1.将厨余垃圾混装混运，</w:t>
            </w:r>
            <w:r>
              <w:rPr>
                <w:rFonts w:hint="eastAsia" w:ascii="宋体" w:hAnsi="宋体"/>
                <w:strike w:val="0"/>
                <w:dstrike w:val="0"/>
                <w:color w:val="auto"/>
                <w:sz w:val="15"/>
                <w:szCs w:val="15"/>
                <w:highlight w:val="none"/>
                <w:lang w:eastAsia="zh-CN"/>
              </w:rPr>
              <w:t>系数</w:t>
            </w:r>
            <w:r>
              <w:rPr>
                <w:rFonts w:hint="eastAsia" w:ascii="宋体" w:hAnsi="宋体"/>
                <w:b/>
                <w:bCs/>
                <w:strike w:val="0"/>
                <w:dstrike w:val="0"/>
                <w:color w:val="auto"/>
                <w:sz w:val="15"/>
                <w:szCs w:val="15"/>
                <w:highlight w:val="none"/>
                <w:lang w:val="en-US" w:eastAsia="zh-CN"/>
              </w:rPr>
              <w:t>2</w:t>
            </w:r>
            <w:r>
              <w:rPr>
                <w:rFonts w:hint="eastAsia" w:ascii="宋体" w:hAnsi="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rPr>
              <w:t>2.将有害垃圾混装混运，</w:t>
            </w:r>
            <w:r>
              <w:rPr>
                <w:rFonts w:hint="eastAsia" w:ascii="宋体" w:hAnsi="宋体"/>
                <w:strike w:val="0"/>
                <w:dstrike w:val="0"/>
                <w:color w:val="auto"/>
                <w:sz w:val="15"/>
                <w:szCs w:val="15"/>
                <w:highlight w:val="none"/>
                <w:lang w:eastAsia="zh-CN"/>
              </w:rPr>
              <w:t>系数</w:t>
            </w:r>
            <w:r>
              <w:rPr>
                <w:rFonts w:hint="eastAsia" w:ascii="宋体" w:hAnsi="宋体"/>
                <w:b w:val="0"/>
                <w:bCs w:val="0"/>
                <w:strike w:val="0"/>
                <w:dstrike w:val="0"/>
                <w:color w:val="auto"/>
                <w:sz w:val="15"/>
                <w:szCs w:val="15"/>
                <w:highlight w:val="none"/>
                <w:lang w:val="en-US" w:eastAsia="zh-CN"/>
              </w:rPr>
              <w:t xml:space="preserve">3 </w:t>
            </w:r>
            <w:r>
              <w:rPr>
                <w:rFonts w:hint="eastAsia" w:ascii="宋体" w:hAnsi="宋体"/>
                <w:strike w:val="0"/>
                <w:dstrike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b w:val="0"/>
                <w:bCs w:val="0"/>
                <w:strike w:val="0"/>
                <w:dstrike w:val="0"/>
                <w:color w:val="auto"/>
                <w:sz w:val="15"/>
                <w:szCs w:val="15"/>
                <w:highlight w:val="none"/>
                <w:lang w:val="en-US" w:eastAsia="zh-CN"/>
              </w:rPr>
              <w:t>存在使用不合规车辆的，系数1。4.</w:t>
            </w:r>
            <w:r>
              <w:rPr>
                <w:rFonts w:hint="eastAsia" w:ascii="宋体" w:hAnsi="宋体" w:eastAsia="宋体"/>
                <w:b w:val="0"/>
                <w:bCs w:val="0"/>
                <w:color w:val="auto"/>
                <w:sz w:val="15"/>
                <w:szCs w:val="15"/>
                <w:highlight w:val="none"/>
                <w:lang w:val="en-US" w:eastAsia="zh-CN"/>
              </w:rPr>
              <w:t>运输2车次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垃圾运输量2吨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w:t>
            </w:r>
            <w:r>
              <w:rPr>
                <w:rFonts w:hint="eastAsia" w:ascii="宋体" w:hAnsi="宋体"/>
                <w:b w:val="0"/>
                <w:bCs w:val="0"/>
                <w:color w:val="auto"/>
                <w:sz w:val="15"/>
                <w:szCs w:val="15"/>
                <w:highlight w:val="none"/>
                <w:lang w:val="en-US" w:eastAsia="zh-CN"/>
              </w:rPr>
              <w:t>4吨以下</w:t>
            </w:r>
            <w:r>
              <w:rPr>
                <w:rFonts w:hint="eastAsia" w:ascii="宋体" w:hAnsi="宋体" w:eastAsia="宋体"/>
                <w:b w:val="0"/>
                <w:bCs w:val="0"/>
                <w:color w:val="auto"/>
                <w:sz w:val="15"/>
                <w:szCs w:val="15"/>
                <w:highlight w:val="none"/>
                <w:lang w:val="en-US" w:eastAsia="zh-CN"/>
              </w:rPr>
              <w:t>的，系数</w:t>
            </w:r>
            <w:r>
              <w:rPr>
                <w:rFonts w:hint="eastAsia" w:ascii="宋体" w:hAnsi="宋体"/>
                <w:b w:val="0"/>
                <w:bCs w:val="0"/>
                <w:color w:val="auto"/>
                <w:sz w:val="15"/>
                <w:szCs w:val="15"/>
                <w:highlight w:val="none"/>
                <w:lang w:val="en-US" w:eastAsia="zh-CN"/>
              </w:rPr>
              <w:t>1；运输3车次或者垃圾运输量4吨及以上6吨以下的，系数2；4车次或者6吨及以上8吨以下的，系数3；5车次或者8吨及以上10吨以下的，系数4；6车次或者10吨及以上12吨以下的，系数5；以此类推，10车次或者</w:t>
            </w:r>
            <w:r>
              <w:rPr>
                <w:rFonts w:hint="eastAsia" w:ascii="宋体" w:hAnsi="宋体" w:eastAsia="宋体"/>
                <w:b w:val="0"/>
                <w:bCs w:val="0"/>
                <w:color w:val="auto"/>
                <w:sz w:val="15"/>
                <w:szCs w:val="15"/>
                <w:highlight w:val="none"/>
                <w:lang w:val="en-US" w:eastAsia="zh-CN"/>
              </w:rPr>
              <w:t>18吨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以上，系数9</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造成环境较严重影响的，系数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b w:val="0"/>
                <w:bCs w:val="0"/>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continue"/>
            <w:noWrap w:val="0"/>
            <w:vAlign w:val="center"/>
          </w:tcPr>
          <w:p>
            <w:pPr>
              <w:spacing w:line="232" w:lineRule="exact"/>
              <w:rPr>
                <w:rFonts w:ascii="宋体" w:hAnsi="宋体" w:eastAsia="宋体" w:cs="宋体"/>
                <w:b w:val="0"/>
                <w:bCs w:val="0"/>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0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收集、运输单位随意倾倒、丢弃、遗撒、堆放生活垃圾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耕地、公厕、河道、铁路、轨道交通、桥下空间等公共场所及周边</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w:t>
            </w:r>
            <w:r>
              <w:rPr>
                <w:rFonts w:hint="eastAsia" w:ascii="宋体" w:hAnsi="宋体" w:eastAsia="宋体" w:cs="宋体"/>
                <w:color w:val="auto"/>
                <w:kern w:val="0"/>
                <w:sz w:val="15"/>
                <w:szCs w:val="15"/>
                <w:highlight w:val="none"/>
                <w:lang w:eastAsia="zh-CN"/>
              </w:rPr>
              <w:t>、石油长输管道、供水、排水、电力、通信</w:t>
            </w:r>
            <w:r>
              <w:rPr>
                <w:rFonts w:hint="eastAsia" w:ascii="宋体" w:hAnsi="宋体" w:eastAsia="宋体" w:cs="宋体"/>
                <w:color w:val="auto"/>
                <w:kern w:val="0"/>
                <w:sz w:val="15"/>
                <w:szCs w:val="15"/>
                <w:highlight w:val="none"/>
              </w:rPr>
              <w:t>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color w:val="auto"/>
                <w:sz w:val="15"/>
                <w:szCs w:val="15"/>
                <w:highlight w:val="none"/>
                <w:lang w:val="en-US" w:eastAsia="zh-CN"/>
              </w:rPr>
              <w:t xml:space="preserve"> 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8"/>
              <w:rPr>
                <w:color w:val="auto"/>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w:t>
            </w:r>
            <w:r>
              <w:rPr>
                <w:rFonts w:hint="eastAsia" w:ascii="宋体" w:hAnsi="宋体" w:eastAsia="宋体" w:cs="宋体"/>
                <w:color w:val="auto"/>
                <w:kern w:val="0"/>
                <w:sz w:val="15"/>
                <w:szCs w:val="15"/>
                <w:highlight w:val="none"/>
                <w:lang w:val="en-US" w:eastAsia="zh-CN"/>
              </w:rPr>
              <w:t>不</w:t>
            </w:r>
            <w:r>
              <w:rPr>
                <w:rFonts w:hint="eastAsia" w:ascii="宋体" w:hAnsi="宋体" w:eastAsia="宋体" w:cs="宋体"/>
                <w:color w:val="auto"/>
                <w:kern w:val="0"/>
                <w:sz w:val="15"/>
                <w:szCs w:val="15"/>
                <w:highlight w:val="none"/>
                <w:lang w:eastAsia="zh-CN"/>
              </w:rPr>
              <w:t>适用区域台账。</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收集、运输单位未落实生活垃圾管理</w:t>
            </w:r>
            <w:r>
              <w:rPr>
                <w:rFonts w:hint="eastAsia" w:ascii="宋体" w:hAnsi="宋体" w:eastAsia="宋体"/>
                <w:color w:val="auto"/>
                <w:sz w:val="15"/>
                <w:szCs w:val="15"/>
                <w:highlight w:val="none"/>
                <w:shd w:val="clear" w:color="auto" w:fill="auto"/>
              </w:rPr>
              <w:t>台</w:t>
            </w:r>
            <w:r>
              <w:rPr>
                <w:rFonts w:hint="eastAsia" w:ascii="宋体" w:hAnsi="宋体" w:eastAsia="宋体"/>
                <w:color w:val="auto"/>
                <w:sz w:val="15"/>
                <w:szCs w:val="15"/>
                <w:highlight w:val="none"/>
                <w:shd w:val="clear" w:color="auto" w:fill="auto"/>
                <w:lang w:eastAsia="zh-CN"/>
              </w:rPr>
              <w:t>账</w:t>
            </w:r>
            <w:r>
              <w:rPr>
                <w:rFonts w:hint="eastAsia" w:ascii="宋体" w:hAnsi="宋体" w:eastAsia="宋体"/>
                <w:color w:val="auto"/>
                <w:sz w:val="15"/>
                <w:szCs w:val="15"/>
                <w:highlight w:val="none"/>
              </w:rPr>
              <w:t>制度</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1.已建立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而记录内容不完整的，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；2.未建立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的</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3-</w:t>
            </w:r>
            <w:r>
              <w:rPr>
                <w:rFonts w:ascii="宋体" w:hAnsi="宋体" w:eastAsia="宋体" w:cs="仿宋_GB2312"/>
                <w:color w:val="auto"/>
                <w:kern w:val="0"/>
                <w:sz w:val="15"/>
                <w:szCs w:val="15"/>
                <w:highlight w:val="none"/>
              </w:rPr>
              <w:t>6</w:t>
            </w:r>
            <w:r>
              <w:rPr>
                <w:rFonts w:hint="eastAsia" w:ascii="宋体" w:hAnsi="宋体" w:eastAsia="宋体" w:cs="宋体"/>
                <w:color w:val="auto"/>
                <w:kern w:val="0"/>
                <w:sz w:val="15"/>
                <w:szCs w:val="15"/>
                <w:highlight w:val="none"/>
              </w:rPr>
              <w:t>；3.台账记录存在弄虚作假或</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较严重影响的情形，系数7-9</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3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未按规定接收、分类处理生活垃圾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w:t>
            </w:r>
            <w:r>
              <w:rPr>
                <w:rFonts w:hint="eastAsia" w:ascii="宋体" w:hAnsi="宋体" w:eastAsia="宋体" w:cs="宋体"/>
                <w:color w:val="auto"/>
                <w:kern w:val="0"/>
                <w:sz w:val="15"/>
                <w:szCs w:val="15"/>
                <w:highlight w:val="none"/>
                <w:lang w:val="en-US" w:eastAsia="zh-CN"/>
              </w:rPr>
              <w:t>的，系数1；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未按规定交运、处理建筑垃圾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违反条款：第四十七条第一款；处罚条款：第七十三条 责令限期改正，处一万元以上十万元以下罚款。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建筑垃圾产生量较大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造成环境较严重影响的，系数4-9。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b w:val="0"/>
                <w:bCs w:val="0"/>
                <w:color w:val="auto"/>
                <w:kern w:val="0"/>
                <w:sz w:val="15"/>
                <w:szCs w:val="15"/>
                <w:highlight w:val="none"/>
                <w:lang w:eastAsia="zh-CN"/>
              </w:rPr>
              <w:t>本案由适用于建设工程的建设单位、拆除工程的承担单位；涉及施工单位</w:t>
            </w:r>
            <w:r>
              <w:rPr>
                <w:rFonts w:hint="eastAsia" w:ascii="宋体" w:hAnsi="宋体" w:eastAsia="宋体"/>
                <w:color w:val="auto"/>
                <w:sz w:val="15"/>
                <w:szCs w:val="15"/>
                <w:highlight w:val="none"/>
              </w:rPr>
              <w:t>未按规定交运、处理建筑垃圾</w:t>
            </w:r>
            <w:r>
              <w:rPr>
                <w:rFonts w:hint="eastAsia" w:ascii="宋体" w:hAnsi="宋体" w:eastAsia="宋体" w:cs="宋体"/>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餐饮服务单位未按规定收集、处理厨余垃圾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违反条款：第四十八条第二款；处罚条款：第七十四条第一款 处十万元以上一百万元以下罚款，没收违法所得。</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w:t>
            </w:r>
            <w:r>
              <w:rPr>
                <w:rFonts w:hint="eastAsia" w:ascii="宋体" w:hAnsi="宋体" w:eastAsia="宋体" w:cs="宋体"/>
                <w:color w:val="auto"/>
                <w:kern w:val="0"/>
                <w:sz w:val="15"/>
                <w:szCs w:val="15"/>
                <w:highlight w:val="none"/>
                <w:shd w:val="clear" w:color="auto" w:fill="auto"/>
              </w:rPr>
              <w:t>、通信等公用管道和设施保护（管理）范围的，</w:t>
            </w:r>
            <w:r>
              <w:rPr>
                <w:rFonts w:hint="eastAsia" w:ascii="宋体" w:hAnsi="宋体" w:eastAsia="宋体" w:cs="宋体"/>
                <w:color w:val="auto"/>
                <w:kern w:val="0"/>
                <w:sz w:val="15"/>
                <w:szCs w:val="15"/>
                <w:highlight w:val="none"/>
                <w:shd w:val="clear" w:color="auto" w:fill="auto"/>
                <w:lang w:eastAsia="zh-CN"/>
              </w:rPr>
              <w:t>系数</w:t>
            </w:r>
            <w:r>
              <w:rPr>
                <w:rFonts w:hint="eastAsia" w:ascii="宋体" w:hAnsi="宋体" w:eastAsia="宋体" w:cs="宋体"/>
                <w:color w:val="auto"/>
                <w:kern w:val="0"/>
                <w:sz w:val="15"/>
                <w:szCs w:val="15"/>
                <w:highlight w:val="none"/>
                <w:shd w:val="clear" w:color="auto" w:fill="auto"/>
                <w:lang w:val="en-US" w:eastAsia="zh-CN"/>
              </w:rPr>
              <w:t>1-2。</w:t>
            </w:r>
            <w:r>
              <w:rPr>
                <w:rFonts w:hint="eastAsia" w:ascii="宋体" w:hAnsi="宋体" w:cs="宋体"/>
                <w:color w:val="auto"/>
                <w:kern w:val="0"/>
                <w:sz w:val="15"/>
                <w:szCs w:val="15"/>
                <w:highlight w:val="none"/>
                <w:shd w:val="clear" w:color="auto" w:fill="auto"/>
                <w:lang w:val="en-US" w:eastAsia="zh-CN"/>
              </w:rPr>
              <w:t>2</w:t>
            </w:r>
            <w:r>
              <w:rPr>
                <w:rFonts w:hint="eastAsia" w:ascii="宋体" w:hAnsi="宋体" w:eastAsia="宋体" w:cs="宋体"/>
                <w:color w:val="auto"/>
                <w:kern w:val="0"/>
                <w:sz w:val="15"/>
                <w:szCs w:val="15"/>
                <w:highlight w:val="none"/>
                <w:shd w:val="clear" w:color="auto" w:fill="auto"/>
              </w:rPr>
              <w:t>.</w:t>
            </w:r>
            <w:r>
              <w:rPr>
                <w:rFonts w:hint="eastAsia" w:ascii="宋体" w:hAnsi="宋体" w:eastAsia="宋体" w:cs="宋体"/>
                <w:color w:val="auto"/>
                <w:spacing w:val="-4"/>
                <w:kern w:val="0"/>
                <w:sz w:val="15"/>
                <w:szCs w:val="15"/>
                <w:highlight w:val="none"/>
                <w:shd w:val="clear" w:color="auto" w:fill="auto"/>
              </w:rPr>
              <w:t>厨余垃圾总量较大</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5吨及以上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持续时间较长</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5天及以上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对环境造成较严重影</w:t>
            </w:r>
            <w:r>
              <w:rPr>
                <w:rFonts w:hint="eastAsia" w:ascii="宋体" w:hAnsi="宋体" w:eastAsia="宋体" w:cs="宋体"/>
                <w:color w:val="auto"/>
                <w:spacing w:val="-4"/>
                <w:kern w:val="0"/>
                <w:sz w:val="15"/>
                <w:szCs w:val="15"/>
                <w:highlight w:val="none"/>
              </w:rPr>
              <w:t>响的，系数</w:t>
            </w:r>
            <w:r>
              <w:rPr>
                <w:rFonts w:hint="eastAsia" w:ascii="宋体" w:hAnsi="宋体" w:cs="宋体"/>
                <w:color w:val="auto"/>
                <w:spacing w:val="-4"/>
                <w:kern w:val="0"/>
                <w:sz w:val="15"/>
                <w:szCs w:val="15"/>
                <w:highlight w:val="none"/>
                <w:lang w:val="en-US" w:eastAsia="zh-CN"/>
              </w:rPr>
              <w:t>5</w:t>
            </w:r>
            <w:r>
              <w:rPr>
                <w:rFonts w:hint="eastAsia" w:ascii="宋体" w:hAnsi="宋体" w:eastAsia="宋体" w:cs="宋体"/>
                <w:color w:val="auto"/>
                <w:spacing w:val="-4"/>
                <w:kern w:val="0"/>
                <w:sz w:val="15"/>
                <w:szCs w:val="15"/>
                <w:highlight w:val="none"/>
              </w:rPr>
              <w:t>-</w:t>
            </w:r>
            <w:r>
              <w:rPr>
                <w:rFonts w:hint="eastAsia" w:ascii="宋体" w:hAnsi="宋体" w:cs="宋体"/>
                <w:color w:val="auto"/>
                <w:spacing w:val="-4"/>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无资质单位和个人擅自收集、运输厨余垃圾</w:t>
            </w:r>
          </w:p>
        </w:tc>
        <w:tc>
          <w:tcPr>
            <w:tcW w:w="2789" w:type="dxa"/>
            <w:gridSpan w:val="2"/>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193" w:lineRule="exact"/>
              <w:rPr>
                <w:rFonts w:hint="default" w:ascii="宋体" w:hAnsi="宋体" w:eastAsia="宋体" w:cs="宋体"/>
                <w:b w:val="0"/>
                <w:bCs w:val="0"/>
                <w:color w:val="auto"/>
                <w:kern w:val="0"/>
                <w:sz w:val="15"/>
                <w:szCs w:val="15"/>
                <w:highlight w:val="none"/>
                <w:lang w:val="en-US" w:eastAsia="zh-CN"/>
              </w:rPr>
            </w:pPr>
            <w:r>
              <w:rPr>
                <w:rFonts w:hint="eastAsia" w:ascii="宋体" w:hAnsi="宋体" w:eastAsia="宋体" w:cs="宋体"/>
                <w:b w:val="0"/>
                <w:bCs w:val="0"/>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3" w:lineRule="exact"/>
              <w:rPr>
                <w:rFonts w:ascii="宋体" w:hAnsi="宋体" w:eastAsia="宋体" w:cs="宋体"/>
                <w:color w:val="auto"/>
                <w:kern w:val="0"/>
                <w:sz w:val="14"/>
                <w:szCs w:val="14"/>
                <w:highlight w:val="none"/>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集中转运、处理设施的运行管理单位未按规定和标准处理生活垃圾</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rPr>
                <w:rFonts w:hint="default" w:ascii="宋体" w:hAnsi="宋体" w:eastAsia="宋体"/>
                <w:b w:val="0"/>
                <w:bCs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1.未按照要求处理</w:t>
            </w:r>
            <w:r>
              <w:rPr>
                <w:rFonts w:hint="eastAsia" w:ascii="宋体" w:hAnsi="宋体"/>
                <w:b w:val="0"/>
                <w:bCs w:val="0"/>
                <w:strike w:val="0"/>
                <w:dstrike w:val="0"/>
                <w:color w:val="auto"/>
                <w:sz w:val="15"/>
                <w:szCs w:val="15"/>
                <w:highlight w:val="none"/>
                <w:lang w:val="en-US" w:eastAsia="zh-CN"/>
              </w:rPr>
              <w:t>垃圾</w:t>
            </w:r>
            <w:r>
              <w:rPr>
                <w:rFonts w:hint="eastAsia" w:ascii="宋体" w:hAnsi="宋体" w:eastAsia="宋体"/>
                <w:b w:val="0"/>
                <w:bCs w:val="0"/>
                <w:color w:val="auto"/>
                <w:sz w:val="15"/>
                <w:szCs w:val="15"/>
                <w:highlight w:val="none"/>
                <w:lang w:val="en-US" w:eastAsia="zh-CN"/>
              </w:rPr>
              <w:t>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5吨以上10吨以的，系数1</w:t>
            </w:r>
            <w:r>
              <w:rPr>
                <w:rFonts w:hint="eastAsia" w:ascii="宋体" w:hAnsi="宋体"/>
                <w:b w:val="0"/>
                <w:bCs w:val="0"/>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10吨及</w:t>
            </w:r>
            <w:r>
              <w:rPr>
                <w:rFonts w:hint="eastAsia" w:ascii="宋体" w:hAnsi="宋体"/>
                <w:b w:val="0"/>
                <w:bCs w:val="0"/>
                <w:color w:val="auto"/>
                <w:sz w:val="15"/>
                <w:szCs w:val="15"/>
                <w:highlight w:val="none"/>
                <w:lang w:val="en-US" w:eastAsia="zh-CN"/>
              </w:rPr>
              <w:t>以上20吨以下的</w:t>
            </w:r>
            <w:r>
              <w:rPr>
                <w:rFonts w:hint="eastAsia" w:ascii="宋体" w:hAnsi="宋体" w:eastAsia="宋体"/>
                <w:b w:val="0"/>
                <w:bCs w:val="0"/>
                <w:color w:val="auto"/>
                <w:sz w:val="15"/>
                <w:szCs w:val="15"/>
                <w:highlight w:val="none"/>
                <w:lang w:val="en-US" w:eastAsia="zh-CN"/>
              </w:rPr>
              <w:t>，系数</w:t>
            </w:r>
            <w:r>
              <w:rPr>
                <w:rFonts w:hint="eastAsia" w:ascii="宋体" w:hAnsi="宋体"/>
                <w:b w:val="0"/>
                <w:bCs w:val="0"/>
                <w:color w:val="auto"/>
                <w:sz w:val="15"/>
                <w:szCs w:val="15"/>
                <w:highlight w:val="none"/>
                <w:lang w:val="en-US" w:eastAsia="zh-CN"/>
              </w:rPr>
              <w:t>2；4车次及以上或者2</w:t>
            </w:r>
            <w:r>
              <w:rPr>
                <w:rFonts w:hint="eastAsia" w:ascii="宋体" w:hAnsi="宋体" w:eastAsia="宋体"/>
                <w:b w:val="0"/>
                <w:bCs w:val="0"/>
                <w:color w:val="auto"/>
                <w:sz w:val="15"/>
                <w:szCs w:val="15"/>
                <w:highlight w:val="none"/>
                <w:lang w:val="en-US" w:eastAsia="zh-CN"/>
              </w:rPr>
              <w:t>0吨及以上</w:t>
            </w:r>
            <w:r>
              <w:rPr>
                <w:rFonts w:hint="eastAsia" w:ascii="宋体" w:hAnsi="宋体"/>
                <w:b w:val="0"/>
                <w:bCs w:val="0"/>
                <w:color w:val="auto"/>
                <w:sz w:val="15"/>
                <w:szCs w:val="15"/>
                <w:highlight w:val="none"/>
                <w:lang w:val="en-US" w:eastAsia="zh-CN"/>
              </w:rPr>
              <w:t>的，系数3。2</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rPr>
              <w:t>造成环境较严重影响的，系数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p>
            <w:pPr>
              <w:spacing w:line="193" w:lineRule="exact"/>
              <w:rPr>
                <w:rFonts w:ascii="宋体" w:hAnsi="宋体" w:eastAsia="宋体" w:cs="宋体"/>
                <w:b w:val="0"/>
                <w:bCs w:val="0"/>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4"/>
                <w:szCs w:val="14"/>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生活垃圾集中转运、处理设施排放未达标</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rPr>
                <w:rFonts w:hint="default" w:ascii="宋体" w:hAnsi="宋体" w:eastAsia="宋体"/>
                <w:b/>
                <w:bCs/>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处理生活垃圾</w:t>
            </w:r>
            <w:r>
              <w:rPr>
                <w:rFonts w:hint="eastAsia" w:ascii="宋体" w:hAnsi="宋体" w:eastAsia="宋体" w:cs="宋体"/>
                <w:b w:val="0"/>
                <w:bCs w:val="0"/>
                <w:color w:val="auto"/>
                <w:kern w:val="0"/>
                <w:sz w:val="15"/>
                <w:szCs w:val="15"/>
                <w:highlight w:val="none"/>
              </w:rPr>
              <w:t>总量较大、持续时间较长，系数2-3；</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w:t>
            </w:r>
            <w:r>
              <w:rPr>
                <w:rFonts w:hint="eastAsia" w:ascii="宋体" w:hAnsi="宋体" w:eastAsia="宋体" w:cs="宋体"/>
                <w:color w:val="auto"/>
                <w:kern w:val="0"/>
                <w:sz w:val="15"/>
                <w:szCs w:val="15"/>
                <w:highlight w:val="none"/>
              </w:rPr>
              <w:t>系数2-3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eastAsia="zh-CN"/>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未按要求对生活垃圾等处理过程中常规参数进行检测</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1.未建立检测档案，</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xml:space="preserve">； </w:t>
            </w:r>
          </w:p>
          <w:p>
            <w:pPr>
              <w:numPr>
                <w:ilvl w:val="0"/>
                <w:numId w:val="0"/>
              </w:num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2.未设置化验室或者委托专业化验机构，对生活垃圾、渗沥液等处理过程中常规参数进行检测，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strike w:val="0"/>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6"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未按要求对生活垃圾处理设施相关指标进行检测</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1.未对生活垃圾处理设施相关指标进行检测，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2.未按照要求建设在线监管系统，</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66"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未按要求传送生活垃圾处理设施相关检测指标</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pacing w:val="-4"/>
                <w:sz w:val="15"/>
                <w:szCs w:val="15"/>
                <w:highlight w:val="none"/>
              </w:rPr>
              <w:t>1.未将检测数据传送至生活垃圾管理信息系统，</w:t>
            </w:r>
            <w:r>
              <w:rPr>
                <w:rFonts w:hint="eastAsia" w:ascii="宋体" w:hAnsi="宋体"/>
                <w:color w:val="auto"/>
                <w:spacing w:val="-4"/>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pacing w:val="-4"/>
                <w:sz w:val="15"/>
                <w:szCs w:val="15"/>
                <w:highlight w:val="none"/>
              </w:rPr>
              <w:t>；</w:t>
            </w:r>
            <w:r>
              <w:rPr>
                <w:rFonts w:hint="eastAsia" w:ascii="宋体" w:hAnsi="宋体" w:eastAsia="宋体" w:cs="宋体"/>
                <w:color w:val="auto"/>
                <w:kern w:val="0"/>
                <w:sz w:val="15"/>
                <w:szCs w:val="15"/>
                <w:highlight w:val="none"/>
              </w:rPr>
              <w:t>2.长期未按要求传送，未如实传送数据的，系数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1"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33</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未落实生活垃圾处理台</w:t>
            </w:r>
            <w:r>
              <w:rPr>
                <w:rFonts w:hint="eastAsia" w:ascii="宋体" w:hAnsi="宋体" w:eastAsia="宋体"/>
                <w:color w:val="auto"/>
                <w:sz w:val="15"/>
                <w:szCs w:val="15"/>
                <w:highlight w:val="none"/>
                <w:lang w:eastAsia="zh-CN"/>
              </w:rPr>
              <w:t>账</w:t>
            </w:r>
            <w:r>
              <w:rPr>
                <w:rFonts w:hint="eastAsia" w:ascii="宋体" w:hAnsi="宋体" w:eastAsia="宋体"/>
                <w:color w:val="auto"/>
                <w:sz w:val="15"/>
                <w:szCs w:val="15"/>
                <w:highlight w:val="none"/>
              </w:rPr>
              <w:t>制度</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1.未按照要求向相关管理部门报送数据、报表以及相关情况，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0-2； 2.未建立生活垃圾处理台账，</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3-6；</w:t>
            </w:r>
            <w:r>
              <w:rPr>
                <w:rFonts w:hint="eastAsia" w:ascii="宋体" w:hAnsi="宋体" w:eastAsia="宋体"/>
                <w:b w:val="0"/>
                <w:bCs w:val="0"/>
                <w:color w:val="auto"/>
                <w:sz w:val="15"/>
                <w:szCs w:val="15"/>
                <w:highlight w:val="none"/>
              </w:rPr>
              <w:t xml:space="preserve"> </w:t>
            </w:r>
            <w:r>
              <w:rPr>
                <w:rFonts w:hint="eastAsia" w:ascii="宋体" w:hAnsi="宋体" w:eastAsia="宋体" w:cs="宋体"/>
                <w:b w:val="0"/>
                <w:bCs w:val="0"/>
                <w:color w:val="auto"/>
                <w:kern w:val="0"/>
                <w:sz w:val="15"/>
                <w:szCs w:val="15"/>
                <w:highlight w:val="none"/>
              </w:rPr>
              <w:t>3.对环境造成较严重影响的，系数7-9</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0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0" w:hRule="atLeast"/>
        </w:trPr>
        <w:tc>
          <w:tcPr>
            <w:tcW w:w="610" w:type="dxa"/>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34</w:t>
            </w:r>
          </w:p>
        </w:tc>
        <w:tc>
          <w:tcPr>
            <w:tcW w:w="1830" w:type="dxa"/>
            <w:gridSpan w:val="3"/>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未按要求公开设施污染控制监测指标和处理设施运行数据</w:t>
            </w:r>
          </w:p>
        </w:tc>
        <w:tc>
          <w:tcPr>
            <w:tcW w:w="2789" w:type="dxa"/>
            <w:gridSpan w:val="2"/>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1.未按要求公开数据的，系数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 xml:space="preserve"> 1</w:t>
            </w:r>
            <w:r>
              <w:rPr>
                <w:rFonts w:hint="eastAsia" w:ascii="宋体" w:hAnsi="宋体" w:eastAsia="宋体" w:cs="宋体"/>
                <w:color w:val="auto"/>
                <w:kern w:val="0"/>
                <w:sz w:val="15"/>
                <w:szCs w:val="15"/>
                <w:highlight w:val="none"/>
              </w:rPr>
              <w:t>；2.长期未公开数据，系数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；3.造成较严重后果的，系数</w:t>
            </w:r>
            <w:r>
              <w:rPr>
                <w:rFonts w:hint="eastAsia" w:ascii="宋体" w:hAnsi="宋体" w:cs="宋体"/>
                <w:b w:val="0"/>
                <w:bCs w:val="0"/>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7" w:hRule="atLeast"/>
        </w:trPr>
        <w:tc>
          <w:tcPr>
            <w:tcW w:w="610" w:type="dxa"/>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35</w:t>
            </w:r>
          </w:p>
        </w:tc>
        <w:tc>
          <w:tcPr>
            <w:tcW w:w="1830" w:type="dxa"/>
            <w:gridSpan w:val="3"/>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ascii="宋体" w:hAnsi="宋体" w:eastAsia="宋体" w:cs="宋体"/>
                <w:color w:val="auto"/>
                <w:kern w:val="0"/>
                <w:sz w:val="15"/>
                <w:szCs w:val="15"/>
                <w:highlight w:val="none"/>
              </w:rPr>
              <w:t>生活垃圾集中转运、处理设施的运行管理单位</w:t>
            </w:r>
            <w:r>
              <w:rPr>
                <w:rFonts w:hint="eastAsia" w:ascii="宋体" w:hAnsi="宋体" w:eastAsia="宋体"/>
                <w:color w:val="auto"/>
                <w:sz w:val="15"/>
                <w:szCs w:val="15"/>
                <w:highlight w:val="none"/>
              </w:rPr>
              <w:t>未按要求</w:t>
            </w:r>
            <w:r>
              <w:rPr>
                <w:rFonts w:ascii="宋体" w:hAnsi="宋体" w:eastAsia="宋体" w:cs="宋体"/>
                <w:color w:val="auto"/>
                <w:kern w:val="0"/>
                <w:sz w:val="15"/>
                <w:szCs w:val="15"/>
                <w:highlight w:val="none"/>
              </w:rPr>
              <w:t>配套建设相应的参观、宣传设施</w:t>
            </w:r>
            <w:r>
              <w:rPr>
                <w:rFonts w:hint="eastAsia" w:ascii="宋体" w:hAnsi="宋体" w:eastAsia="宋体" w:cs="宋体"/>
                <w:color w:val="auto"/>
                <w:kern w:val="0"/>
                <w:sz w:val="15"/>
                <w:szCs w:val="15"/>
                <w:highlight w:val="none"/>
              </w:rPr>
              <w:t>或者未</w:t>
            </w:r>
            <w:r>
              <w:rPr>
                <w:rFonts w:ascii="宋体" w:hAnsi="宋体" w:eastAsia="宋体" w:cs="宋体"/>
                <w:color w:val="auto"/>
                <w:kern w:val="0"/>
                <w:sz w:val="15"/>
                <w:szCs w:val="15"/>
                <w:highlight w:val="none"/>
              </w:rPr>
              <w:t>在规定的公众开放日接待社会公众</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vMerge w:val="restart"/>
            <w:tcBorders>
              <w:top w:val="single" w:color="auto" w:sz="4" w:space="0"/>
              <w:left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9" w:hRule="atLeast"/>
        </w:trPr>
        <w:tc>
          <w:tcPr>
            <w:tcW w:w="610" w:type="dxa"/>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830" w:type="dxa"/>
            <w:gridSpan w:val="3"/>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再生资源回收经营者未分类贮存物品</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jc w:val="both"/>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11－15</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16－20</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4；2.存在基准2.1.3规定情形的，系数按照相关规定确定。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5"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曾因此违法行为受到过行政处罚，再次违反的适用此情形。</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83"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10" w:name="_Toc726075658"/>
            <w:bookmarkStart w:id="11" w:name="_Toc110851438"/>
            <w:bookmarkStart w:id="12" w:name="_Toc15633281"/>
            <w:r>
              <w:rPr>
                <w:rFonts w:hint="eastAsia" w:ascii="宋体" w:hAnsi="宋体" w:eastAsia="宋体"/>
                <w:color w:val="auto"/>
                <w:sz w:val="21"/>
                <w:szCs w:val="21"/>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未按规定缴纳城市生活垃圾处理费</w:t>
            </w:r>
          </w:p>
        </w:tc>
        <w:tc>
          <w:tcPr>
            <w:tcW w:w="2789"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p>
        </w:tc>
        <w:tc>
          <w:tcPr>
            <w:tcW w:w="3426" w:type="dxa"/>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未按规定配套建设城市生活垃圾收集设施</w:t>
            </w:r>
          </w:p>
        </w:tc>
        <w:tc>
          <w:tcPr>
            <w:tcW w:w="2789"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违反条款：第十条；处罚条款：第三十九条，责令限期改正，并可处以1万元以下的罚款。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1.发生在</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造成较大社会影响或者严重后果的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情形，系数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olor w:val="auto"/>
                <w:sz w:val="15"/>
                <w:szCs w:val="15"/>
                <w:highlight w:val="none"/>
              </w:rPr>
            </w:pPr>
          </w:p>
        </w:tc>
        <w:tc>
          <w:tcPr>
            <w:tcW w:w="897"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擅自关闭、闲置或者拆除城市生活垃圾处置设施、场所</w:t>
            </w:r>
          </w:p>
        </w:tc>
        <w:tc>
          <w:tcPr>
            <w:tcW w:w="2789"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违反条款：第十三条；处罚条款：第四十一条，责令停止违法行为，限期改正，处以1万元以上10万元以下的罚款。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eastAsia="宋体"/>
                <w:strike w:val="0"/>
                <w:dstrike w:val="0"/>
                <w:color w:val="auto"/>
                <w:sz w:val="15"/>
                <w:szCs w:val="15"/>
                <w:highlight w:val="none"/>
                <w:lang w:val="en-US" w:eastAsia="zh-CN"/>
              </w:rPr>
              <w:t>6</w:t>
            </w:r>
            <w:r>
              <w:rPr>
                <w:rFonts w:hint="eastAsia" w:ascii="宋体" w:hAnsi="宋体" w:eastAsia="宋体"/>
                <w:strike w:val="0"/>
                <w:dstrike w:val="0"/>
                <w:color w:val="auto"/>
                <w:sz w:val="15"/>
                <w:szCs w:val="15"/>
                <w:highlight w:val="none"/>
              </w:rPr>
              <w:t>-9</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8" w:hRule="atLeast"/>
        </w:trPr>
        <w:tc>
          <w:tcPr>
            <w:tcW w:w="610" w:type="dxa"/>
            <w:vMerge w:val="restart"/>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4</w:t>
            </w:r>
          </w:p>
        </w:tc>
        <w:tc>
          <w:tcPr>
            <w:tcW w:w="1830" w:type="dxa"/>
            <w:gridSpan w:val="3"/>
            <w:vMerge w:val="restart"/>
            <w:noWrap w:val="0"/>
            <w:vAlign w:val="center"/>
          </w:tcPr>
          <w:p>
            <w:pPr>
              <w:spacing w:line="200"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随意倾倒、抛洒、堆放城市生活垃圾</w:t>
            </w:r>
          </w:p>
        </w:tc>
        <w:tc>
          <w:tcPr>
            <w:tcW w:w="2789" w:type="dxa"/>
            <w:gridSpan w:val="2"/>
            <w:vMerge w:val="restart"/>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Batang"/>
                <w:color w:val="auto"/>
                <w:sz w:val="15"/>
                <w:szCs w:val="15"/>
                <w:highlight w:val="none"/>
                <w:lang w:val="en-US" w:eastAsia="zh-CN"/>
              </w:rPr>
              <w:t>1.污染道路</w:t>
            </w:r>
            <w:r>
              <w:rPr>
                <w:rFonts w:hint="eastAsia" w:ascii="宋体" w:hAnsi="宋体" w:eastAsia="宋体" w:cs="宋体"/>
                <w:color w:val="auto"/>
                <w:kern w:val="0"/>
                <w:sz w:val="15"/>
                <w:szCs w:val="15"/>
                <w:highlight w:val="none"/>
                <w:lang w:eastAsia="zh-CN"/>
              </w:rPr>
              <w:t>长度</w:t>
            </w:r>
            <w:r>
              <w:rPr>
                <w:rFonts w:hint="eastAsia" w:ascii="宋体" w:hAnsi="宋体" w:eastAsia="宋体" w:cs="宋体"/>
                <w:color w:val="auto"/>
                <w:kern w:val="0"/>
                <w:sz w:val="15"/>
                <w:szCs w:val="15"/>
                <w:highlight w:val="none"/>
              </w:rPr>
              <w:t>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s="宋体"/>
                <w:color w:val="auto"/>
                <w:kern w:val="0"/>
                <w:sz w:val="15"/>
                <w:szCs w:val="15"/>
                <w:highlight w:val="none"/>
              </w:rPr>
              <w:t>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.对环境造成较严重影响的，系数6-9</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8"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根据实际情况处罚</w:t>
            </w:r>
            <w:r>
              <w:rPr>
                <w:rFonts w:hint="eastAsia" w:ascii="宋体" w:hAnsi="宋体" w:eastAsia="宋体"/>
                <w:color w:val="auto"/>
                <w:sz w:val="15"/>
                <w:szCs w:val="15"/>
                <w:highlight w:val="none"/>
                <w:lang w:eastAsia="zh-CN"/>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未经批准从事城市生活垃圾经营性清扫、收集、运输活动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违反条款：第十七条；处罚条款：第四十三条，责令停止违法行为，并处以3万元的罚款。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未经批准从事城市生活垃圾经营性处置活动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违反条款：第二十五条；处罚条款：第四十三条，责令停止违法行为，并处以3万元的罚款。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从事城市生活垃圾经营性清扫、收集、运输的企业在运输过程中沿途丢弃、遗撒生活垃圾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违反条款：第二十一条第（三）项；处罚条款：第四十四条，责令停止违法行为，限期改正，处以5000元以上5万元以下的罚款。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2.随意丢弃、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.对环境造成较严重影响的，系数6-9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从事城市生活垃圾经营性清扫、收集、运输的企业未履行规定义务</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违反条款：第二十条；处罚条款：第四十五条，责令限期改正，并可处以5000元以上3万元以下的罚款。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2-3，存在3种及以上情形的，系数4-5；2.</w:t>
            </w:r>
            <w:r>
              <w:rPr>
                <w:rFonts w:hint="eastAsia" w:ascii="宋体" w:hAnsi="宋体" w:eastAsia="宋体"/>
                <w:color w:val="auto"/>
                <w:sz w:val="15"/>
                <w:szCs w:val="15"/>
                <w:highlight w:val="none"/>
              </w:rPr>
              <w:t>对环境造成较严重影响的，系数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从事城市生活垃圾经营性处置的企业未履行规定义务</w:t>
            </w:r>
          </w:p>
        </w:tc>
        <w:tc>
          <w:tcPr>
            <w:tcW w:w="2789"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违反条款：第二十八条；处罚条款：第四十五条，责令限期改正，并可处以3万元以上10万元以下的罚款。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1，存在3种及以上情形的，系数2-3；</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造成较严重影响的，系数</w:t>
            </w:r>
            <w:r>
              <w:rPr>
                <w:rFonts w:hint="eastAsia" w:ascii="宋体" w:hAnsi="宋体" w:eastAsia="宋体"/>
                <w:color w:val="auto"/>
                <w:sz w:val="15"/>
                <w:szCs w:val="15"/>
                <w:highlight w:val="none"/>
                <w:lang w:val="en-US" w:eastAsia="zh-CN"/>
              </w:rPr>
              <w:t>2-3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从事城市生活垃圾经营性清扫、收集、运输的企业未经批准擅自停业、歇业的</w:t>
            </w:r>
          </w:p>
        </w:tc>
        <w:tc>
          <w:tcPr>
            <w:tcW w:w="2789"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违反条款：第二十一条第（二）项</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第三十五条第一款；处罚条款：第四十六条，责令限期改正，并可处以1万元以上3万元以下罚款。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造成较严重影响的，系数1-2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从事城市生活垃圾经营性处置的企业未经批准擅自停业、歇业的</w:t>
            </w:r>
          </w:p>
        </w:tc>
        <w:tc>
          <w:tcPr>
            <w:tcW w:w="2789"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违反条款：第三十五条第一款；处罚条款：第四十六条，责令限期改正，并可处以5万元以上10万元以下罚款。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违法行为持续</w:t>
            </w:r>
            <w:r>
              <w:rPr>
                <w:rFonts w:hint="eastAsia" w:ascii="宋体" w:hAnsi="宋体" w:eastAsia="宋体" w:cs="宋体"/>
                <w:color w:val="auto"/>
                <w:kern w:val="0"/>
                <w:sz w:val="15"/>
                <w:szCs w:val="15"/>
                <w:highlight w:val="none"/>
                <w:lang w:val="en-US" w:eastAsia="zh-CN"/>
              </w:rPr>
              <w:t>2天的，系数0</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；3天的，系数0</w:t>
            </w:r>
            <w:r>
              <w:rPr>
                <w:rFonts w:hint="default"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；4天的，系数0</w:t>
            </w:r>
            <w:r>
              <w:rPr>
                <w:rFonts w:hint="default"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；5天的，系数0.8；6天及以上的，系数1。</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造成较严重影响的，系数1。3.存在基准2.1.3规定情形的，系数按照相关规定确定（基准2.1.3.5不适用）。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8" w:hRule="atLeast"/>
        </w:trPr>
        <w:tc>
          <w:tcPr>
            <w:tcW w:w="15100" w:type="dxa"/>
            <w:gridSpan w:val="15"/>
            <w:noWrap w:val="0"/>
            <w:vAlign w:val="center"/>
          </w:tcPr>
          <w:p>
            <w:pPr>
              <w:pStyle w:val="3"/>
              <w:widowControl w:val="0"/>
              <w:spacing w:line="220" w:lineRule="exact"/>
              <w:jc w:val="center"/>
              <w:rPr>
                <w:rFonts w:ascii="宋体" w:hAnsi="宋体" w:eastAsia="宋体"/>
                <w:color w:val="auto"/>
                <w:sz w:val="15"/>
                <w:szCs w:val="15"/>
                <w:highlight w:val="none"/>
              </w:rPr>
            </w:pPr>
            <w:bookmarkStart w:id="13" w:name="_Toc110851439"/>
            <w:bookmarkStart w:id="14" w:name="_Toc1544417110"/>
            <w:bookmarkStart w:id="15" w:name="_Toc236494917"/>
            <w:r>
              <w:rPr>
                <w:rFonts w:hint="eastAsia" w:ascii="宋体" w:hAnsi="宋体" w:eastAsia="宋体"/>
                <w:color w:val="auto"/>
                <w:sz w:val="21"/>
                <w:szCs w:val="21"/>
                <w:highlight w:val="none"/>
              </w:rPr>
              <w:t>《城市建筑垃圾管理规定》案由11项</w:t>
            </w:r>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将建筑垃圾混入生活垃圾</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违反条款：第九条；处罚条款：第二十条第一款第（一）项及第二款，责令限期改正，予以警告；对单位处3000元以下罚款；对个人处200元以下罚款。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p>
        </w:tc>
        <w:tc>
          <w:tcPr>
            <w:tcW w:w="3426" w:type="dxa"/>
            <w:noWrap w:val="0"/>
            <w:vAlign w:val="center"/>
          </w:tcPr>
          <w:p>
            <w:pPr>
              <w:spacing w:line="22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将危险废物混入建筑垃圾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违反条款：第九条；处罚条款：第二十条第一款第（二）项及第二款，责令限期改正，予以警告；对单位处3000元以下罚款；对个人处200元以下罚款。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4"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擅自设立弃置场受纳建筑垃圾</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default"/>
                <w:color w:val="auto"/>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b/>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s="宋体"/>
                <w:b w:val="0"/>
                <w:bCs w:val="0"/>
                <w:color w:val="auto"/>
                <w:kern w:val="0"/>
                <w:sz w:val="15"/>
                <w:szCs w:val="15"/>
                <w:highlight w:val="none"/>
              </w:rPr>
            </w:pPr>
          </w:p>
        </w:tc>
        <w:tc>
          <w:tcPr>
            <w:tcW w:w="3426" w:type="dxa"/>
            <w:noWrap w:val="0"/>
            <w:vAlign w:val="center"/>
          </w:tcPr>
          <w:p>
            <w:pPr>
              <w:numPr>
                <w:ilvl w:val="0"/>
                <w:numId w:val="0"/>
              </w:numPr>
              <w:spacing w:line="232" w:lineRule="exact"/>
              <w:rPr>
                <w:rFonts w:hint="default" w:ascii="宋体" w:hAnsi="宋体" w:eastAsia="宋体" w:cs="宋体"/>
                <w:b w:val="0"/>
                <w:bCs w:val="0"/>
                <w:color w:val="auto"/>
                <w:kern w:val="0"/>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3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建筑垃圾储运消纳场受纳工业垃圾、生活垃圾和有毒有害垃圾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违反条款：第十条；处罚条款：第二十一条，责令限期改正，给予警告，处5000元以上1万元以下罚款。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w:t>
            </w:r>
          </w:p>
        </w:tc>
        <w:tc>
          <w:tcPr>
            <w:tcW w:w="342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垃圾、生活垃圾重量在2吨及以上的，系数0.5；</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垃圾、生活垃圾重量在4吨及以上的，系数1；受纳有毒有害垃圾的，系数1</w:t>
            </w:r>
            <w:r>
              <w:rPr>
                <w:rFonts w:hint="eastAsia" w:ascii="宋体" w:hAnsi="宋体" w:cs="宋体"/>
                <w:b w:val="0"/>
                <w:bCs w:val="0"/>
                <w:color w:val="auto"/>
                <w:sz w:val="15"/>
                <w:szCs w:val="15"/>
                <w:highlight w:val="none"/>
                <w:lang w:val="en-US" w:eastAsia="zh-CN"/>
              </w:rPr>
              <w:t>；2</w:t>
            </w:r>
            <w:r>
              <w:rPr>
                <w:rFonts w:hint="eastAsia" w:ascii="宋体" w:hAnsi="宋体"/>
                <w:b w:val="0"/>
                <w:bCs w:val="0"/>
                <w:color w:val="auto"/>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6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未及时清运工程施工过程中产生的建筑垃圾造成环境污染</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违反条款：第十二条；处罚条款：第二十二条第一款，责令限期改正，给予警告，处5000元以上5万元以下罚款。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w:t>
            </w:r>
            <w:r>
              <w:rPr>
                <w:rFonts w:hint="eastAsia" w:ascii="宋体" w:hAnsi="宋体" w:eastAsia="宋体" w:cs="宋体"/>
                <w:color w:val="auto"/>
                <w:kern w:val="0"/>
                <w:sz w:val="15"/>
                <w:szCs w:val="15"/>
                <w:highlight w:val="none"/>
              </w:rPr>
              <w:t>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rPr>
              <w:t>3.造成尘土飞扬，严重污染环境的，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施工单位将建筑垃圾交给个人或者未经核准从事建筑垃圾运输的单位处置</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违反条款：第十三条；处罚条款：第二十二条第二款，责令限期改正，给予警告，处1万元以上10万元以下罚款。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运输垃圾1车次或者建筑垃圾重量在4.5吨以下的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cs="宋体"/>
                <w:b w:val="0"/>
                <w:bCs w:val="0"/>
                <w:color w:val="auto"/>
                <w:sz w:val="15"/>
                <w:szCs w:val="15"/>
                <w:highlight w:val="none"/>
                <w:lang w:val="en-US" w:eastAsia="zh-CN"/>
              </w:rPr>
              <w:t>2车次或者4.5-9吨的</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3车次或者9-13.5吨的，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4车次或者13.5-18吨的，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5车次或者18-22.5吨的，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6车次或者22.5-27吨的，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10车次及以上火车40.5吨及以上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strike w:val="0"/>
                <w:dstrike w:val="0"/>
                <w:color w:val="auto"/>
                <w:sz w:val="15"/>
                <w:szCs w:val="15"/>
                <w:highlight w:val="none"/>
                <w:lang w:val="en-US" w:eastAsia="zh-CN"/>
              </w:rPr>
              <w:t>。</w:t>
            </w:r>
            <w:r>
              <w:rPr>
                <w:rFonts w:hint="eastAsia" w:ascii="宋体" w:hAnsi="宋体" w:cs="宋体"/>
                <w:b w:val="0"/>
                <w:bCs w:val="0"/>
                <w:strike w:val="0"/>
                <w:dstrike w:val="0"/>
                <w:color w:val="auto"/>
                <w:sz w:val="15"/>
                <w:szCs w:val="15"/>
                <w:highlight w:val="none"/>
                <w:lang w:val="en-US" w:eastAsia="zh-CN"/>
              </w:rPr>
              <w:t>3</w:t>
            </w:r>
            <w:r>
              <w:rPr>
                <w:rFonts w:hint="eastAsia" w:ascii="宋体" w:hAnsi="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hint="default" w:ascii="宋体" w:hAnsi="宋体" w:eastAsia="宋体" w:cs="宋体"/>
                <w:strike/>
                <w:dstrike w:val="0"/>
                <w:color w:val="auto"/>
                <w:kern w:val="0"/>
                <w:sz w:val="15"/>
                <w:szCs w:val="15"/>
                <w:highlight w:val="none"/>
                <w:lang w:val="en-US" w:eastAsia="zh-CN" w:bidi="ar-SA"/>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处置建筑垃圾的单位在运输建筑垃圾过程中沿途丢弃、遗撒建筑垃圾</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违反条款：第十四条；处罚条款：第二十三条，责令限期改正，给予警告，处5000元以上5万元以下罚款。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建筑</w:t>
            </w:r>
            <w:r>
              <w:rPr>
                <w:rFonts w:ascii="宋体" w:hAnsi="宋体" w:eastAsia="宋体"/>
                <w:b w:val="0"/>
                <w:bCs w:val="0"/>
                <w:color w:val="auto"/>
                <w:sz w:val="15"/>
                <w:szCs w:val="15"/>
                <w:highlight w:val="none"/>
              </w:rPr>
              <w:t>垃圾占地面积</w:t>
            </w:r>
            <w:r>
              <w:rPr>
                <w:rFonts w:hint="eastAsia" w:ascii="宋体" w:hAnsi="宋体" w:eastAsia="宋体"/>
                <w:b w:val="0"/>
                <w:bCs w:val="0"/>
                <w:color w:val="auto"/>
                <w:sz w:val="15"/>
                <w:szCs w:val="15"/>
                <w:highlight w:val="none"/>
              </w:rPr>
              <w:t>10</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以下</w:t>
            </w:r>
            <w:r>
              <w:rPr>
                <w:rFonts w:ascii="宋体" w:hAnsi="宋体" w:eastAsia="宋体"/>
                <w:b w:val="0"/>
                <w:bCs w:val="0"/>
                <w:color w:val="auto"/>
                <w:sz w:val="15"/>
                <w:szCs w:val="15"/>
                <w:highlight w:val="none"/>
              </w:rPr>
              <w:t>的，系数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w:t>
            </w:r>
            <w:r>
              <w:rPr>
                <w:rFonts w:hint="eastAsia" w:ascii="宋体" w:hAnsi="宋体" w:eastAsia="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及以上的，系数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lang w:val="en-US" w:eastAsia="zh-CN"/>
              </w:rPr>
              <w:t>3.建筑垃圾重量在4.5吨以下的，系数0；4.5-9吨的，系数1；</w:t>
            </w:r>
            <w:r>
              <w:rPr>
                <w:rFonts w:hint="eastAsia" w:ascii="宋体" w:hAnsi="宋体" w:cs="宋体"/>
                <w:b w:val="0"/>
                <w:bCs w:val="0"/>
                <w:color w:val="auto"/>
                <w:sz w:val="15"/>
                <w:szCs w:val="15"/>
                <w:highlight w:val="none"/>
                <w:lang w:val="en-US" w:eastAsia="zh-CN"/>
              </w:rPr>
              <w:t>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13.5-18吨的，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18-22.5吨的，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val="en-US" w:eastAsia="zh-CN"/>
              </w:rPr>
              <w:t>以此类推，40.5吨及以上的，系数9；在面积和长度无法取证的情况下，可以适用此情形。4</w:t>
            </w:r>
            <w:r>
              <w:rPr>
                <w:rFonts w:hint="eastAsia" w:ascii="宋体" w:hAnsi="宋体" w:eastAsia="宋体" w:cs="宋体"/>
                <w:color w:val="auto"/>
                <w:kern w:val="0"/>
                <w:sz w:val="15"/>
                <w:szCs w:val="15"/>
                <w:highlight w:val="none"/>
              </w:rPr>
              <w:t>.随意丢弃、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.违法行为持续时间较长、对环境秩序造成较严重影响的，系数</w:t>
            </w:r>
            <w:r>
              <w:rPr>
                <w:rFonts w:hint="default" w:ascii="宋体" w:hAnsi="宋体" w:eastAsia="宋体" w:cs="宋体"/>
                <w:strike w:val="0"/>
                <w:dstrike w:val="0"/>
                <w:color w:val="auto"/>
                <w:kern w:val="0"/>
                <w:sz w:val="15"/>
                <w:szCs w:val="15"/>
                <w:highlight w:val="none"/>
                <w:lang w:val="en-US" w:eastAsia="zh-CN"/>
              </w:rPr>
              <w:t xml:space="preserve"> </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4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涂改、倒卖、出租、出借或者以</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形式非法转让城市建筑垃圾处置核准文件</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违反条款：第八条；处罚条款：第二十四条，责令限期改正，给予警告，处5000元以上2万元以下罚款。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第</w:t>
            </w: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次发生，系数</w:t>
            </w:r>
            <w:r>
              <w:rPr>
                <w:rFonts w:hint="eastAsia" w:ascii="宋体" w:hAnsi="宋体" w:cs="宋体"/>
                <w:b w:val="0"/>
                <w:bCs w:val="0"/>
                <w:color w:val="auto"/>
                <w:kern w:val="0"/>
                <w:sz w:val="15"/>
                <w:szCs w:val="15"/>
                <w:highlight w:val="none"/>
                <w:lang w:val="en-US" w:eastAsia="zh-CN"/>
              </w:rPr>
              <w:t>0；第2次发生</w:t>
            </w:r>
            <w:r>
              <w:rPr>
                <w:rFonts w:hint="eastAsia" w:ascii="宋体" w:hAnsi="宋体" w:cs="宋体"/>
                <w:b w:val="0"/>
                <w:bCs w:val="0"/>
                <w:color w:val="auto"/>
                <w:kern w:val="0"/>
                <w:sz w:val="15"/>
                <w:szCs w:val="15"/>
                <w:highlight w:val="none"/>
                <w:lang w:eastAsia="zh-CN"/>
              </w:rPr>
              <w:t>，系</w:t>
            </w:r>
            <w:r>
              <w:rPr>
                <w:rFonts w:hint="eastAsia" w:ascii="宋体" w:hAnsi="宋体" w:eastAsia="宋体" w:cs="宋体"/>
                <w:b w:val="0"/>
                <w:bCs w:val="0"/>
                <w:color w:val="auto"/>
                <w:kern w:val="0"/>
                <w:sz w:val="15"/>
                <w:szCs w:val="15"/>
                <w:highlight w:val="none"/>
                <w:lang w:eastAsia="zh-CN"/>
              </w:rPr>
              <w:t>数</w:t>
            </w:r>
            <w:r>
              <w:rPr>
                <w:rFonts w:hint="eastAsia" w:ascii="宋体" w:hAnsi="宋体" w:eastAsia="宋体" w:cs="宋体"/>
                <w:b w:val="0"/>
                <w:bCs w:val="0"/>
                <w:color w:val="auto"/>
                <w:kern w:val="0"/>
                <w:sz w:val="15"/>
                <w:szCs w:val="15"/>
                <w:highlight w:val="none"/>
                <w:lang w:val="en-US" w:eastAsia="zh-CN"/>
              </w:rPr>
              <w:t>3。2.</w:t>
            </w:r>
            <w:r>
              <w:rPr>
                <w:rFonts w:hint="eastAsia" w:ascii="宋体" w:hAnsi="宋体" w:eastAsia="宋体"/>
                <w:color w:val="auto"/>
                <w:sz w:val="15"/>
                <w:szCs w:val="15"/>
                <w:highlight w:val="none"/>
              </w:rPr>
              <w:t>造成严重影响的，系数3</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9"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830" w:type="dxa"/>
            <w:gridSpan w:val="3"/>
            <w:vMerge w:val="restart"/>
            <w:noWrap w:val="0"/>
            <w:vAlign w:val="center"/>
          </w:tcPr>
          <w:p>
            <w:pPr>
              <w:spacing w:line="232"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未经核准擅自处置建筑垃圾</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1.违法行为持续时间较长、处置建筑垃圾量较大，系数1-3；2.造成环境秩序较严重影响的，系数</w:t>
            </w:r>
            <w:r>
              <w:rPr>
                <w:rFonts w:ascii="宋体" w:hAnsi="宋体" w:eastAsia="宋体"/>
                <w:color w:val="auto"/>
                <w:sz w:val="15"/>
                <w:szCs w:val="15"/>
                <w:highlight w:val="none"/>
              </w:rPr>
              <w:t>4</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noWrap w:val="0"/>
            <w:vAlign w:val="center"/>
          </w:tcPr>
          <w:p>
            <w:pPr>
              <w:spacing w:line="232" w:lineRule="exact"/>
              <w:rPr>
                <w:rFonts w:ascii="宋体" w:hAnsi="宋体" w:eastAsia="宋体"/>
                <w:strike/>
                <w:color w:val="auto"/>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0"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b w:val="0"/>
                <w:bCs w:val="0"/>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（建设、运输单位）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6"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处置超出核准范围的建筑垃圾</w:t>
            </w:r>
          </w:p>
        </w:tc>
        <w:tc>
          <w:tcPr>
            <w:tcW w:w="2789" w:type="dxa"/>
            <w:gridSpan w:val="2"/>
            <w:vMerge w:val="restart"/>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p>
        </w:tc>
        <w:tc>
          <w:tcPr>
            <w:tcW w:w="840"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restart"/>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5"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spacing w:line="180" w:lineRule="exact"/>
              <w:rPr>
                <w:rFonts w:ascii="宋体" w:hAnsi="宋体" w:eastAsia="宋体"/>
                <w:color w:val="auto"/>
                <w:sz w:val="15"/>
                <w:szCs w:val="15"/>
                <w:highlight w:val="none"/>
              </w:rPr>
            </w:pPr>
          </w:p>
        </w:tc>
        <w:tc>
          <w:tcPr>
            <w:tcW w:w="851"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（建设、运输单位）</w:t>
            </w:r>
          </w:p>
        </w:tc>
        <w:tc>
          <w:tcPr>
            <w:tcW w:w="840"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0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2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随意倾倒、抛撒或者堆放建筑垃圾</w:t>
            </w:r>
          </w:p>
        </w:tc>
        <w:tc>
          <w:tcPr>
            <w:tcW w:w="2789" w:type="dxa"/>
            <w:gridSpan w:val="2"/>
            <w:vMerge w:val="restart"/>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违反条款：第十五条；处罚条款：第二十六条：责令限期改正，给予警告，并对单位处5000元以上5万元以下罚款，对个人处200元以下罚款。</w:t>
            </w:r>
          </w:p>
        </w:tc>
        <w:tc>
          <w:tcPr>
            <w:tcW w:w="851"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ascii="宋体" w:hAnsi="宋体" w:eastAsia="宋体"/>
                <w:color w:val="auto"/>
                <w:sz w:val="15"/>
                <w:szCs w:val="15"/>
                <w:highlight w:val="none"/>
              </w:rPr>
              <w:t>的，系数</w:t>
            </w:r>
            <w:r>
              <w:rPr>
                <w:rFonts w:hint="eastAsia" w:ascii="宋体" w:hAnsi="宋体" w:eastAsia="宋体"/>
                <w:color w:val="auto"/>
                <w:sz w:val="15"/>
                <w:szCs w:val="15"/>
                <w:highlight w:val="none"/>
              </w:rPr>
              <w:t>0；11—15</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1；16</w:t>
            </w:r>
            <w:r>
              <w:rPr>
                <w:rFonts w:ascii="宋体" w:hAnsi="宋体" w:eastAsia="宋体"/>
                <w:color w:val="auto"/>
                <w:sz w:val="15"/>
                <w:szCs w:val="15"/>
                <w:highlight w:val="none"/>
              </w:rPr>
              <w:t>-20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w:t>
            </w:r>
            <w:r>
              <w:rPr>
                <w:rFonts w:ascii="宋体" w:hAnsi="宋体" w:eastAsia="宋体"/>
                <w:color w:val="auto"/>
                <w:sz w:val="15"/>
                <w:szCs w:val="15"/>
                <w:highlight w:val="none"/>
              </w:rPr>
              <w:t>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.将垃圾</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.对环境秩序造成较严重影响的，系数6-9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8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180"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180" w:lineRule="exact"/>
              <w:rPr>
                <w:rFonts w:ascii="宋体" w:hAnsi="宋体" w:eastAsia="宋体" w:cs="宋体"/>
                <w:color w:val="auto"/>
                <w:sz w:val="15"/>
                <w:szCs w:val="15"/>
                <w:highlight w:val="none"/>
              </w:rPr>
            </w:pPr>
          </w:p>
        </w:tc>
        <w:tc>
          <w:tcPr>
            <w:tcW w:w="851"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180" w:lineRule="exact"/>
              <w:jc w:val="center"/>
              <w:rPr>
                <w:rFonts w:ascii="宋体" w:hAnsi="宋体" w:eastAsia="宋体" w:cs="宋体"/>
                <w:color w:val="auto"/>
                <w:kern w:val="0"/>
                <w:sz w:val="15"/>
                <w:szCs w:val="15"/>
                <w:highlight w:val="none"/>
              </w:rPr>
            </w:pPr>
          </w:p>
        </w:tc>
        <w:tc>
          <w:tcPr>
            <w:tcW w:w="3426" w:type="dxa"/>
            <w:noWrap w:val="0"/>
            <w:vAlign w:val="center"/>
          </w:tcPr>
          <w:p>
            <w:pPr>
              <w:spacing w:line="18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p>
        </w:tc>
        <w:tc>
          <w:tcPr>
            <w:tcW w:w="1982"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参照基准规定，并根据实际情况处罚。</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9"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16" w:name="_Toc80602247"/>
            <w:bookmarkStart w:id="17" w:name="_Toc1339664513"/>
            <w:bookmarkStart w:id="18" w:name="_Toc110851440"/>
            <w:r>
              <w:rPr>
                <w:rFonts w:hint="eastAsia" w:ascii="宋体" w:hAnsi="宋体" w:eastAsia="宋体"/>
                <w:color w:val="auto"/>
                <w:sz w:val="21"/>
                <w:szCs w:val="21"/>
                <w:highlight w:val="none"/>
              </w:rPr>
              <w:t>《中华人民共和国固体废物污染环境防治法》案由</w:t>
            </w:r>
            <w:r>
              <w:rPr>
                <w:rFonts w:ascii="宋体" w:hAnsi="宋体" w:eastAsia="宋体"/>
                <w:color w:val="auto"/>
                <w:sz w:val="21"/>
                <w:szCs w:val="21"/>
                <w:highlight w:val="none"/>
              </w:rPr>
              <w:t>10</w:t>
            </w:r>
            <w:r>
              <w:rPr>
                <w:rFonts w:hint="eastAsia" w:ascii="宋体" w:hAnsi="宋体" w:eastAsia="宋体"/>
                <w:color w:val="auto"/>
                <w:sz w:val="21"/>
                <w:szCs w:val="21"/>
                <w:highlight w:val="none"/>
              </w:rPr>
              <w:t>项</w:t>
            </w:r>
            <w:bookmarkEnd w:id="16"/>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4"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拒绝、阻扰固体废物污染环境防治监督检查或在接受监督检查时弄虚作假</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第一百零三条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处罚条款：第一百零三条  责令改正，处五万元以上二十万元以下的罚款；对直接负责的主管人员和其他直接责任人员，处二万元以上十万元以下的罚款。</w:t>
            </w: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196"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2-3；2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6" w:lineRule="exact"/>
              <w:rPr>
                <w:rFonts w:ascii="宋体" w:hAnsi="宋体" w:eastAsia="宋体" w:cs="宋体"/>
                <w:color w:val="auto"/>
                <w:kern w:val="0"/>
                <w:sz w:val="15"/>
                <w:szCs w:val="15"/>
                <w:highlight w:val="none"/>
              </w:rPr>
            </w:pPr>
          </w:p>
        </w:tc>
        <w:tc>
          <w:tcPr>
            <w:tcW w:w="897" w:type="dxa"/>
            <w:gridSpan w:val="2"/>
            <w:noWrap w:val="0"/>
            <w:vAlign w:val="center"/>
          </w:tcPr>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8"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20000（</w:t>
            </w:r>
            <w:r>
              <w:rPr>
                <w:rFonts w:ascii="宋体" w:hAnsi="宋体" w:eastAsia="宋体"/>
                <w:color w:val="auto"/>
                <w:sz w:val="15"/>
                <w:szCs w:val="15"/>
                <w:highlight w:val="none"/>
              </w:rPr>
              <w:t>主管人员或负责人）</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2-4；2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6" w:lineRule="exact"/>
              <w:rPr>
                <w:rFonts w:ascii="宋体" w:hAnsi="宋体" w:eastAsia="宋体" w:cs="宋体"/>
                <w:color w:val="auto"/>
                <w:kern w:val="0"/>
                <w:sz w:val="15"/>
                <w:szCs w:val="15"/>
                <w:highlight w:val="none"/>
              </w:rPr>
            </w:pPr>
          </w:p>
        </w:tc>
        <w:tc>
          <w:tcPr>
            <w:tcW w:w="897"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9"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工程施工单位未编制建筑垃圾处理方案报备案</w:t>
            </w:r>
          </w:p>
        </w:tc>
        <w:tc>
          <w:tcPr>
            <w:tcW w:w="2789" w:type="dxa"/>
            <w:gridSpan w:val="2"/>
            <w:noWrap w:val="0"/>
            <w:vAlign w:val="center"/>
          </w:tcPr>
          <w:p>
            <w:pPr>
              <w:spacing w:line="232" w:lineRule="exact"/>
              <w:rPr>
                <w:rFonts w:ascii="宋体" w:hAnsi="宋体" w:eastAsia="宋体"/>
                <w:color w:val="auto"/>
                <w:sz w:val="15"/>
                <w:szCs w:val="15"/>
                <w:highlight w:val="none"/>
                <w:lang w:val="en"/>
              </w:rPr>
            </w:pPr>
            <w:r>
              <w:rPr>
                <w:rFonts w:hint="eastAsia" w:ascii="宋体" w:hAnsi="宋体" w:eastAsia="宋体"/>
                <w:color w:val="auto"/>
                <w:sz w:val="15"/>
                <w:szCs w:val="15"/>
                <w:highlight w:val="none"/>
              </w:rPr>
              <w:t>违反条款：第六十三条第一款；处罚条款：第一百一十一条第一款第（三）项、第二款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196"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1.工程建筑面积在300㎡及以下的，系数0；300㎡以上5000㎡及以下的，系数1-2；5000㎡以上2万㎡及以下的，系数3</w:t>
            </w:r>
            <w:r>
              <w:rPr>
                <w:rFonts w:hint="default" w:ascii="宋体" w:hAnsi="宋体" w:eastAsia="宋体" w:cs="宋体"/>
                <w:b w:val="0"/>
                <w:bCs w:val="0"/>
                <w:strike w:val="0"/>
                <w:dstrike w:val="0"/>
                <w:color w:val="auto"/>
                <w:sz w:val="15"/>
                <w:szCs w:val="15"/>
                <w:highlight w:val="none"/>
                <w:lang w:val="en-US" w:eastAsia="zh-CN"/>
              </w:rPr>
              <w:t>-4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。2.未备案时间持续10天及以内的，系数0；11-20天的，系数1；以此类推，101天及以上的，系数9。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成环境较严重影响的，系数</w:t>
            </w:r>
            <w:r>
              <w:rPr>
                <w:rFonts w:hint="eastAsia" w:ascii="宋体" w:hAnsi="宋体" w:eastAsia="宋体" w:cs="宋体"/>
                <w:color w:val="auto"/>
                <w:sz w:val="15"/>
                <w:szCs w:val="15"/>
                <w:highlight w:val="none"/>
                <w:lang w:val="en-US" w:eastAsia="zh-CN"/>
              </w:rPr>
              <w:t>5-6</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96" w:lineRule="exact"/>
              <w:rPr>
                <w:rFonts w:ascii="宋体" w:hAnsi="宋体" w:eastAsia="宋体"/>
                <w:color w:val="auto"/>
                <w:sz w:val="15"/>
                <w:szCs w:val="15"/>
                <w:highlight w:val="none"/>
              </w:rPr>
            </w:pPr>
          </w:p>
        </w:tc>
        <w:tc>
          <w:tcPr>
            <w:tcW w:w="897"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11" w:hRule="atLeast"/>
        </w:trPr>
        <w:tc>
          <w:tcPr>
            <w:tcW w:w="610"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3</w:t>
            </w:r>
          </w:p>
        </w:tc>
        <w:tc>
          <w:tcPr>
            <w:tcW w:w="1830" w:type="dxa"/>
            <w:gridSpan w:val="3"/>
            <w:noWrap w:val="0"/>
            <w:vAlign w:val="center"/>
          </w:tcPr>
          <w:p>
            <w:pPr>
              <w:spacing w:line="196"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单位未在指定的地点分类投放生活垃圾情节</w:t>
            </w:r>
            <w:r>
              <w:rPr>
                <w:rFonts w:ascii="宋体" w:hAnsi="宋体" w:eastAsia="宋体" w:cs="宋体"/>
                <w:color w:val="auto"/>
                <w:sz w:val="15"/>
                <w:szCs w:val="15"/>
                <w:highlight w:val="none"/>
              </w:rPr>
              <w:t>严重</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违反条款：第四十九条第二款；</w:t>
            </w:r>
            <w:r>
              <w:rPr>
                <w:rFonts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rPr>
              <w:t>第一百一十一条第三款 责令</w:t>
            </w:r>
            <w:r>
              <w:rPr>
                <w:rFonts w:ascii="宋体" w:hAnsi="宋体" w:eastAsia="宋体" w:cs="宋体"/>
                <w:color w:val="auto"/>
                <w:sz w:val="15"/>
                <w:szCs w:val="15"/>
                <w:highlight w:val="none"/>
              </w:rPr>
              <w:t>改正；情节严重的</w:t>
            </w:r>
            <w:r>
              <w:rPr>
                <w:rFonts w:hint="eastAsia" w:ascii="宋体" w:hAnsi="宋体" w:eastAsia="宋体" w:cs="宋体"/>
                <w:color w:val="auto"/>
                <w:sz w:val="15"/>
                <w:szCs w:val="15"/>
                <w:highlight w:val="none"/>
              </w:rPr>
              <w:t>，对单位处五万元以上五十万元以下的罚款。</w:t>
            </w: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垃圾占地面积6－10㎡，系数1；</w:t>
            </w:r>
            <w:r>
              <w:rPr>
                <w:rFonts w:hint="eastAsia" w:ascii="宋体" w:hAnsi="宋体" w:eastAsia="宋体"/>
                <w:color w:val="auto"/>
                <w:sz w:val="15"/>
                <w:szCs w:val="15"/>
                <w:highlight w:val="none"/>
                <w:lang w:val="en-US" w:eastAsia="zh-CN"/>
              </w:rPr>
              <w:t>11-15</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rPr>
              <w:t>随意倾倒、丢弃、堆放至城市道路、绿地、林地、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rPr>
              <w:t>；4.对环境造成较严重影响的，系数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196"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构成情节系数相关情形的，视为“情节严重”。</w:t>
            </w:r>
          </w:p>
          <w:p>
            <w:pPr>
              <w:pStyle w:val="8"/>
              <w:rPr>
                <w:rFonts w:hint="eastAsia" w:ascii="宋体" w:hAnsi="宋体" w:eastAsia="宋体"/>
                <w:color w:val="auto"/>
                <w:sz w:val="15"/>
                <w:szCs w:val="15"/>
                <w:highlight w:val="none"/>
                <w:lang w:eastAsia="zh-CN"/>
              </w:rPr>
            </w:pPr>
          </w:p>
          <w:p>
            <w:pPr>
              <w:pStyle w:val="9"/>
              <w:rPr>
                <w:rFonts w:hint="eastAsia"/>
                <w:color w:val="auto"/>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倾倒、丢弃、堆放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3" w:hRule="atLeast"/>
        </w:trPr>
        <w:tc>
          <w:tcPr>
            <w:tcW w:w="610" w:type="dxa"/>
            <w:vMerge w:val="restart"/>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随意倾倒、抛撒或者堆放生活垃圾</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违反条款：第四十九条第二款；处罚条款：第一百一十一条第一款第（一）项、第二款，责令改正，没收违法所得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或者垃圾占地面积</w:t>
            </w:r>
            <w:r>
              <w:rPr>
                <w:rFonts w:hint="eastAsia" w:ascii="宋体" w:hAnsi="宋体" w:eastAsia="宋体"/>
                <w:color w:val="auto"/>
                <w:sz w:val="15"/>
                <w:szCs w:val="15"/>
                <w:highlight w:val="none"/>
              </w:rPr>
              <w:t>6－10</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米及以上或者占地面积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8" w:hRule="atLeast"/>
        </w:trPr>
        <w:tc>
          <w:tcPr>
            <w:tcW w:w="610" w:type="dxa"/>
            <w:vMerge w:val="continue"/>
            <w:noWrap w:val="0"/>
            <w:vAlign w:val="center"/>
          </w:tcPr>
          <w:p>
            <w:pPr>
              <w:spacing w:line="190" w:lineRule="exact"/>
              <w:jc w:val="center"/>
              <w:rPr>
                <w:rFonts w:ascii="宋体" w:hAnsi="宋体" w:eastAsia="宋体" w:cs="宋体"/>
                <w:color w:val="auto"/>
                <w:sz w:val="15"/>
                <w:szCs w:val="15"/>
                <w:highlight w:val="none"/>
              </w:rPr>
            </w:pPr>
          </w:p>
        </w:tc>
        <w:tc>
          <w:tcPr>
            <w:tcW w:w="1830" w:type="dxa"/>
            <w:gridSpan w:val="3"/>
            <w:vMerge w:val="continue"/>
            <w:noWrap w:val="0"/>
            <w:vAlign w:val="center"/>
          </w:tcPr>
          <w:p>
            <w:pPr>
              <w:spacing w:line="190"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190" w:lineRule="exact"/>
              <w:rPr>
                <w:rFonts w:ascii="宋体" w:hAnsi="宋体" w:eastAsia="宋体" w:cs="宋体"/>
                <w:color w:val="auto"/>
                <w:sz w:val="15"/>
                <w:szCs w:val="15"/>
                <w:highlight w:val="none"/>
              </w:rPr>
            </w:pPr>
          </w:p>
        </w:tc>
        <w:tc>
          <w:tcPr>
            <w:tcW w:w="851"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top"/>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continue"/>
            <w:noWrap w:val="0"/>
            <w:vAlign w:val="center"/>
          </w:tcPr>
          <w:p>
            <w:pPr>
              <w:spacing w:line="190"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19" w:hRule="atLeast"/>
        </w:trPr>
        <w:tc>
          <w:tcPr>
            <w:tcW w:w="610" w:type="dxa"/>
            <w:noWrap w:val="0"/>
            <w:vAlign w:val="center"/>
          </w:tcPr>
          <w:p>
            <w:pPr>
              <w:spacing w:line="19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5</w:t>
            </w:r>
          </w:p>
        </w:tc>
        <w:tc>
          <w:tcPr>
            <w:tcW w:w="1830" w:type="dxa"/>
            <w:gridSpan w:val="3"/>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擅自关闭、闲置或者拆除生活垃圾处理设施、场所</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违反条款：第五十五条第三款；处罚条款：第一百一十一条第一款第（二）项、第二款，责令</w:t>
            </w:r>
            <w:r>
              <w:rPr>
                <w:rFonts w:ascii="宋体" w:hAnsi="宋体" w:eastAsia="宋体"/>
                <w:color w:val="auto"/>
                <w:sz w:val="15"/>
                <w:szCs w:val="15"/>
                <w:highlight w:val="none"/>
              </w:rPr>
              <w:t>改正，没收违法所得，</w:t>
            </w:r>
            <w:r>
              <w:rPr>
                <w:rFonts w:hint="eastAsia" w:ascii="宋体" w:hAnsi="宋体" w:eastAsia="宋体"/>
                <w:color w:val="auto"/>
                <w:sz w:val="15"/>
                <w:szCs w:val="15"/>
                <w:highlight w:val="none"/>
              </w:rPr>
              <w:t>对单位处十万元以上一百万元以下的罚款。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3-4。2.涉及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7</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strike w:val="0"/>
                <w:d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190"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190"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5" w:hRule="atLeast"/>
        </w:trPr>
        <w:tc>
          <w:tcPr>
            <w:tcW w:w="610"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工程施工单位未及时清运施工过程中产生的固体废物</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。2.逾期不清的，逾期达2天的，系数１；逾期达4天的，系数2；逾期达6天的，系数3；逾期达8天的，系数4；逾期达10天的，系数5；以此类推，逾期达18天及以上的，系数9。</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工程施工单位擅自倾倒、抛撒或者堆放工程施工过程中产生的建筑垃圾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违反条款：第六十三条第三款；处罚条款：第一百一十一条第一款第（四）项、第二款责令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或者建筑垃圾占地面积</w:t>
            </w:r>
            <w:r>
              <w:rPr>
                <w:rFonts w:hint="eastAsia" w:ascii="宋体" w:hAnsi="宋体" w:eastAsia="宋体"/>
                <w:b w:val="0"/>
                <w:bCs w:val="0"/>
                <w:color w:val="auto"/>
                <w:sz w:val="15"/>
                <w:szCs w:val="15"/>
                <w:highlight w:val="none"/>
              </w:rPr>
              <w:t>1—15</w:t>
            </w:r>
            <w:r>
              <w:rPr>
                <w:rFonts w:hint="eastAsia" w:ascii="宋体" w:hAnsi="宋体" w:eastAsia="宋体" w:cs="Batang"/>
                <w:b w:val="0"/>
                <w:bCs w:val="0"/>
                <w:color w:val="auto"/>
                <w:sz w:val="15"/>
                <w:szCs w:val="15"/>
                <w:highlight w:val="none"/>
              </w:rPr>
              <w:t>㎡</w:t>
            </w:r>
            <w:r>
              <w:rPr>
                <w:rFonts w:hint="eastAsia" w:ascii="宋体" w:hAnsi="宋体" w:eastAsia="宋体" w:cs="宋体"/>
                <w:color w:val="auto"/>
                <w:kern w:val="0"/>
                <w:sz w:val="15"/>
                <w:szCs w:val="15"/>
                <w:highlight w:val="none"/>
              </w:rPr>
              <w:t>的，系数1；31－40米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b w:val="0"/>
                <w:bCs w:val="0"/>
                <w:color w:val="auto"/>
                <w:sz w:val="15"/>
                <w:szCs w:val="15"/>
                <w:highlight w:val="none"/>
              </w:rPr>
              <w:t>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color w:val="auto"/>
                <w:kern w:val="0"/>
                <w:sz w:val="15"/>
                <w:szCs w:val="15"/>
                <w:highlight w:val="none"/>
              </w:rPr>
              <w:t>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及以上或者</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Batang"/>
                <w:b w:val="0"/>
                <w:bCs w:val="0"/>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s="宋体"/>
                <w:color w:val="auto"/>
                <w:kern w:val="0"/>
                <w:sz w:val="15"/>
                <w:szCs w:val="15"/>
                <w:highlight w:val="none"/>
              </w:rPr>
              <w:t>对环境造成较严重影响的，系数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4"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工程施工单位未按照规定对施工过程中产生的固体废物进行利用或者处置</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违反条款：第六十三条第二款；处罚条款：第一百一十一条第一款第（四）项、第二款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未按规定</w:t>
            </w:r>
            <w:r>
              <w:rPr>
                <w:rFonts w:ascii="宋体" w:hAnsi="宋体" w:eastAsia="宋体" w:cs="宋体"/>
                <w:color w:val="auto"/>
                <w:kern w:val="0"/>
                <w:sz w:val="15"/>
                <w:szCs w:val="15"/>
                <w:highlight w:val="none"/>
              </w:rPr>
              <w:t>利用或处置的固体废物</w:t>
            </w:r>
            <w:r>
              <w:rPr>
                <w:rFonts w:hint="eastAsia" w:ascii="宋体" w:hAnsi="宋体" w:eastAsia="宋体" w:cs="宋体"/>
                <w:color w:val="auto"/>
                <w:kern w:val="0"/>
                <w:sz w:val="15"/>
                <w:szCs w:val="15"/>
                <w:highlight w:val="none"/>
              </w:rPr>
              <w:t>占地面积10</w:t>
            </w:r>
            <w:r>
              <w:rPr>
                <w:rFonts w:hint="eastAsia" w:ascii="宋体" w:hAnsi="宋体" w:eastAsia="宋体" w:cs="Microsoft JhengHei"/>
                <w:color w:val="auto"/>
                <w:kern w:val="0"/>
                <w:sz w:val="15"/>
                <w:szCs w:val="15"/>
                <w:highlight w:val="none"/>
              </w:rPr>
              <w:t>㎡</w:t>
            </w:r>
            <w:r>
              <w:rPr>
                <w:rFonts w:hint="eastAsia" w:ascii="宋体" w:hAnsi="宋体" w:eastAsia="宋体" w:cs="仿宋_GB2312"/>
                <w:b w:val="0"/>
                <w:bCs w:val="0"/>
                <w:color w:val="auto"/>
                <w:kern w:val="0"/>
                <w:sz w:val="15"/>
                <w:szCs w:val="15"/>
                <w:highlight w:val="none"/>
              </w:rPr>
              <w:t>以下</w:t>
            </w:r>
            <w:r>
              <w:rPr>
                <w:rFonts w:hint="eastAsia" w:ascii="宋体" w:hAnsi="宋体" w:eastAsia="宋体" w:cs="仿宋_GB2312"/>
                <w:b w:val="0"/>
                <w:bCs w:val="0"/>
                <w:color w:val="auto"/>
                <w:kern w:val="0"/>
                <w:sz w:val="15"/>
                <w:szCs w:val="15"/>
                <w:highlight w:val="none"/>
                <w:lang w:eastAsia="zh-CN"/>
              </w:rPr>
              <w:t>或</w:t>
            </w:r>
            <w:r>
              <w:rPr>
                <w:rFonts w:hint="eastAsia" w:ascii="宋体" w:hAnsi="宋体" w:eastAsia="宋体" w:cs="宋体"/>
                <w:b w:val="0"/>
                <w:bCs w:val="0"/>
                <w:color w:val="auto"/>
                <w:sz w:val="15"/>
                <w:szCs w:val="15"/>
                <w:highlight w:val="none"/>
                <w:lang w:val="en-US" w:eastAsia="zh-CN"/>
              </w:rPr>
              <w:t>者运输垃圾5车次以下的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0；11－15</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rPr>
              <w:t>的</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5（含5次）-9车次</w:t>
            </w:r>
            <w:r>
              <w:rPr>
                <w:rFonts w:hint="eastAsia" w:ascii="宋体" w:hAnsi="宋体" w:eastAsia="宋体" w:cs="仿宋_GB2312"/>
                <w:b w:val="0"/>
                <w:bCs w:val="0"/>
                <w:color w:val="auto"/>
                <w:kern w:val="0"/>
                <w:sz w:val="15"/>
                <w:szCs w:val="15"/>
                <w:highlight w:val="none"/>
                <w:lang w:val="en-US" w:eastAsia="zh-CN"/>
              </w:rPr>
              <w:t>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1；16－20</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Microsoft JhengHei"/>
                <w:b w:val="0"/>
                <w:bCs w:val="0"/>
                <w:color w:val="auto"/>
                <w:kern w:val="0"/>
                <w:sz w:val="15"/>
                <w:szCs w:val="15"/>
                <w:highlight w:val="none"/>
                <w:lang w:eastAsia="zh-CN"/>
              </w:rPr>
              <w:t>或者</w:t>
            </w:r>
            <w:r>
              <w:rPr>
                <w:rFonts w:hint="eastAsia" w:ascii="宋体" w:hAnsi="宋体" w:eastAsia="宋体" w:cs="Microsoft JhengHei"/>
                <w:b w:val="0"/>
                <w:bCs w:val="0"/>
                <w:color w:val="auto"/>
                <w:kern w:val="0"/>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cs="Microsoft JhengHei"/>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rPr>
              <w:t>以此类推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b w:val="0"/>
                <w:bCs w:val="0"/>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2.未按规定进行利用或者处置固体废物数量较大的、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b/>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7" w:hRule="atLeast"/>
        </w:trPr>
        <w:tc>
          <w:tcPr>
            <w:tcW w:w="610" w:type="dxa"/>
            <w:vMerge w:val="restart"/>
            <w:noWrap w:val="0"/>
            <w:vAlign w:val="center"/>
          </w:tcPr>
          <w:p>
            <w:pPr>
              <w:spacing w:line="232" w:lineRule="exact"/>
              <w:jc w:val="center"/>
              <w:rPr>
                <w:rFonts w:ascii="宋体" w:hAnsi="宋体" w:eastAsia="宋体"/>
                <w:color w:val="auto"/>
                <w:kern w:val="0"/>
                <w:sz w:val="15"/>
                <w:szCs w:val="15"/>
                <w:highlight w:val="none"/>
              </w:rPr>
            </w:pPr>
            <w:r>
              <w:rPr>
                <w:rFonts w:hint="eastAsia" w:ascii="宋体" w:hAnsi="宋体" w:eastAsia="宋体"/>
                <w:color w:val="auto"/>
                <w:kern w:val="0"/>
                <w:sz w:val="15"/>
                <w:szCs w:val="15"/>
                <w:highlight w:val="none"/>
              </w:rPr>
              <w:t>9</w:t>
            </w:r>
          </w:p>
        </w:tc>
        <w:tc>
          <w:tcPr>
            <w:tcW w:w="1830" w:type="dxa"/>
            <w:gridSpan w:val="3"/>
            <w:vMerge w:val="restart"/>
            <w:noWrap w:val="0"/>
            <w:vAlign w:val="center"/>
          </w:tcPr>
          <w:p>
            <w:pPr>
              <w:spacing w:line="232" w:lineRule="exact"/>
              <w:jc w:val="left"/>
              <w:rPr>
                <w:rFonts w:ascii="宋体" w:hAnsi="宋体" w:eastAsia="宋体"/>
                <w:color w:val="auto"/>
                <w:kern w:val="0"/>
                <w:sz w:val="15"/>
                <w:szCs w:val="15"/>
                <w:highlight w:val="none"/>
              </w:rPr>
            </w:pPr>
            <w:r>
              <w:rPr>
                <w:rFonts w:hint="eastAsia" w:ascii="宋体" w:hAnsi="宋体" w:eastAsia="宋体"/>
                <w:color w:val="auto"/>
                <w:sz w:val="15"/>
                <w:szCs w:val="15"/>
                <w:highlight w:val="none"/>
              </w:rPr>
              <w:t>未将厨余垃圾交由具备相应资质条件的单位进行无害化处理</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违反条款：第五十七条第二款；处罚条款：第一百一十一条第一款第（五）项、第二款 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 xml:space="preserve"> 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val="en-US"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jc w:val="lef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eastAsia="宋体" w:cs="宋体"/>
                <w:color w:val="auto"/>
                <w:spacing w:val="-4"/>
                <w:kern w:val="0"/>
                <w:sz w:val="15"/>
                <w:szCs w:val="15"/>
                <w:highlight w:val="none"/>
                <w:lang w:val="en-US" w:eastAsia="zh-CN"/>
              </w:rPr>
              <w:t>2-4</w:t>
            </w:r>
            <w:r>
              <w:rPr>
                <w:rFonts w:hint="eastAsia" w:ascii="宋体" w:hAnsi="宋体" w:eastAsia="宋体" w:cs="宋体"/>
                <w:color w:val="auto"/>
                <w:spacing w:val="-4"/>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4。4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运输过程中沿途丢弃、遗撒生活垃圾</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违反条款：第二十条第一款；处罚条款：第一百一十一条第一款第（七）项、第二款，责令改正</w:t>
            </w:r>
            <w:r>
              <w:rPr>
                <w:rFonts w:ascii="宋体" w:hAnsi="宋体" w:eastAsia="宋体"/>
                <w:color w:val="auto"/>
                <w:sz w:val="15"/>
                <w:szCs w:val="15"/>
                <w:highlight w:val="none"/>
              </w:rPr>
              <w:t>，没收违法所得</w:t>
            </w:r>
            <w:r>
              <w:rPr>
                <w:rFonts w:hint="eastAsia" w:ascii="宋体" w:hAnsi="宋体" w:eastAsia="宋体"/>
                <w:color w:val="auto"/>
                <w:sz w:val="15"/>
                <w:szCs w:val="15"/>
                <w:highlight w:val="none"/>
              </w:rPr>
              <w:t>，对单位五万元以上五十万元以下的罚款；对个人处一百元以上五百元以下的罚款。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污染道路长21－30米的，系数1；31－40米的，系数2；41-50米的，系数3；51-60米的，系数4；61-70米的，系数5；以此类推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9" w:hRule="atLeast"/>
        </w:trPr>
        <w:tc>
          <w:tcPr>
            <w:tcW w:w="610" w:type="dxa"/>
            <w:vMerge w:val="continue"/>
            <w:noWrap w:val="0"/>
            <w:vAlign w:val="center"/>
          </w:tcPr>
          <w:p>
            <w:pPr>
              <w:spacing w:line="232" w:lineRule="exact"/>
              <w:jc w:val="center"/>
              <w:rPr>
                <w:rFonts w:ascii="宋体" w:hAnsi="宋体" w:eastAsia="宋体" w:cs="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jc w:val="center"/>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numPr>
                <w:ilvl w:val="0"/>
                <w:numId w:val="0"/>
              </w:numPr>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5"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19" w:name="_Toc1567388814"/>
            <w:bookmarkStart w:id="20" w:name="_Toc110851442"/>
            <w:bookmarkStart w:id="21" w:name="_Toc440937635"/>
            <w:r>
              <w:rPr>
                <w:rFonts w:hint="eastAsia" w:ascii="宋体" w:hAnsi="宋体" w:eastAsia="宋体"/>
                <w:color w:val="auto"/>
                <w:sz w:val="21"/>
                <w:szCs w:val="21"/>
                <w:highlight w:val="none"/>
              </w:rPr>
              <w:t>《北京市人民政府关于扫雪铲冰管理的规定》案由1项</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未按规定扫雪铲冰</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违反条款：第三条第一款、第二款；处罚条款：第六条，责令改正，并处200元以上1000元以下罚款。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9"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22" w:name="_Toc110851443"/>
            <w:bookmarkStart w:id="23" w:name="_Toc764526123"/>
            <w:bookmarkStart w:id="24" w:name="_Toc874209325"/>
            <w:r>
              <w:rPr>
                <w:rFonts w:hint="eastAsia" w:ascii="宋体" w:hAnsi="宋体" w:eastAsia="宋体"/>
                <w:color w:val="auto"/>
                <w:sz w:val="21"/>
                <w:szCs w:val="21"/>
                <w:highlight w:val="none"/>
              </w:rPr>
              <w:t>《北京市户外广告设施、牌匾标识和标语宣传品设置管理条例》案由14项</w:t>
            </w:r>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3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napToGrid w:val="0"/>
                <w:color w:val="auto"/>
                <w:kern w:val="32"/>
                <w:sz w:val="15"/>
                <w:szCs w:val="15"/>
                <w:highlight w:val="none"/>
              </w:rPr>
              <w:t>违法设置户外广告设施</w:t>
            </w:r>
          </w:p>
        </w:tc>
        <w:tc>
          <w:tcPr>
            <w:tcW w:w="2789" w:type="dxa"/>
            <w:gridSpan w:val="2"/>
            <w:noWrap w:val="0"/>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违反条款：第十五条；第十六条第一款；第十七条；第十八条第三款；第二十四条；第二十五条；</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　</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宋体" w:hAnsi="宋体" w:eastAsia="宋体"/>
                <w:strike/>
                <w:dstrike w:val="0"/>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为违法设置的户外广告设施提供载体</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w:t>
            </w:r>
            <w:r>
              <w:rPr>
                <w:rFonts w:ascii="宋体" w:hAnsi="宋体" w:eastAsia="宋体"/>
                <w:color w:val="auto"/>
                <w:sz w:val="15"/>
                <w:szCs w:val="15"/>
                <w:highlight w:val="none"/>
              </w:rPr>
              <w:t>十八条第二款</w:t>
            </w:r>
            <w:r>
              <w:rPr>
                <w:rFonts w:hint="eastAsia"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第四十九条第二款，</w:t>
            </w:r>
            <w:r>
              <w:rPr>
                <w:rFonts w:hint="eastAsia" w:ascii="宋体" w:hAnsi="宋体" w:eastAsia="宋体"/>
                <w:color w:val="auto"/>
                <w:sz w:val="15"/>
                <w:szCs w:val="15"/>
                <w:highlight w:val="none"/>
              </w:rPr>
              <w:t>责令限期改正；逾期不改正的，处一万元以上十万元以下罚款。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1.违法设置大型户外广告设施的，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2；2.违法设置距地十米以上的户外广告设施的，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3.为2处违法设置户外广告设施提供载体的，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5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违法设置固定式牌匾标识</w:t>
            </w:r>
          </w:p>
          <w:p>
            <w:pPr>
              <w:spacing w:line="232" w:lineRule="exact"/>
              <w:rPr>
                <w:rFonts w:ascii="宋体" w:hAnsi="宋体" w:eastAsia="宋体" w:cs="宋体"/>
                <w:color w:val="auto"/>
                <w:kern w:val="0"/>
                <w:sz w:val="15"/>
                <w:szCs w:val="15"/>
                <w:highlight w:val="none"/>
              </w:rPr>
            </w:pPr>
          </w:p>
        </w:tc>
        <w:tc>
          <w:tcPr>
            <w:tcW w:w="2789" w:type="dxa"/>
            <w:gridSpan w:val="2"/>
            <w:noWrap w:val="0"/>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违反条款：第三十条；第三十一条；第三十五条第二款；</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1.违法设置大型固定式牌匾标识的，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2；2.违法设置距地十米以上的固定式牌匾标识的，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ascii="宋体" w:hAnsi="宋体" w:eastAsia="宋体" w:cs="Times New Roman"/>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电子显示装置不符合设置规范（或者运行时间要求）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处罚条款：第五十条，责令限期改正；逾期不改正的，处一千元以上一万元以下罚款。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2.距地十米以上的电子显示装置，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未按照公共汽电车车身户外广告设置方案设置户外广告</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处罚条款：第五十一条，责令限期改正；逾期不改正的，按照每辆车五千元处以罚款。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8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在非公共汽电车车身上设置广告</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w:t>
            </w:r>
          </w:p>
          <w:p>
            <w:pPr>
              <w:spacing w:line="232" w:lineRule="exact"/>
              <w:rPr>
                <w:rFonts w:ascii="宋体" w:hAnsi="宋体" w:eastAsia="宋体"/>
                <w:color w:val="auto"/>
                <w:spacing w:val="-6"/>
                <w:sz w:val="15"/>
                <w:szCs w:val="15"/>
                <w:highlight w:val="none"/>
              </w:rPr>
            </w:pPr>
            <w:r>
              <w:rPr>
                <w:rFonts w:hint="eastAsia" w:ascii="宋体" w:hAnsi="宋体" w:eastAsia="宋体"/>
                <w:color w:val="auto"/>
                <w:spacing w:val="-6"/>
                <w:sz w:val="15"/>
                <w:szCs w:val="15"/>
                <w:highlight w:val="none"/>
              </w:rPr>
              <w:t>处罚条款：第五十一条，责令限期改正；逾期不改正的，按照每辆车五千元处以罚款。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公交候车亭户外广告设施不符合设置方案</w:t>
            </w:r>
          </w:p>
          <w:p>
            <w:pPr>
              <w:spacing w:line="232" w:lineRule="exact"/>
              <w:rPr>
                <w:rFonts w:ascii="宋体" w:hAnsi="宋体" w:eastAsia="宋体" w:cs="宋体"/>
                <w:color w:val="auto"/>
                <w:kern w:val="0"/>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违反条款：第二十七条第二款。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处罚条款：第五十二条，责令限期改正；逾期不改正的，按照每个公交候车亭五千元处以罚款。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罚款数额＝5000×N（N为公交候车亭数）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设置的车身标识不符合要求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处罚条款：第五十三条，责令限期改正；逾期不改正的，按照每辆车二千元处以罚款。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罚款数额＝2000×N（N为车辆数）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未经许可设置标语宣传品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设置标语宣传品不符合相关要求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违反条款：第三十七条、第三十八条、第三十九条；（根据不同情形选择适用）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1.设置2个不符合要求标语宣传品的，</w:t>
            </w:r>
            <w:r>
              <w:rPr>
                <w:rFonts w:hint="eastAsia" w:ascii="宋体" w:hAnsi="宋体" w:eastAsia="宋体"/>
                <w:strike w:val="0"/>
                <w:dstrike w:val="0"/>
                <w:color w:val="auto"/>
                <w:sz w:val="15"/>
                <w:szCs w:val="15"/>
                <w:highlight w:val="none"/>
                <w:lang w:eastAsia="zh-CN"/>
              </w:rPr>
              <w:t>系数</w:t>
            </w:r>
            <w:r>
              <w:rPr>
                <w:rFonts w:hint="eastAsia" w:ascii="宋体" w:hAnsi="宋体" w:eastAsia="宋体"/>
                <w:strike w:val="0"/>
                <w:dstrike w:val="0"/>
                <w:color w:val="auto"/>
                <w:sz w:val="15"/>
                <w:szCs w:val="15"/>
                <w:highlight w:val="none"/>
              </w:rPr>
              <w:t>2，以此类推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9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所有人未履行安全管理责任</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eastAsia="宋体"/>
                <w:color w:val="auto"/>
                <w:highlight w:val="none"/>
                <w:lang w:val="en-US"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4.其他存在严重安全隐患或者造成安全事故的，系数9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未定期对大型（或者距地十米以上的）户外广告设施进行安全鉴定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处罚条款：第五十五条第二款，责令限期改正；逾期不改正的，按照违法设置户外广告设施的行为处理，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《北京市市容环境卫生条例》第三十八条第二款，责令限期拆除，逾期未拆除的，强制拆除，并可处1万元以上10万元以下罚款。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2；2.因未安全鉴定引发户外广告设施掉落等行为影响公共安全的，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实施处罚援引法律依据时，应当同时援引《条例》第五十五条第二款，以及《北京市市容环境卫生条例》第三十八条第二款规定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未定期对大型（或者距地十米以上的）固定式牌匾标识进行安全鉴定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处罚条款：第五十五条第二款，责令限期改正；逾期不改正的，按照违法设置固定式牌匾标识的行为处理，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《北京市市容环境卫生条例》第三十九条第一款，责令限期改正，逾期不改正的，予以强制拆除，并可处500元以上5000元以下罚款。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2；2.因未安全鉴定引发牌匾标识掉落等行为影响公共安全的，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实施处罚援引法律依据时，应当同时援引《条例》第五十五条第二款，以及《北京市市容环境卫生条例》第三十九条第一款规定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所有人未履行日常维护责任</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2"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25" w:name="_Toc1453447809"/>
            <w:bookmarkStart w:id="26" w:name="_Toc295250662"/>
            <w:bookmarkStart w:id="27" w:name="_Toc110851445"/>
            <w:r>
              <w:rPr>
                <w:rFonts w:hint="eastAsia" w:ascii="宋体" w:hAnsi="宋体" w:eastAsia="宋体"/>
                <w:color w:val="auto"/>
                <w:sz w:val="21"/>
                <w:szCs w:val="21"/>
                <w:highlight w:val="none"/>
              </w:rPr>
              <w:t>《北京市标语宣传品设置管理规定》案由6项</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标语宣传品含有商业广告内容</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改变固定宣传设施的使用性质用于商业广告</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未经批准设置标语宣传品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5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未按批准要求设置标语宣传品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1.设置2个不符合要求标语宣传品的，系数2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3个的，系数3；4个的，系数4；5个的，系数5；</w:t>
            </w:r>
            <w:r>
              <w:rPr>
                <w:rFonts w:hint="eastAsia" w:ascii="宋体" w:hAnsi="宋体" w:eastAsia="宋体"/>
                <w:color w:val="auto"/>
                <w:sz w:val="15"/>
                <w:szCs w:val="15"/>
                <w:highlight w:val="none"/>
              </w:rPr>
              <w:t>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未按规定管护宣传设施或者标语宣传品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车站、机场、居民小区、医院、学校、体育场馆、影剧院、繁华商业街区、旅游景区等人口集中地区的固定宣传设施不安全不牢固的，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5；上述区域污损、残缺的，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未及时撤除标语宣传品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7"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28" w:name="_Toc110851446"/>
            <w:bookmarkStart w:id="29" w:name="_Toc2072230684"/>
            <w:bookmarkStart w:id="30" w:name="_Toc1706877545"/>
            <w:r>
              <w:rPr>
                <w:rFonts w:hint="eastAsia" w:ascii="宋体" w:hAnsi="宋体" w:eastAsia="宋体"/>
                <w:color w:val="auto"/>
                <w:sz w:val="21"/>
                <w:szCs w:val="21"/>
                <w:highlight w:val="none"/>
              </w:rPr>
              <w:t>《北京市城市道路和公共场所环境卫生管理若干规定》案由7项</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未按规定清扫保洁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根据实际情况，选择对应款项。</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不及时清理果皮箱、垃圾箱</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未保持果皮箱、垃圾箱箱体整洁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果皮箱、垃圾箱周围严重脏乱</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公共设施管护作业（绿化作业）未按规定清除废弃物</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违反条款：第七条第二款；处罚条款：第十条第（三）项，责令限期清理，并可处500元以上5000元以下罚款。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4" w:hRule="atLeast"/>
        </w:trPr>
        <w:tc>
          <w:tcPr>
            <w:tcW w:w="61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未做好施工期间压尘和清扫保洁</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；41-55㎡的，系数3；56-70㎡的，系数4；71-85㎡的，系数5；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60" w:hRule="atLeast"/>
        </w:trPr>
        <w:tc>
          <w:tcPr>
            <w:tcW w:w="61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建设工程竣工后未及时清除弃物弃料、围挡</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经责令改正</w:t>
            </w:r>
            <w:r>
              <w:rPr>
                <w:rFonts w:hint="eastAsia" w:ascii="宋体" w:hAnsi="宋体" w:eastAsia="宋体" w:cs="宋体"/>
                <w:color w:val="auto"/>
                <w:kern w:val="0"/>
                <w:sz w:val="15"/>
                <w:szCs w:val="15"/>
                <w:highlight w:val="none"/>
              </w:rPr>
              <w:t>逾期不清除</w:t>
            </w:r>
            <w:r>
              <w:rPr>
                <w:rFonts w:hint="eastAsia" w:ascii="宋体" w:hAnsi="宋体" w:eastAsia="宋体" w:cs="宋体"/>
                <w:color w:val="auto"/>
                <w:kern w:val="0"/>
                <w:sz w:val="15"/>
                <w:szCs w:val="15"/>
                <w:highlight w:val="none"/>
                <w:lang w:eastAsia="zh-CN"/>
              </w:rPr>
              <w:t>围挡</w:t>
            </w:r>
            <w:r>
              <w:rPr>
                <w:rFonts w:hint="eastAsia" w:ascii="宋体" w:hAnsi="宋体" w:eastAsia="宋体" w:cs="宋体"/>
                <w:color w:val="auto"/>
                <w:kern w:val="0"/>
                <w:sz w:val="15"/>
                <w:szCs w:val="15"/>
                <w:highlight w:val="none"/>
              </w:rPr>
              <w:t>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5" w:hRule="atLeast"/>
        </w:trPr>
        <w:tc>
          <w:tcPr>
            <w:tcW w:w="15100" w:type="dxa"/>
            <w:gridSpan w:val="15"/>
            <w:noWrap w:val="0"/>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1"/>
                <w:rFonts w:ascii="宋体" w:hAnsi="宋体" w:eastAsia="宋体"/>
                <w:color w:val="auto"/>
                <w:sz w:val="15"/>
                <w:szCs w:val="15"/>
                <w:highlight w:val="none"/>
              </w:rPr>
            </w:pPr>
            <w:bookmarkStart w:id="31" w:name="_Toc110851447"/>
            <w:bookmarkStart w:id="32" w:name="_Toc660874911"/>
            <w:bookmarkStart w:id="33" w:name="_Toc243111291"/>
            <w:r>
              <w:rPr>
                <w:rStyle w:val="31"/>
                <w:rFonts w:hint="eastAsia" w:ascii="宋体" w:hAnsi="宋体" w:eastAsia="宋体"/>
                <w:color w:val="auto"/>
                <w:sz w:val="21"/>
                <w:szCs w:val="21"/>
                <w:highlight w:val="none"/>
              </w:rPr>
              <w:t>《北京市建筑</w:t>
            </w:r>
            <w:r>
              <w:rPr>
                <w:rStyle w:val="31"/>
                <w:rFonts w:ascii="宋体" w:hAnsi="宋体" w:eastAsia="宋体"/>
                <w:color w:val="auto"/>
                <w:sz w:val="21"/>
                <w:szCs w:val="21"/>
                <w:highlight w:val="none"/>
              </w:rPr>
              <w:t>垃圾处置管理规定</w:t>
            </w:r>
            <w:r>
              <w:rPr>
                <w:rStyle w:val="31"/>
                <w:rFonts w:hint="eastAsia" w:ascii="宋体" w:hAnsi="宋体" w:eastAsia="宋体"/>
                <w:color w:val="auto"/>
                <w:sz w:val="21"/>
                <w:szCs w:val="21"/>
                <w:highlight w:val="none"/>
              </w:rPr>
              <w:t>》案由</w:t>
            </w:r>
            <w:r>
              <w:rPr>
                <w:rStyle w:val="31"/>
                <w:rFonts w:ascii="宋体" w:hAnsi="宋体" w:eastAsia="宋体"/>
                <w:color w:val="auto"/>
                <w:sz w:val="21"/>
                <w:szCs w:val="21"/>
                <w:highlight w:val="none"/>
              </w:rPr>
              <w:t>24</w:t>
            </w:r>
            <w:r>
              <w:rPr>
                <w:rStyle w:val="31"/>
                <w:rFonts w:hint="eastAsia" w:ascii="宋体" w:hAnsi="宋体" w:eastAsia="宋体"/>
                <w:color w:val="auto"/>
                <w:sz w:val="21"/>
                <w:szCs w:val="21"/>
                <w:highlight w:val="none"/>
              </w:rPr>
              <w:t>项</w:t>
            </w:r>
            <w:bookmarkEnd w:id="31"/>
          </w:p>
          <w:bookmarkEnd w:id="32"/>
          <w:bookmarkEnd w:id="33"/>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restart"/>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5-6</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Merge w:val="restart"/>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b/>
                <w:bCs/>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98" w:hRule="atLeast"/>
        </w:trPr>
        <w:tc>
          <w:tcPr>
            <w:tcW w:w="610" w:type="dxa"/>
            <w:vMerge w:val="continue"/>
            <w:noWrap w:val="0"/>
            <w:vAlign w:val="center"/>
          </w:tcPr>
          <w:p>
            <w:pPr>
              <w:spacing w:line="180"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 xml:space="preserve">5-6 </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Merge w:val="continue"/>
            <w:noWrap w:val="0"/>
            <w:vAlign w:val="center"/>
          </w:tcPr>
          <w:p>
            <w:pPr>
              <w:spacing w:line="204"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45" w:hRule="atLeast"/>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c>
          <w:tcPr>
            <w:tcW w:w="897" w:type="dxa"/>
            <w:gridSpan w:val="2"/>
            <w:vMerge w:val="continue"/>
            <w:noWrap w:val="0"/>
            <w:vAlign w:val="center"/>
          </w:tcPr>
          <w:p>
            <w:pPr>
              <w:spacing w:line="204"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04"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建筑垃圾与其他</w:t>
            </w:r>
            <w:r>
              <w:rPr>
                <w:rFonts w:ascii="宋体" w:hAnsi="宋体" w:eastAsia="宋体"/>
                <w:color w:val="auto"/>
                <w:sz w:val="15"/>
                <w:szCs w:val="15"/>
                <w:highlight w:val="none"/>
              </w:rPr>
              <w:t>生活垃圾</w:t>
            </w:r>
            <w:r>
              <w:rPr>
                <w:rFonts w:hint="eastAsia" w:ascii="宋体" w:hAnsi="宋体" w:eastAsia="宋体"/>
                <w:color w:val="auto"/>
                <w:sz w:val="15"/>
                <w:szCs w:val="15"/>
                <w:highlight w:val="none"/>
              </w:rPr>
              <w:t>、</w:t>
            </w:r>
            <w:r>
              <w:rPr>
                <w:rFonts w:ascii="宋体" w:hAnsi="宋体" w:eastAsia="宋体"/>
                <w:color w:val="auto"/>
                <w:sz w:val="15"/>
                <w:szCs w:val="15"/>
                <w:highlight w:val="none"/>
              </w:rPr>
              <w:t>危险</w:t>
            </w:r>
            <w:r>
              <w:rPr>
                <w:rFonts w:hint="eastAsia" w:ascii="宋体" w:hAnsi="宋体" w:eastAsia="宋体"/>
                <w:color w:val="auto"/>
                <w:sz w:val="15"/>
                <w:szCs w:val="15"/>
                <w:highlight w:val="none"/>
              </w:rPr>
              <w:t>废物</w:t>
            </w:r>
            <w:r>
              <w:rPr>
                <w:rFonts w:ascii="宋体" w:hAnsi="宋体" w:eastAsia="宋体"/>
                <w:color w:val="auto"/>
                <w:sz w:val="15"/>
                <w:szCs w:val="15"/>
                <w:highlight w:val="none"/>
              </w:rPr>
              <w:t>混合</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第六条第二款；</w:t>
            </w:r>
            <w:r>
              <w:rPr>
                <w:rFonts w:ascii="宋体" w:hAnsi="宋体" w:eastAsia="宋体"/>
                <w:color w:val="auto"/>
                <w:sz w:val="15"/>
                <w:szCs w:val="15"/>
                <w:highlight w:val="none"/>
              </w:rPr>
              <w:br w:type="textWrapping"/>
            </w: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w:t>
            </w:r>
            <w:r>
              <w:rPr>
                <w:rFonts w:ascii="宋体" w:hAnsi="宋体" w:eastAsia="宋体"/>
                <w:color w:val="auto"/>
                <w:sz w:val="15"/>
                <w:szCs w:val="15"/>
                <w:highlight w:val="none"/>
              </w:rPr>
              <w:t>四条第三款</w:t>
            </w:r>
            <w:r>
              <w:rPr>
                <w:rFonts w:hint="eastAsia" w:ascii="宋体" w:hAnsi="宋体" w:eastAsia="宋体"/>
                <w:color w:val="auto"/>
                <w:sz w:val="15"/>
                <w:szCs w:val="15"/>
                <w:highlight w:val="none"/>
              </w:rPr>
              <w:t xml:space="preserve"> 责令立即改正，处1000元罚款；再次违反规定的，处1万元以上5万元以下罚款。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（单位初次</w:t>
            </w:r>
            <w:r>
              <w:rPr>
                <w:rFonts w:ascii="宋体" w:hAnsi="宋体" w:eastAsia="宋体"/>
                <w:color w:val="auto"/>
                <w:sz w:val="15"/>
                <w:szCs w:val="15"/>
                <w:highlight w:val="none"/>
              </w:rPr>
              <w:t>违反</w:t>
            </w:r>
            <w:r>
              <w:rPr>
                <w:rFonts w:hint="eastAsia" w:ascii="宋体" w:hAnsi="宋体" w:eastAsia="宋体"/>
                <w:color w:val="auto"/>
                <w:sz w:val="15"/>
                <w:szCs w:val="15"/>
                <w:highlight w:val="none"/>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w:t>
            </w:r>
            <w:r>
              <w:rPr>
                <w:rFonts w:ascii="宋体" w:hAnsi="宋体" w:eastAsia="宋体"/>
                <w:color w:val="auto"/>
                <w:sz w:val="15"/>
                <w:szCs w:val="15"/>
                <w:highlight w:val="none"/>
              </w:rPr>
              <w:t>规定执行</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3" w:hRule="atLeast"/>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（单位</w:t>
            </w:r>
            <w:r>
              <w:rPr>
                <w:rFonts w:ascii="宋体" w:hAnsi="宋体" w:eastAsia="宋体"/>
                <w:color w:val="auto"/>
                <w:sz w:val="15"/>
                <w:szCs w:val="15"/>
                <w:highlight w:val="none"/>
              </w:rPr>
              <w:t>再次违反）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.建筑垃圾混合危险废物的，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.建筑垃圾同时混合生活垃圾、危险废物，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违法事件持续较长，建筑垃圾与其他生活垃圾、危险废物混合产生量较大，造成环境秩序较严重影响的，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曾因此违法行为受到过行政处罚，再次违反的适用此情形。</w:t>
            </w:r>
          </w:p>
        </w:tc>
        <w:tc>
          <w:tcPr>
            <w:tcW w:w="897" w:type="dxa"/>
            <w:gridSpan w:val="2"/>
            <w:vMerge w:val="restart"/>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1" w:hRule="atLeast"/>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处罚条款：第三十四条第四款 给予书面警告，再次违反规定的，处50元以上200元以下罚款。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ascii="宋体" w:hAnsi="宋体" w:eastAsia="宋体"/>
                <w:color w:val="auto"/>
                <w:sz w:val="15"/>
                <w:szCs w:val="15"/>
                <w:highlight w:val="none"/>
              </w:rPr>
              <w:t>（</w:t>
            </w:r>
            <w:r>
              <w:rPr>
                <w:rFonts w:hint="eastAsia" w:ascii="宋体" w:hAnsi="宋体" w:eastAsia="宋体"/>
                <w:color w:val="auto"/>
                <w:sz w:val="15"/>
                <w:szCs w:val="15"/>
                <w:highlight w:val="none"/>
              </w:rPr>
              <w:t>个人初次</w:t>
            </w:r>
            <w:r>
              <w:rPr>
                <w:rFonts w:ascii="宋体" w:hAnsi="宋体" w:eastAsia="宋体"/>
                <w:color w:val="auto"/>
                <w:sz w:val="15"/>
                <w:szCs w:val="15"/>
                <w:highlight w:val="none"/>
              </w:rPr>
              <w:t>违反）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个人拒不听从生活垃圾分类管理责任人劝阻，且拒不改正的，适用此情形。初次违反的，书面警告。</w:t>
            </w:r>
          </w:p>
        </w:tc>
        <w:tc>
          <w:tcPr>
            <w:tcW w:w="897" w:type="dxa"/>
            <w:gridSpan w:val="2"/>
            <w:vMerge w:val="continue"/>
            <w:noWrap w:val="0"/>
            <w:vAlign w:val="center"/>
          </w:tcPr>
          <w:p>
            <w:pPr>
              <w:spacing w:line="204"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r>
              <w:rPr>
                <w:rFonts w:ascii="宋体" w:hAnsi="宋体" w:eastAsia="宋体"/>
                <w:color w:val="auto"/>
                <w:sz w:val="15"/>
                <w:szCs w:val="15"/>
                <w:highlight w:val="none"/>
              </w:rPr>
              <w:t>再次违反</w:t>
            </w:r>
            <w:r>
              <w:rPr>
                <w:rFonts w:hint="eastAsia" w:ascii="宋体" w:hAnsi="宋体" w:eastAsia="宋体"/>
                <w:color w:val="auto"/>
                <w:sz w:val="15"/>
                <w:szCs w:val="15"/>
                <w:highlight w:val="none"/>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2.曾因此违法行为受到过行政处罚，再次违反的适用此情形。</w:t>
            </w:r>
          </w:p>
        </w:tc>
        <w:tc>
          <w:tcPr>
            <w:tcW w:w="897" w:type="dxa"/>
            <w:gridSpan w:val="2"/>
            <w:vMerge w:val="continue"/>
            <w:noWrap w:val="0"/>
            <w:vAlign w:val="center"/>
          </w:tcPr>
          <w:p>
            <w:pPr>
              <w:spacing w:line="204"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生活垃</w:t>
            </w:r>
            <w:r>
              <w:rPr>
                <w:rFonts w:hint="eastAsia" w:ascii="宋体" w:hAnsi="宋体" w:eastAsia="宋体"/>
                <w:color w:val="auto"/>
                <w:sz w:val="15"/>
                <w:szCs w:val="15"/>
                <w:highlight w:val="none"/>
                <w:shd w:val="clear" w:color="auto" w:fill="auto"/>
              </w:rPr>
              <w:t>圾</w:t>
            </w:r>
            <w:r>
              <w:rPr>
                <w:rFonts w:ascii="宋体" w:hAnsi="宋体" w:eastAsia="宋体"/>
                <w:color w:val="auto"/>
                <w:sz w:val="15"/>
                <w:szCs w:val="15"/>
                <w:highlight w:val="none"/>
                <w:shd w:val="clear" w:color="auto" w:fill="auto"/>
              </w:rPr>
              <w:t>分类管理</w:t>
            </w:r>
            <w:r>
              <w:rPr>
                <w:rFonts w:hint="eastAsia" w:ascii="宋体" w:hAnsi="宋体" w:eastAsia="宋体"/>
                <w:color w:val="auto"/>
                <w:sz w:val="15"/>
                <w:szCs w:val="15"/>
                <w:highlight w:val="none"/>
                <w:shd w:val="clear" w:color="auto" w:fill="auto"/>
                <w:lang w:eastAsia="zh-CN"/>
              </w:rPr>
              <w:t>责任</w:t>
            </w:r>
            <w:r>
              <w:rPr>
                <w:rFonts w:ascii="宋体" w:hAnsi="宋体" w:eastAsia="宋体"/>
                <w:color w:val="auto"/>
                <w:sz w:val="15"/>
                <w:szCs w:val="15"/>
                <w:highlight w:val="none"/>
                <w:shd w:val="clear" w:color="auto" w:fill="auto"/>
              </w:rPr>
              <w:t>人</w:t>
            </w:r>
            <w:r>
              <w:rPr>
                <w:rFonts w:hint="eastAsia" w:ascii="宋体" w:hAnsi="宋体" w:eastAsia="宋体"/>
                <w:color w:val="auto"/>
                <w:sz w:val="15"/>
                <w:szCs w:val="15"/>
                <w:highlight w:val="none"/>
                <w:shd w:val="clear" w:color="auto" w:fill="auto"/>
              </w:rPr>
              <w:t>对居民装</w:t>
            </w:r>
            <w:r>
              <w:rPr>
                <w:rFonts w:hint="eastAsia" w:ascii="宋体" w:hAnsi="宋体" w:eastAsia="宋体"/>
                <w:color w:val="auto"/>
                <w:sz w:val="15"/>
                <w:szCs w:val="15"/>
                <w:highlight w:val="none"/>
              </w:rPr>
              <w:t>饰装修产生的建筑垃圾未制定治理方案</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第三十五条 责令立即改正，处3000元以上3万元以下罚款。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3000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b w:val="0"/>
                <w:bCs w:val="0"/>
                <w:color w:val="auto"/>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违规运输处置垃圾2车次及以上的，系数1；4车次及以上的，系数3；6车次及以上的，系数5；8车次及以上的，系数7；10车次及以上的，系数9</w:t>
            </w:r>
            <w:r>
              <w:rPr>
                <w:rFonts w:hint="eastAsia" w:ascii="宋体" w:hAnsi="宋体" w:cs="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w:t>
            </w:r>
            <w:r>
              <w:rPr>
                <w:rFonts w:ascii="宋体" w:hAnsi="宋体" w:eastAsia="宋体"/>
                <w:b w:val="0"/>
                <w:bCs w:val="0"/>
                <w:color w:val="auto"/>
                <w:sz w:val="15"/>
                <w:szCs w:val="15"/>
                <w:highlight w:val="none"/>
              </w:rPr>
              <w:t>对环境造成影响的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6-9。</w:t>
            </w:r>
            <w:r>
              <w:rPr>
                <w:rFonts w:hint="eastAsia" w:ascii="宋体" w:hAnsi="宋体" w:cs="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30</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widowControl w:val="0"/>
              <w:numPr>
                <w:ilvl w:val="0"/>
                <w:numId w:val="0"/>
              </w:numPr>
              <w:jc w:val="both"/>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96"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生活</w:t>
            </w:r>
            <w:r>
              <w:rPr>
                <w:rFonts w:ascii="宋体" w:hAnsi="宋体" w:eastAsia="宋体"/>
                <w:color w:val="auto"/>
                <w:sz w:val="15"/>
                <w:szCs w:val="15"/>
                <w:highlight w:val="none"/>
              </w:rPr>
              <w:t>垃圾分类管理责任人</w:t>
            </w:r>
            <w:r>
              <w:rPr>
                <w:rFonts w:hint="eastAsia" w:ascii="宋体" w:hAnsi="宋体" w:eastAsia="宋体"/>
                <w:color w:val="auto"/>
                <w:sz w:val="15"/>
                <w:szCs w:val="15"/>
                <w:highlight w:val="none"/>
              </w:rPr>
              <w:t>未明确建筑垃圾投放规范、时间和地点、监督投诉方式等事项</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处罚条款：第三十五条 责令立即改正，处3000元以上3万元以下罚款。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3000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b w:val="0"/>
                <w:bCs w:val="0"/>
                <w:color w:val="auto"/>
                <w:sz w:val="15"/>
                <w:szCs w:val="15"/>
                <w:highlight w:val="none"/>
                <w:lang w:eastAsia="zh-CN"/>
              </w:rPr>
            </w:pPr>
            <w:r>
              <w:rPr>
                <w:rFonts w:hint="eastAsia" w:ascii="宋体" w:hAnsi="宋体" w:eastAsia="宋体"/>
                <w:b w:val="0"/>
                <w:bCs w:val="0"/>
                <w:color w:val="auto"/>
                <w:sz w:val="15"/>
                <w:szCs w:val="15"/>
                <w:highlight w:val="none"/>
              </w:rPr>
              <w:t>1.有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，但明确</w:t>
            </w:r>
            <w:r>
              <w:rPr>
                <w:rFonts w:ascii="宋体" w:hAnsi="宋体" w:eastAsia="宋体"/>
                <w:b w:val="0"/>
                <w:bCs w:val="0"/>
                <w:color w:val="auto"/>
                <w:sz w:val="15"/>
                <w:szCs w:val="15"/>
                <w:highlight w:val="none"/>
              </w:rPr>
              <w:t>事项造成缺项，</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rPr>
              <w:t>；2.有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明确</w:t>
            </w:r>
            <w:r>
              <w:rPr>
                <w:rFonts w:ascii="宋体" w:hAnsi="宋体" w:eastAsia="宋体"/>
                <w:b w:val="0"/>
                <w:bCs w:val="0"/>
                <w:color w:val="auto"/>
                <w:sz w:val="15"/>
                <w:szCs w:val="15"/>
                <w:highlight w:val="none"/>
              </w:rPr>
              <w:t>事项造成缺项，且对环境</w:t>
            </w:r>
            <w:r>
              <w:rPr>
                <w:rFonts w:hint="eastAsia" w:ascii="宋体" w:hAnsi="宋体" w:eastAsia="宋体"/>
                <w:b w:val="0"/>
                <w:bCs w:val="0"/>
                <w:color w:val="auto"/>
                <w:sz w:val="15"/>
                <w:szCs w:val="15"/>
                <w:highlight w:val="none"/>
              </w:rPr>
              <w:t>秩序</w:t>
            </w:r>
            <w:r>
              <w:rPr>
                <w:rFonts w:ascii="宋体" w:hAnsi="宋体" w:eastAsia="宋体"/>
                <w:b w:val="0"/>
                <w:bCs w:val="0"/>
                <w:color w:val="auto"/>
                <w:sz w:val="15"/>
                <w:szCs w:val="15"/>
                <w:highlight w:val="none"/>
              </w:rPr>
              <w:t>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3</w:t>
            </w:r>
            <w:r>
              <w:rPr>
                <w:rFonts w:ascii="宋体" w:hAnsi="宋体" w:eastAsia="宋体"/>
                <w:b w:val="0"/>
                <w:bCs w:val="0"/>
                <w:color w:val="auto"/>
                <w:sz w:val="15"/>
                <w:szCs w:val="15"/>
                <w:highlight w:val="none"/>
              </w:rPr>
              <w:t>-4</w:t>
            </w:r>
            <w:r>
              <w:rPr>
                <w:rFonts w:hint="eastAsia" w:ascii="宋体" w:hAnsi="宋体" w:eastAsia="宋体"/>
                <w:b w:val="0"/>
                <w:bCs w:val="0"/>
                <w:color w:val="auto"/>
                <w:sz w:val="15"/>
                <w:szCs w:val="15"/>
                <w:highlight w:val="none"/>
              </w:rPr>
              <w:t>；3.要素</w:t>
            </w:r>
            <w:r>
              <w:rPr>
                <w:rFonts w:ascii="宋体" w:hAnsi="宋体" w:eastAsia="宋体"/>
                <w:b w:val="0"/>
                <w:bCs w:val="0"/>
                <w:color w:val="auto"/>
                <w:sz w:val="15"/>
                <w:szCs w:val="15"/>
                <w:highlight w:val="none"/>
              </w:rPr>
              <w:t>全部缺失</w:t>
            </w:r>
            <w:r>
              <w:rPr>
                <w:rFonts w:hint="eastAsia" w:ascii="宋体" w:hAnsi="宋体" w:eastAsia="宋体"/>
                <w:b w:val="0"/>
                <w:bCs w:val="0"/>
                <w:color w:val="auto"/>
                <w:sz w:val="15"/>
                <w:szCs w:val="15"/>
                <w:highlight w:val="none"/>
              </w:rPr>
              <w:t>，</w:t>
            </w:r>
            <w:r>
              <w:rPr>
                <w:rFonts w:ascii="宋体" w:hAnsi="宋体" w:eastAsia="宋体"/>
                <w:b w:val="0"/>
                <w:bCs w:val="0"/>
                <w:color w:val="auto"/>
                <w:sz w:val="15"/>
                <w:szCs w:val="15"/>
                <w:highlight w:val="none"/>
              </w:rPr>
              <w:t>对环境造成</w:t>
            </w:r>
            <w:r>
              <w:rPr>
                <w:rFonts w:hint="eastAsia" w:ascii="宋体" w:hAnsi="宋体" w:eastAsia="宋体"/>
                <w:b w:val="0"/>
                <w:bCs w:val="0"/>
                <w:color w:val="auto"/>
                <w:sz w:val="15"/>
                <w:szCs w:val="15"/>
                <w:highlight w:val="none"/>
              </w:rPr>
              <w:t>较</w:t>
            </w:r>
            <w:r>
              <w:rPr>
                <w:rFonts w:ascii="宋体" w:hAnsi="宋体" w:eastAsia="宋体"/>
                <w:b w:val="0"/>
                <w:bCs w:val="0"/>
                <w:color w:val="auto"/>
                <w:sz w:val="15"/>
                <w:szCs w:val="15"/>
                <w:highlight w:val="none"/>
              </w:rPr>
              <w:t>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5</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rPr>
              <w:t>9</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4.</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罚款数额＝3000×（1＋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1"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建设单位（或生活垃圾分类管理责任人）委托他人</w:t>
            </w:r>
            <w:r>
              <w:rPr>
                <w:rFonts w:ascii="宋体" w:hAnsi="宋体" w:eastAsia="宋体"/>
                <w:color w:val="auto"/>
                <w:sz w:val="15"/>
                <w:szCs w:val="15"/>
                <w:highlight w:val="none"/>
              </w:rPr>
              <w:t>处置建筑垃圾未选择有资质的运输服务单位</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第三十六条 责令立即改正，处以1万元以上10万元以下罚款。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.违法行为持续时间较长、建筑垃圾产生量较大、造成环境较严重影响的，系数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val="0"/>
                <w:bCs w:val="0"/>
                <w:color w:val="auto"/>
                <w:sz w:val="15"/>
                <w:szCs w:val="15"/>
                <w:highlight w:val="none"/>
                <w:lang w:val="en-US" w:eastAsia="zh-CN"/>
              </w:rPr>
              <w:t>3</w:t>
            </w:r>
            <w:r>
              <w:rPr>
                <w:rFonts w:hint="eastAsia" w:ascii="宋体" w:hAnsi="宋体" w:cs="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2"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未经许可擅自设置建筑垃圾消纳场所</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numPr>
                <w:ilvl w:val="0"/>
                <w:numId w:val="0"/>
              </w:numPr>
              <w:spacing w:line="232" w:lineRule="exact"/>
              <w:rPr>
                <w:rFonts w:hint="default" w:ascii="宋体" w:hAnsi="宋体" w:eastAsia="宋体"/>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sz w:val="15"/>
                <w:szCs w:val="15"/>
                <w:highlight w:val="none"/>
                <w:lang w:val="en-US" w:eastAsia="zh-CN"/>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3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w:t>
            </w:r>
            <w:r>
              <w:rPr>
                <w:rFonts w:hint="eastAsia" w:ascii="宋体" w:hAnsi="宋体" w:eastAsia="宋体" w:cs="宋体"/>
                <w:b w:val="0"/>
                <w:bCs w:val="0"/>
                <w:color w:val="auto"/>
                <w:sz w:val="15"/>
                <w:szCs w:val="15"/>
                <w:highlight w:val="none"/>
                <w:lang w:val="en-US" w:eastAsia="zh-CN"/>
              </w:rPr>
              <w:t>地核心保护区等依法确定的重点保护区域面积达到2亩的，系数1；3亩的，系数2；4亩的，系数3；5亩的，系数4；6亩的，系数5；以此类推。面积10亩及以上的，系数9；2.占用公共用地面积3-6亩（含3亩）的，系数1，6-9亩（含6亩），系数2；9-12亩（含9亩）的，系数3；12-15亩（含15亩）的，系数4；15-18亩（含15亩）的，系数5；以此类推，面积27亩及以上的，系数9；3.存在其他严重污染环境、破坏生态情形的，系数5- 6；</w:t>
            </w:r>
            <w:r>
              <w:rPr>
                <w:rFonts w:hint="eastAsia"/>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pStyle w:val="8"/>
              <w:rPr>
                <w:rFonts w:hint="default"/>
                <w:color w:val="auto"/>
                <w:highlight w:val="none"/>
                <w:lang w:val="en-US" w:eastAsia="zh-CN"/>
              </w:rPr>
            </w:pPr>
          </w:p>
        </w:tc>
        <w:tc>
          <w:tcPr>
            <w:tcW w:w="1875"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20"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w:t>
            </w:r>
            <w:r>
              <w:rPr>
                <w:rFonts w:ascii="宋体" w:hAnsi="宋体" w:eastAsia="宋体"/>
                <w:color w:val="auto"/>
                <w:sz w:val="15"/>
                <w:szCs w:val="15"/>
                <w:highlight w:val="none"/>
              </w:rPr>
              <w:t>场所（</w:t>
            </w:r>
            <w:r>
              <w:rPr>
                <w:rFonts w:hint="eastAsia" w:ascii="宋体" w:hAnsi="宋体" w:eastAsia="宋体"/>
                <w:color w:val="auto"/>
                <w:sz w:val="15"/>
                <w:szCs w:val="15"/>
                <w:highlight w:val="none"/>
              </w:rPr>
              <w:t>或</w:t>
            </w:r>
            <w:r>
              <w:rPr>
                <w:rFonts w:ascii="宋体" w:hAnsi="宋体" w:eastAsia="宋体"/>
                <w:color w:val="auto"/>
                <w:sz w:val="15"/>
                <w:szCs w:val="15"/>
                <w:highlight w:val="none"/>
              </w:rPr>
              <w:t>临时处置点经营单位）</w:t>
            </w:r>
            <w:r>
              <w:rPr>
                <w:rFonts w:hint="eastAsia" w:ascii="宋体" w:hAnsi="宋体" w:eastAsia="宋体"/>
                <w:color w:val="auto"/>
                <w:sz w:val="15"/>
                <w:szCs w:val="15"/>
                <w:highlight w:val="none"/>
              </w:rPr>
              <w:t>未按照消纳处置协议的约定接收符合分类标准的建筑垃圾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第三十八条</w:t>
            </w:r>
            <w:r>
              <w:rPr>
                <w:rFonts w:ascii="宋体" w:hAnsi="宋体" w:eastAsia="宋体"/>
                <w:color w:val="auto"/>
                <w:sz w:val="15"/>
                <w:szCs w:val="15"/>
                <w:highlight w:val="none"/>
              </w:rPr>
              <w:t>第一款</w:t>
            </w:r>
            <w:r>
              <w:rPr>
                <w:rFonts w:hint="eastAsia" w:ascii="宋体" w:hAnsi="宋体" w:eastAsia="宋体"/>
                <w:color w:val="auto"/>
                <w:sz w:val="15"/>
                <w:szCs w:val="15"/>
                <w:highlight w:val="none"/>
              </w:rPr>
              <w:t xml:space="preserve"> 责令限期改正，处5万元以上10万元以下罚款，情节严重的，由城市管理综合执法部门吊销建筑垃圾消纳场所设置许可。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jc w:val="left"/>
              <w:rPr>
                <w:rFonts w:hint="default" w:ascii="宋体" w:hAnsi="宋体" w:eastAsia="宋体" w:cs="宋体"/>
                <w:b/>
                <w:bCs/>
                <w:color w:val="auto"/>
                <w:kern w:val="0"/>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w:t>
            </w:r>
            <w:r>
              <w:rPr>
                <w:rFonts w:hint="eastAsia" w:ascii="宋体" w:hAnsi="宋体" w:eastAsia="宋体"/>
                <w:color w:val="auto"/>
                <w:sz w:val="15"/>
                <w:szCs w:val="15"/>
                <w:highlight w:val="none"/>
              </w:rPr>
              <w:t>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0.5-1；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numPr>
                <w:ilvl w:val="0"/>
                <w:numId w:val="2"/>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7"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建筑垃圾消纳场所（或临时处置点经营单位）未按照规定采取扬尘污染防治措施或者采取措施不当</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第十七条第一款第(二)项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三十八条第二款</w:t>
            </w:r>
            <w:r>
              <w:rPr>
                <w:rFonts w:hint="eastAsia" w:ascii="宋体" w:hAnsi="宋体" w:eastAsia="宋体"/>
                <w:color w:val="auto"/>
                <w:sz w:val="15"/>
                <w:szCs w:val="15"/>
                <w:highlight w:val="none"/>
              </w:rPr>
              <w:t xml:space="preserve"> 责令限期改正，处1万元以上10万元以下罚款；逾期未改正的，责令停工整治或者停业整治。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4；500-600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较严重后果的，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rPr>
              <w:t>5-6</w:t>
            </w:r>
            <w:r>
              <w:rPr>
                <w:rFonts w:hint="eastAsia" w:ascii="宋体" w:hAnsi="宋体" w:eastAsia="宋体"/>
                <w:color w:val="auto"/>
                <w:sz w:val="15"/>
                <w:szCs w:val="15"/>
                <w:highlight w:val="none"/>
                <w:lang w:eastAsia="zh-CN"/>
              </w:rPr>
              <w:t>。</w:t>
            </w:r>
            <w:r>
              <w:rPr>
                <w:rFonts w:hint="eastAsia"/>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w:t>
            </w:r>
            <w:r>
              <w:rPr>
                <w:rFonts w:ascii="宋体" w:hAnsi="宋体" w:eastAsia="宋体"/>
                <w:color w:val="auto"/>
                <w:sz w:val="15"/>
                <w:szCs w:val="15"/>
                <w:highlight w:val="none"/>
              </w:rPr>
              <w:t>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w:t>
            </w:r>
            <w:r>
              <w:rPr>
                <w:rFonts w:ascii="宋体" w:hAnsi="宋体" w:eastAsia="宋体"/>
                <w:color w:val="auto"/>
                <w:sz w:val="15"/>
                <w:szCs w:val="15"/>
                <w:highlight w:val="none"/>
              </w:rPr>
              <w:t>规定设置双向称重系统</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第十七条第一款第(三)项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三十八条第三款</w:t>
            </w:r>
            <w:r>
              <w:rPr>
                <w:rFonts w:hint="eastAsia" w:ascii="宋体" w:hAnsi="宋体" w:eastAsia="宋体"/>
                <w:color w:val="auto"/>
                <w:sz w:val="15"/>
                <w:szCs w:val="15"/>
                <w:highlight w:val="none"/>
              </w:rPr>
              <w:t xml:space="preserve"> 责令限期改正，处1万元以上10万元以下罚款。</w:t>
            </w:r>
          </w:p>
        </w:tc>
        <w:tc>
          <w:tcPr>
            <w:tcW w:w="851" w:type="dxa"/>
            <w:noWrap w:val="0"/>
            <w:vAlign w:val="center"/>
          </w:tcPr>
          <w:p>
            <w:pPr>
              <w:spacing w:line="232" w:lineRule="exact"/>
              <w:jc w:val="center"/>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作业场所面积：建筑垃圾消纳场所（临时处置点经营单位）的消纳、处置建筑垃圾的占地面积。可在“北京市建筑垃圾管理与服务平台”查询</w:t>
            </w:r>
            <w:r>
              <w:rPr>
                <w:rFonts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建筑垃圾消纳场所（或临时处置点经营单位）未保持双向称重系统正常运转</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0"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建筑垃圾消纳场所（或临时处置点经营单位）未如实记录进出场的建筑垃圾运输车辆载重状况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1.未记录车辆进出场次数1-2次或者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，系数0；3-4次或者</w:t>
            </w:r>
            <w:r>
              <w:rPr>
                <w:rFonts w:hint="eastAsia" w:ascii="宋体" w:hAnsi="宋体" w:eastAsia="宋体"/>
                <w:color w:val="auto"/>
                <w:sz w:val="15"/>
                <w:szCs w:val="15"/>
                <w:highlight w:val="none"/>
              </w:rPr>
              <w:t>20-30亩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系数1；5-6次或者</w:t>
            </w:r>
            <w:r>
              <w:rPr>
                <w:rFonts w:hint="eastAsia" w:ascii="宋体" w:hAnsi="宋体" w:eastAsia="宋体"/>
                <w:color w:val="auto"/>
                <w:sz w:val="15"/>
                <w:szCs w:val="15"/>
                <w:highlight w:val="none"/>
              </w:rPr>
              <w:t>30亩-40亩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系数2；7-8次或者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的，系数3；9-10次或者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的，系数4；11-12次或者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的，系数5；以此类推，19次及以上或者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3"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w:t>
            </w:r>
            <w:r>
              <w:rPr>
                <w:rFonts w:ascii="宋体" w:hAnsi="宋体" w:eastAsia="宋体"/>
                <w:color w:val="auto"/>
                <w:sz w:val="15"/>
                <w:szCs w:val="15"/>
                <w:highlight w:val="none"/>
              </w:rPr>
              <w:t>作业场所</w:t>
            </w:r>
            <w:r>
              <w:rPr>
                <w:rFonts w:hint="eastAsia" w:ascii="宋体" w:hAnsi="宋体" w:eastAsia="宋体"/>
                <w:color w:val="auto"/>
                <w:sz w:val="15"/>
                <w:szCs w:val="15"/>
                <w:highlight w:val="none"/>
              </w:rPr>
              <w:t>未安装运输车辆识别装置（或扬尘污染实时监控装置）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十七条第一款第（</w:t>
            </w:r>
            <w:r>
              <w:rPr>
                <w:rFonts w:hint="eastAsia" w:ascii="宋体" w:hAnsi="宋体" w:eastAsia="宋体"/>
                <w:color w:val="auto"/>
                <w:sz w:val="15"/>
                <w:szCs w:val="15"/>
                <w:highlight w:val="none"/>
              </w:rPr>
              <w:t>四</w:t>
            </w:r>
            <w:r>
              <w:rPr>
                <w:rFonts w:ascii="宋体" w:hAnsi="宋体" w:eastAsia="宋体"/>
                <w:color w:val="auto"/>
                <w:sz w:val="15"/>
                <w:szCs w:val="15"/>
                <w:highlight w:val="none"/>
              </w:rPr>
              <w:t>）</w:t>
            </w:r>
            <w:r>
              <w:rPr>
                <w:rFonts w:hint="eastAsia" w:ascii="宋体" w:hAnsi="宋体" w:eastAsia="宋体"/>
                <w:color w:val="auto"/>
                <w:sz w:val="15"/>
                <w:szCs w:val="15"/>
                <w:highlight w:val="none"/>
              </w:rPr>
              <w:t>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条款：第三十八条第四款</w:t>
            </w:r>
            <w:r>
              <w:rPr>
                <w:rFonts w:hint="eastAsia" w:ascii="宋体" w:hAnsi="宋体" w:eastAsia="宋体"/>
                <w:color w:val="auto"/>
                <w:sz w:val="15"/>
                <w:szCs w:val="15"/>
                <w:highlight w:val="none"/>
              </w:rPr>
              <w:t xml:space="preserve">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eastAsia="zh-CN"/>
              </w:rPr>
              <w:t>）</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建筑垃圾消纳场所（或临时处置点经营单位）在作业场所未</w:t>
            </w:r>
            <w:r>
              <w:rPr>
                <w:rFonts w:ascii="宋体" w:hAnsi="宋体" w:eastAsia="宋体"/>
                <w:color w:val="auto"/>
                <w:sz w:val="15"/>
                <w:szCs w:val="15"/>
                <w:highlight w:val="none"/>
              </w:rPr>
              <w:t>正常使用</w:t>
            </w:r>
            <w:r>
              <w:rPr>
                <w:rFonts w:hint="eastAsia" w:ascii="宋体" w:hAnsi="宋体" w:eastAsia="宋体"/>
                <w:color w:val="auto"/>
                <w:sz w:val="15"/>
                <w:szCs w:val="15"/>
                <w:highlight w:val="none"/>
              </w:rPr>
              <w:t>运输车辆识别装置（或扬尘污染实时监控装置）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违反条款：第十七条第一款第（四）项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1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建筑垃圾消纳场所（或临时处置点经营单位）未将建筑垃圾接收量（或处置量或再生产品生产供应等）数据</w:t>
            </w:r>
            <w:r>
              <w:rPr>
                <w:rFonts w:ascii="宋体" w:hAnsi="宋体" w:eastAsia="宋体"/>
                <w:color w:val="auto"/>
                <w:sz w:val="15"/>
                <w:szCs w:val="15"/>
                <w:highlight w:val="none"/>
              </w:rPr>
              <w:t>实时传输至</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垃圾管理和服务平台</w:t>
            </w:r>
          </w:p>
        </w:tc>
        <w:tc>
          <w:tcPr>
            <w:tcW w:w="2789"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违反条款：第十七条第一款第（五）项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7"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未取得生活垃圾运输经营许可擅自运输建筑垃圾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w:t>
            </w:r>
            <w:r>
              <w:rPr>
                <w:rFonts w:hint="eastAsia" w:ascii="宋体" w:hAnsi="宋体" w:eastAsia="宋体"/>
                <w:color w:val="auto"/>
                <w:sz w:val="15"/>
                <w:szCs w:val="15"/>
                <w:highlight w:val="none"/>
              </w:rPr>
              <w:t>三十九条 责令限期改正，给予警告，处5000元以上3万元以下罚款</w:t>
            </w:r>
            <w:r>
              <w:rPr>
                <w:rFonts w:ascii="宋体" w:hAnsi="宋体" w:eastAsia="宋体"/>
                <w:color w:val="auto"/>
                <w:sz w:val="15"/>
                <w:szCs w:val="15"/>
                <w:highlight w:val="none"/>
              </w:rPr>
              <w:t>。</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b w:val="0"/>
                <w:bCs w:val="0"/>
                <w:color w:val="auto"/>
                <w:sz w:val="15"/>
                <w:szCs w:val="15"/>
                <w:highlight w:val="none"/>
                <w:lang w:val="en-US" w:eastAsia="zh-CN"/>
              </w:rPr>
              <w:t>.</w:t>
            </w:r>
            <w:r>
              <w:rPr>
                <w:rFonts w:hint="eastAsia" w:ascii="宋体" w:hAnsi="宋体" w:cs="宋体"/>
                <w:b w:val="0"/>
                <w:bCs w:val="0"/>
                <w:color w:val="auto"/>
                <w:sz w:val="15"/>
                <w:szCs w:val="15"/>
                <w:highlight w:val="none"/>
                <w:lang w:val="en-US" w:eastAsia="zh-CN"/>
              </w:rPr>
              <w:t>运输垃圾2车次及以上的，系数1；4车次及以上的，系数2；6车次及以上的，系数3；8车次及以上的，系数4；10车次及以上的，系数5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违法时间</w:t>
            </w:r>
            <w:r>
              <w:rPr>
                <w:rFonts w:ascii="宋体" w:hAnsi="宋体" w:eastAsia="宋体"/>
                <w:color w:val="auto"/>
                <w:sz w:val="15"/>
                <w:szCs w:val="15"/>
                <w:highlight w:val="none"/>
              </w:rPr>
              <w:t>持续较长，造成严重环境秩序影响的，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30"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使用不符合</w:t>
            </w:r>
            <w:r>
              <w:rPr>
                <w:rFonts w:ascii="宋体" w:hAnsi="宋体" w:eastAsia="宋体"/>
                <w:color w:val="auto"/>
                <w:sz w:val="15"/>
                <w:szCs w:val="15"/>
                <w:highlight w:val="none"/>
              </w:rPr>
              <w:t>标准的车辆（</w:t>
            </w:r>
            <w:r>
              <w:rPr>
                <w:rFonts w:hint="eastAsia" w:ascii="宋体" w:hAnsi="宋体" w:eastAsia="宋体"/>
                <w:color w:val="auto"/>
                <w:sz w:val="15"/>
                <w:szCs w:val="15"/>
                <w:highlight w:val="none"/>
              </w:rPr>
              <w:t>或未取得建筑垃圾准运许可</w:t>
            </w:r>
            <w:r>
              <w:rPr>
                <w:rFonts w:ascii="宋体" w:hAnsi="宋体" w:eastAsia="宋体"/>
                <w:color w:val="auto"/>
                <w:sz w:val="15"/>
                <w:szCs w:val="15"/>
                <w:highlight w:val="none"/>
              </w:rPr>
              <w:t>）</w:t>
            </w:r>
            <w:r>
              <w:rPr>
                <w:rFonts w:hint="eastAsia" w:ascii="宋体" w:hAnsi="宋体" w:eastAsia="宋体"/>
                <w:color w:val="auto"/>
                <w:sz w:val="15"/>
                <w:szCs w:val="15"/>
                <w:highlight w:val="none"/>
              </w:rPr>
              <w:t>运输建筑垃圾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第三十九条 责令限期改正，并处1万元以上3万元以下罚款；情节严重的，由城市管理综合执法部门吊销生活垃圾运输经营许可。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cs="宋体"/>
                <w:b w:val="0"/>
                <w:bCs w:val="0"/>
                <w:color w:val="auto"/>
                <w:sz w:val="15"/>
                <w:szCs w:val="15"/>
                <w:highlight w:val="none"/>
                <w:lang w:val="en-US" w:eastAsia="zh-CN"/>
              </w:rPr>
              <w:t>1.运输垃圾2-3车次的，系数1；4车次及以上的，系数2。</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1982" w:type="dxa"/>
            <w:gridSpan w:val="2"/>
            <w:noWrap w:val="0"/>
            <w:vAlign w:val="center"/>
          </w:tcPr>
          <w:p>
            <w:pPr>
              <w:numPr>
                <w:ilvl w:val="0"/>
                <w:numId w:val="3"/>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24"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17</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78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1.</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w:t>
            </w:r>
            <w:r>
              <w:rPr>
                <w:rFonts w:hint="eastAsia" w:ascii="宋体" w:hAnsi="宋体" w:cs="宋体"/>
                <w:color w:val="auto"/>
                <w:sz w:val="15"/>
                <w:szCs w:val="15"/>
                <w:highlight w:val="none"/>
                <w:lang w:val="en-US" w:eastAsia="zh-CN"/>
              </w:rPr>
              <w:t>6。3.存在基准2.1.3规定情形的，系数按照相关规定确定。</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numPr>
                <w:ilvl w:val="0"/>
                <w:numId w:val="4"/>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90" w:hRule="atLeast"/>
        </w:trPr>
        <w:tc>
          <w:tcPr>
            <w:tcW w:w="610" w:type="dxa"/>
            <w:noWrap w:val="0"/>
            <w:vAlign w:val="center"/>
          </w:tcPr>
          <w:p>
            <w:pPr>
              <w:spacing w:line="232" w:lineRule="exact"/>
              <w:jc w:val="center"/>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18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78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kinsoku/>
              <w:wordWrap/>
              <w:overflowPunct/>
              <w:topLinePunct w:val="0"/>
              <w:autoSpaceDE/>
              <w:autoSpaceDN/>
              <w:bidi w:val="0"/>
              <w:adjustRightInd/>
              <w:snapToGrid/>
              <w:spacing w:line="240" w:lineRule="auto"/>
              <w:rPr>
                <w:rFonts w:hint="default"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w:t>
            </w:r>
            <w:r>
              <w:rPr>
                <w:rFonts w:hint="eastAsia" w:ascii="宋体" w:hAnsi="宋体" w:cs="宋体"/>
                <w:color w:val="auto"/>
                <w:sz w:val="15"/>
                <w:szCs w:val="15"/>
                <w:highlight w:val="none"/>
                <w:lang w:eastAsia="zh-CN"/>
              </w:rPr>
              <w:t>系数</w:t>
            </w:r>
            <w:r>
              <w:rPr>
                <w:rFonts w:hint="eastAsia" w:ascii="宋体" w:hAnsi="宋体" w:eastAsia="宋体" w:cs="宋体"/>
                <w:color w:val="auto"/>
                <w:sz w:val="15"/>
                <w:szCs w:val="15"/>
                <w:highlight w:val="none"/>
                <w:lang w:val="en-US" w:eastAsia="zh-CN"/>
              </w:rPr>
              <w:t>1-</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w:t>
            </w:r>
            <w:r>
              <w:rPr>
                <w:rFonts w:hint="eastAsia" w:ascii="宋体" w:hAnsi="宋体" w:cs="宋体"/>
                <w:color w:val="auto"/>
                <w:sz w:val="15"/>
                <w:szCs w:val="15"/>
                <w:highlight w:val="none"/>
                <w:lang w:eastAsia="zh-CN"/>
              </w:rPr>
              <w:t>系数</w:t>
            </w:r>
            <w:r>
              <w:rPr>
                <w:rFonts w:hint="default" w:ascii="宋体" w:hAnsi="宋体" w:cs="宋体"/>
                <w:color w:val="auto"/>
                <w:sz w:val="15"/>
                <w:szCs w:val="15"/>
                <w:highlight w:val="none"/>
                <w:lang w:val="en-US"/>
              </w:rPr>
              <w:t>5</w:t>
            </w:r>
            <w:r>
              <w:rPr>
                <w:rFonts w:hint="eastAsia" w:ascii="宋体" w:hAnsi="宋体" w:eastAsia="宋体" w:cs="宋体"/>
                <w:color w:val="auto"/>
                <w:sz w:val="15"/>
                <w:szCs w:val="15"/>
                <w:highlight w:val="none"/>
                <w:lang w:val="en-US" w:eastAsia="zh-CN"/>
              </w:rPr>
              <w:t>-</w:t>
            </w:r>
            <w:r>
              <w:rPr>
                <w:rFonts w:hint="default" w:ascii="宋体" w:hAnsi="宋体" w:cs="宋体"/>
                <w:color w:val="auto"/>
                <w:sz w:val="15"/>
                <w:szCs w:val="15"/>
                <w:highlight w:val="none"/>
                <w:lang w:val="en-US" w:eastAsia="zh-CN"/>
              </w:rPr>
              <w:t>6</w:t>
            </w:r>
            <w:r>
              <w:rPr>
                <w:rFonts w:hint="eastAsia" w:ascii="宋体" w:hAnsi="宋体" w:eastAsia="宋体" w:cs="宋体"/>
                <w:color w:val="auto"/>
                <w:sz w:val="15"/>
                <w:szCs w:val="15"/>
                <w:highlight w:val="none"/>
                <w:lang w:val="en-US" w:eastAsia="zh-CN"/>
              </w:rPr>
              <w:t>；3.同一运输单位存在多辆车辆混装混运的，</w:t>
            </w:r>
            <w:r>
              <w:rPr>
                <w:rFonts w:hint="eastAsia" w:ascii="宋体" w:hAnsi="宋体" w:cs="宋体"/>
                <w:color w:val="auto"/>
                <w:sz w:val="15"/>
                <w:szCs w:val="15"/>
                <w:highlight w:val="none"/>
                <w:lang w:val="en-US" w:eastAsia="zh-CN"/>
              </w:rPr>
              <w:t>系数</w:t>
            </w:r>
            <w:r>
              <w:rPr>
                <w:rFonts w:hint="eastAsia" w:ascii="宋体" w:hAnsi="宋体" w:eastAsia="宋体" w:cs="宋体"/>
                <w:color w:val="auto"/>
                <w:sz w:val="15"/>
                <w:szCs w:val="15"/>
                <w:highlight w:val="none"/>
                <w:lang w:val="en-US" w:eastAsia="zh-CN"/>
              </w:rPr>
              <w:t>7</w:t>
            </w:r>
            <w:r>
              <w:rPr>
                <w:rFonts w:hint="eastAsia" w:ascii="宋体" w:hAnsi="宋体" w:cs="宋体"/>
                <w:color w:val="auto"/>
                <w:sz w:val="15"/>
                <w:szCs w:val="15"/>
                <w:highlight w:val="none"/>
                <w:lang w:val="en-US" w:eastAsia="zh-CN"/>
              </w:rPr>
              <w:t>-8；</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4"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按照规定使用电子运单</w:t>
            </w:r>
            <w:r>
              <w:rPr>
                <w:rFonts w:hint="eastAsia" w:ascii="宋体" w:hAnsi="宋体" w:eastAsia="宋体"/>
                <w:color w:val="auto"/>
                <w:sz w:val="15"/>
                <w:szCs w:val="15"/>
                <w:highlight w:val="none"/>
              </w:rPr>
              <w:t>，</w:t>
            </w:r>
            <w:r>
              <w:rPr>
                <w:rFonts w:ascii="宋体" w:hAnsi="宋体" w:eastAsia="宋体"/>
                <w:color w:val="auto"/>
                <w:sz w:val="15"/>
                <w:szCs w:val="15"/>
                <w:highlight w:val="none"/>
              </w:rPr>
              <w:t>如实记录建筑垃圾处置情况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十九条第</w:t>
            </w:r>
            <w:r>
              <w:rPr>
                <w:rFonts w:hint="eastAsia" w:ascii="宋体" w:hAnsi="宋体" w:eastAsia="宋体"/>
                <w:color w:val="auto"/>
                <w:sz w:val="15"/>
                <w:szCs w:val="15"/>
                <w:highlight w:val="none"/>
              </w:rPr>
              <w:t>二</w:t>
            </w:r>
            <w:r>
              <w:rPr>
                <w:rFonts w:ascii="宋体" w:hAnsi="宋体" w:eastAsia="宋体"/>
                <w:color w:val="auto"/>
                <w:sz w:val="15"/>
                <w:szCs w:val="15"/>
                <w:highlight w:val="none"/>
              </w:rPr>
              <w:t>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四十条第二款</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运输垃圾2车次及以上的，系数1；4车次及以上的，系数3；6车次及以上的，系数5；8车次及以上的，系数7；10车次及以上的，系数9。2</w:t>
            </w:r>
            <w:r>
              <w:rPr>
                <w:rFonts w:hint="eastAsia" w:ascii="宋体" w:hAnsi="宋体" w:cs="宋体"/>
                <w:b/>
                <w:bCs/>
                <w:color w:val="auto"/>
                <w:sz w:val="15"/>
                <w:szCs w:val="15"/>
                <w:highlight w:val="none"/>
                <w:lang w:val="en-US" w:eastAsia="zh-CN"/>
              </w:rPr>
              <w:t>.</w:t>
            </w:r>
            <w:r>
              <w:rPr>
                <w:rFonts w:hint="eastAsia" w:ascii="宋体" w:hAnsi="宋体" w:eastAsia="宋体"/>
                <w:color w:val="auto"/>
                <w:sz w:val="15"/>
                <w:szCs w:val="15"/>
                <w:highlight w:val="none"/>
                <w:lang w:val="en-US" w:eastAsia="zh-CN"/>
              </w:rPr>
              <w:t>同一运输单位多辆（3辆及以上）车辆存在违规的，系数5-9。3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numPr>
                <w:ilvl w:val="0"/>
                <w:numId w:val="6"/>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5"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w:t>
            </w:r>
            <w:r>
              <w:rPr>
                <w:rFonts w:ascii="宋体" w:hAnsi="宋体" w:eastAsia="宋体"/>
                <w:color w:val="auto"/>
                <w:sz w:val="15"/>
                <w:szCs w:val="15"/>
                <w:highlight w:val="none"/>
              </w:rPr>
              <w:t>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编制建筑垃圾处理方案</w:t>
            </w:r>
            <w:r>
              <w:rPr>
                <w:rFonts w:hint="eastAsia" w:ascii="宋体" w:hAnsi="宋体" w:eastAsia="宋体"/>
                <w:color w:val="auto"/>
                <w:sz w:val="15"/>
                <w:szCs w:val="15"/>
                <w:highlight w:val="none"/>
              </w:rPr>
              <w:t>报备案</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处罚条款：第四十一条第一款 责令限期改正，处10万元以上100万元以下罚款。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w:t>
            </w:r>
            <w:r>
              <w:rPr>
                <w:rFonts w:hint="default" w:ascii="宋体" w:hAnsi="宋体" w:eastAsia="宋体" w:cs="宋体"/>
                <w:b w:val="0"/>
                <w:bCs w:val="0"/>
                <w:strike w:val="0"/>
                <w:dstrike w:val="0"/>
                <w:color w:val="auto"/>
                <w:sz w:val="15"/>
                <w:szCs w:val="15"/>
                <w:highlight w:val="none"/>
                <w:lang w:val="en-US" w:eastAsia="zh-CN"/>
              </w:rPr>
              <w:t>2</w:t>
            </w:r>
            <w:r>
              <w:rPr>
                <w:rFonts w:hint="eastAsia" w:ascii="宋体" w:hAnsi="宋体" w:eastAsia="宋体" w:cs="宋体"/>
                <w:b w:val="0"/>
                <w:bCs w:val="0"/>
                <w:strike w:val="0"/>
                <w:dstrike w:val="0"/>
                <w:color w:val="auto"/>
                <w:sz w:val="15"/>
                <w:szCs w:val="15"/>
                <w:highlight w:val="none"/>
                <w:lang w:val="en-US" w:eastAsia="zh-CN"/>
              </w:rPr>
              <w:t>；5000㎡以上2万㎡及以下的，系数</w:t>
            </w:r>
            <w:r>
              <w:rPr>
                <w:rFonts w:hint="default" w:ascii="宋体" w:hAnsi="宋体" w:eastAsia="宋体" w:cs="宋体"/>
                <w:b w:val="0"/>
                <w:bCs w:val="0"/>
                <w:strike w:val="0"/>
                <w:dstrike w:val="0"/>
                <w:color w:val="auto"/>
                <w:sz w:val="15"/>
                <w:szCs w:val="15"/>
                <w:highlight w:val="none"/>
                <w:lang w:val="en-US" w:eastAsia="zh-CN"/>
              </w:rPr>
              <w:t>3-4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。2.未备案时间持续10天及以内的，系数0；11-20天的，系数1；21-30天的，系数2；31-40天的，系数3；41-50天的，系数4；51-60天的，系数5；以此类推，91天及以上的，系数9。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成环境秩序较严重影响的，系数5-</w:t>
            </w:r>
            <w:r>
              <w:rPr>
                <w:rFonts w:hint="eastAsia" w:ascii="宋体" w:hAnsi="宋体" w:eastAsia="宋体" w:cs="宋体"/>
                <w:color w:val="auto"/>
                <w:sz w:val="15"/>
                <w:szCs w:val="15"/>
                <w:highlight w:val="none"/>
                <w:lang w:val="en-US" w:eastAsia="zh-CN"/>
              </w:rPr>
              <w:t>6</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widowControl w:val="0"/>
              <w:numPr>
                <w:ilvl w:val="0"/>
                <w:numId w:val="0"/>
              </w:numPr>
              <w:jc w:val="both"/>
              <w:rPr>
                <w:rFonts w:hint="eastAsia" w:ascii="宋体" w:hAnsi="宋体" w:eastAsia="宋体" w:cs="宋体"/>
                <w:color w:val="auto"/>
                <w:sz w:val="15"/>
                <w:szCs w:val="15"/>
                <w:highlight w:val="none"/>
              </w:rPr>
            </w:pPr>
          </w:p>
        </w:tc>
        <w:tc>
          <w:tcPr>
            <w:tcW w:w="1875" w:type="dxa"/>
            <w:gridSpan w:val="2"/>
            <w:noWrap w:val="0"/>
            <w:vAlign w:val="center"/>
          </w:tcPr>
          <w:p>
            <w:pPr>
              <w:widowControl w:val="0"/>
              <w:numPr>
                <w:ilvl w:val="0"/>
                <w:numId w:val="0"/>
              </w:numPr>
              <w:jc w:val="both"/>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eastAsia="宋体" w:cs="宋体"/>
                <w:color w:val="auto"/>
                <w:sz w:val="15"/>
                <w:szCs w:val="15"/>
                <w:highlight w:val="none"/>
                <w:lang w:eastAsia="zh-CN"/>
              </w:rPr>
              <w:t>情节</w:t>
            </w:r>
            <w:r>
              <w:rPr>
                <w:rFonts w:hint="eastAsia" w:ascii="宋体" w:hAnsi="宋体" w:eastAsia="宋体" w:cs="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r>
              <w:rPr>
                <w:rFonts w:ascii="宋体" w:hAnsi="宋体" w:eastAsia="宋体"/>
                <w:color w:val="auto"/>
                <w:sz w:val="15"/>
                <w:szCs w:val="15"/>
                <w:highlight w:val="none"/>
              </w:rPr>
              <w:t>未及时清运建筑垃圾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四十一条第二款</w:t>
            </w:r>
            <w:r>
              <w:rPr>
                <w:rFonts w:hint="eastAsia" w:ascii="宋体" w:hAnsi="宋体" w:eastAsia="宋体"/>
                <w:color w:val="auto"/>
                <w:sz w:val="15"/>
                <w:szCs w:val="15"/>
                <w:highlight w:val="none"/>
              </w:rPr>
              <w:t xml:space="preserve">  责令限期改正，处10万元以上100万元以下罚款。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w:t>
            </w:r>
            <w:r>
              <w:rPr>
                <w:rFonts w:hint="eastAsia" w:ascii="宋体" w:hAnsi="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1"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施工</w:t>
            </w:r>
            <w:r>
              <w:rPr>
                <w:rFonts w:ascii="宋体" w:hAnsi="宋体" w:eastAsia="宋体"/>
                <w:b w:val="0"/>
                <w:bCs w:val="0"/>
                <w:color w:val="auto"/>
                <w:sz w:val="15"/>
                <w:szCs w:val="15"/>
                <w:highlight w:val="none"/>
              </w:rPr>
              <w:t>单位</w:t>
            </w:r>
            <w:r>
              <w:rPr>
                <w:rFonts w:hint="eastAsia" w:ascii="宋体" w:hAnsi="宋体" w:eastAsia="宋体"/>
                <w:b w:val="0"/>
                <w:bCs w:val="0"/>
                <w:color w:val="auto"/>
                <w:sz w:val="15"/>
                <w:szCs w:val="15"/>
                <w:highlight w:val="none"/>
              </w:rPr>
              <w:t>未按照规定对施工过程中产生的建筑垃圾进行资源化利用或者处置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万元以上10</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r>
              <w:rPr>
                <w:rFonts w:ascii="宋体" w:hAnsi="宋体" w:eastAsia="宋体"/>
                <w:color w:val="auto"/>
                <w:sz w:val="15"/>
                <w:szCs w:val="15"/>
                <w:highlight w:val="none"/>
              </w:rPr>
              <w:t>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按规定利用或</w:t>
            </w:r>
            <w:r>
              <w:rPr>
                <w:rFonts w:hint="eastAsia" w:ascii="宋体" w:hAnsi="宋体" w:eastAsia="宋体"/>
                <w:color w:val="auto"/>
                <w:sz w:val="15"/>
                <w:szCs w:val="15"/>
                <w:highlight w:val="none"/>
              </w:rPr>
              <w:t>处置</w:t>
            </w:r>
            <w:r>
              <w:rPr>
                <w:rFonts w:ascii="宋体" w:hAnsi="宋体" w:eastAsia="宋体"/>
                <w:color w:val="auto"/>
                <w:sz w:val="15"/>
                <w:szCs w:val="15"/>
                <w:highlight w:val="none"/>
              </w:rPr>
              <w:t>的</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s="宋体"/>
                <w:b w:val="0"/>
                <w:bCs w:val="0"/>
                <w:color w:val="auto"/>
                <w:sz w:val="15"/>
                <w:szCs w:val="15"/>
                <w:highlight w:val="none"/>
                <w:lang w:val="en-US" w:eastAsia="zh-CN"/>
              </w:rPr>
              <w:t>或者运输垃圾5车次以下的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5（含5车）-9车次的，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Batang"/>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2.未按规定进行资源化利用或者处置建筑垃圾数量较大的或</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造成其他严重社会影响的，系数5-6。</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施工单位未按照规定对现场贮存的建筑垃圾采取扬尘防治措施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责令限期改正，处1万元以上10万元以下罚款；拒不改正的，责令停工整治。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3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未按照规定建立台账并如实报告建筑垃圾处置情况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ascii="宋体" w:hAnsi="宋体" w:eastAsia="宋体"/>
                <w:color w:val="auto"/>
                <w:sz w:val="15"/>
                <w:szCs w:val="15"/>
                <w:highlight w:val="none"/>
              </w:rPr>
              <w:t>：第二十七条</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四十三条</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1.已记录</w:t>
            </w:r>
            <w:r>
              <w:rPr>
                <w:rFonts w:ascii="宋体" w:hAnsi="宋体" w:eastAsia="宋体"/>
                <w:color w:val="auto"/>
                <w:sz w:val="15"/>
                <w:szCs w:val="15"/>
                <w:highlight w:val="none"/>
              </w:rPr>
              <w:t>台账而记录内容不完整的，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ascii="宋体" w:hAnsi="宋体" w:eastAsia="宋体"/>
                <w:color w:val="auto"/>
                <w:sz w:val="15"/>
                <w:szCs w:val="15"/>
                <w:highlight w:val="none"/>
              </w:rPr>
              <w:t>-1</w:t>
            </w:r>
            <w:r>
              <w:rPr>
                <w:rFonts w:hint="eastAsia" w:ascii="宋体" w:hAnsi="宋体" w:eastAsia="宋体"/>
                <w:color w:val="auto"/>
                <w:sz w:val="15"/>
                <w:szCs w:val="15"/>
                <w:highlight w:val="none"/>
              </w:rPr>
              <w:t>；2.未建立台账的</w:t>
            </w:r>
            <w:r>
              <w:rPr>
                <w:rFonts w:ascii="宋体" w:hAnsi="宋体" w:eastAsia="宋体"/>
                <w:color w:val="auto"/>
                <w:sz w:val="15"/>
                <w:szCs w:val="15"/>
                <w:highlight w:val="none"/>
              </w:rPr>
              <w:t>或者台账弄虚作假的，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-6</w:t>
            </w:r>
            <w:r>
              <w:rPr>
                <w:rFonts w:hint="eastAsia" w:ascii="宋体" w:hAnsi="宋体" w:eastAsia="宋体"/>
                <w:color w:val="auto"/>
                <w:sz w:val="15"/>
                <w:szCs w:val="15"/>
                <w:highlight w:val="none"/>
              </w:rPr>
              <w:t>；3.同时造成</w:t>
            </w:r>
            <w:r>
              <w:rPr>
                <w:rFonts w:ascii="宋体" w:hAnsi="宋体" w:eastAsia="宋体"/>
                <w:color w:val="auto"/>
                <w:sz w:val="15"/>
                <w:szCs w:val="15"/>
                <w:highlight w:val="none"/>
              </w:rPr>
              <w:t>环境秩序严重影响的</w:t>
            </w:r>
            <w:r>
              <w:rPr>
                <w:rFonts w:hint="eastAsia" w:ascii="宋体" w:hAnsi="宋体" w:eastAsia="宋体"/>
                <w:color w:val="auto"/>
                <w:sz w:val="15"/>
                <w:szCs w:val="15"/>
                <w:highlight w:val="none"/>
              </w:rPr>
              <w:t>为7</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numPr>
                <w:ilvl w:val="0"/>
                <w:numId w:val="7"/>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1"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4" w:name="_Toc495418307"/>
            <w:bookmarkStart w:id="35" w:name="_Toc110851448"/>
            <w:bookmarkStart w:id="36" w:name="_Toc468042359"/>
            <w:r>
              <w:rPr>
                <w:rFonts w:hint="eastAsia" w:ascii="宋体" w:hAnsi="宋体" w:eastAsia="宋体"/>
                <w:color w:val="auto"/>
                <w:sz w:val="21"/>
                <w:szCs w:val="21"/>
                <w:highlight w:val="none"/>
              </w:rPr>
              <w:t>《北京市养犬管理规定》案由1项</w:t>
            </w:r>
            <w:bookmarkEnd w:id="34"/>
            <w:bookmarkEnd w:id="35"/>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携犬人未清除户外犬粪便</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违反条款：第十七条第（六）项；处罚条款：第三十条：责令改正，并可处50元罚款。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7" w:name="_Toc110851449"/>
            <w:bookmarkStart w:id="38" w:name="_Toc986557284"/>
            <w:bookmarkStart w:id="39" w:name="_Toc1332420573"/>
            <w:r>
              <w:rPr>
                <w:rFonts w:hint="eastAsia" w:ascii="宋体" w:hAnsi="宋体" w:eastAsia="宋体"/>
                <w:color w:val="auto"/>
                <w:sz w:val="21"/>
                <w:szCs w:val="21"/>
                <w:highlight w:val="none"/>
              </w:rPr>
              <w:t>《北京市长城保护管理办法》案由1项</w:t>
            </w:r>
            <w:bookmarkEnd w:id="37"/>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在长城保护范围和建设控制地带内设置</w:t>
            </w:r>
            <w:r>
              <w:rPr>
                <w:rFonts w:hint="eastAsia" w:ascii="宋体" w:hAnsi="宋体" w:eastAsia="宋体" w:cs="宋体"/>
                <w:color w:val="auto"/>
                <w:kern w:val="0"/>
                <w:sz w:val="15"/>
                <w:szCs w:val="15"/>
                <w:highlight w:val="none"/>
              </w:rPr>
              <w:t>不符合要求</w:t>
            </w:r>
            <w:r>
              <w:rPr>
                <w:rFonts w:ascii="宋体" w:hAnsi="宋体" w:eastAsia="宋体" w:cs="宋体"/>
                <w:color w:val="auto"/>
                <w:kern w:val="0"/>
                <w:sz w:val="15"/>
                <w:szCs w:val="15"/>
                <w:highlight w:val="none"/>
              </w:rPr>
              <w:t>的标志标牌</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第十二条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第十七条</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 xml:space="preserve">责令拆除或者更换，并可处200元以上1000元以下的罚款。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40" w:name="_Toc703776516"/>
            <w:bookmarkStart w:id="41" w:name="_Toc110851450"/>
            <w:bookmarkStart w:id="42" w:name="_Toc132430118"/>
            <w:r>
              <w:rPr>
                <w:rFonts w:hint="eastAsia" w:ascii="宋体" w:hAnsi="宋体" w:eastAsia="宋体"/>
                <w:color w:val="auto"/>
                <w:sz w:val="21"/>
                <w:szCs w:val="21"/>
                <w:highlight w:val="none"/>
              </w:rPr>
              <w:t>《北京历史文化名城保护条例》案由1项</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5"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任何单位或个人擅自设置、移动、拆除或者损毁、涂改、遮挡保护标志</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17"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4"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宋体" w:hAnsi="宋体" w:eastAsia="宋体"/>
                <w:color w:val="auto"/>
                <w:sz w:val="15"/>
                <w:szCs w:val="15"/>
                <w:highlight w:val="none"/>
              </w:rPr>
            </w:pPr>
            <w:bookmarkStart w:id="43" w:name="_Toc958675012"/>
            <w:bookmarkStart w:id="44" w:name="_Toc110851451"/>
            <w:bookmarkStart w:id="45" w:name="_Toc1498902725"/>
            <w:r>
              <w:rPr>
                <w:rFonts w:hint="eastAsia" w:ascii="宋体" w:hAnsi="宋体" w:eastAsia="宋体"/>
                <w:color w:val="auto"/>
                <w:sz w:val="21"/>
                <w:szCs w:val="21"/>
                <w:highlight w:val="none"/>
              </w:rPr>
              <w:t>《北京市架空线管理若干规定》案由</w:t>
            </w:r>
            <w:r>
              <w:rPr>
                <w:rFonts w:ascii="宋体" w:hAnsi="宋体" w:eastAsia="宋体"/>
                <w:color w:val="auto"/>
                <w:sz w:val="21"/>
                <w:szCs w:val="21"/>
                <w:highlight w:val="none"/>
              </w:rPr>
              <w:t>7</w:t>
            </w:r>
            <w:r>
              <w:rPr>
                <w:rFonts w:hint="eastAsia" w:ascii="宋体" w:hAnsi="宋体" w:eastAsia="宋体"/>
                <w:color w:val="auto"/>
                <w:sz w:val="21"/>
                <w:szCs w:val="21"/>
                <w:highlight w:val="none"/>
              </w:rPr>
              <w:t>项</w:t>
            </w:r>
            <w:bookmarkEnd w:id="43"/>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设置架空线不符合设置架空线行政许可决定</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违反条款：第九条第一款；处罚条款：第十九条第一款 责令限期改正，可以处200元以上2000元以下罚款。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s="宋体"/>
                <w:color w:val="auto"/>
                <w:kern w:val="0"/>
                <w:sz w:val="15"/>
                <w:szCs w:val="15"/>
                <w:highlight w:val="none"/>
                <w:lang w:eastAsia="zh-CN"/>
              </w:rPr>
              <w:t>；</w:t>
            </w:r>
          </w:p>
          <w:p>
            <w:pPr>
              <w:numPr>
                <w:ilvl w:val="0"/>
                <w:numId w:val="0"/>
              </w:num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行政许可有效期届满未清除架空线</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未按要求在架空线的显著位置设置标识信息</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违反条款：第十条第(一)项；处罚条款：第二十条第一款；责令限期改正，可以处200元以上2000元以下罚款。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发现架空线存在影响安全或者市容景观情况未</w:t>
            </w:r>
            <w:r>
              <w:rPr>
                <w:rFonts w:hint="eastAsia" w:ascii="宋体" w:hAnsi="宋体" w:eastAsia="宋体"/>
                <w:color w:val="auto"/>
                <w:sz w:val="15"/>
                <w:szCs w:val="15"/>
                <w:highlight w:val="none"/>
                <w:lang w:eastAsia="zh-CN"/>
              </w:rPr>
              <w:t>立即</w:t>
            </w:r>
            <w:r>
              <w:rPr>
                <w:rFonts w:hint="eastAsia" w:ascii="宋体" w:hAnsi="宋体" w:eastAsia="宋体"/>
                <w:color w:val="auto"/>
                <w:sz w:val="15"/>
                <w:szCs w:val="15"/>
                <w:highlight w:val="none"/>
              </w:rPr>
              <w:t xml:space="preserve">处理 </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违反条款：第十条第(四)项；处罚条款：第二十条第一款；责令限期改正，可以处200元以上2000元以下罚款。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8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发现擅自搭挂的线缆，未按要求清除或者报告</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违反条款：第十条第(六)项；处罚条款：第二十条第一款；责令限期改正，可以处200元以上2000元以下罚款。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经责令改正仍未及时清除或者报告的，自责改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未及时清除废弃架空线</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未按要求实施架空线埋设入地</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经责令改正，仍未制定入地方案，并及时采取入地措施的，自责改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5-9天的，系数1；10-14天的，系数2；15-19天的，系数3；20-24天的，系数4；25-29天的，系数5；以此类推，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45天及以上的，系数9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olor w:val="auto"/>
                <w:sz w:val="15"/>
                <w:szCs w:val="15"/>
                <w:highlight w:val="none"/>
              </w:rPr>
            </w:pPr>
            <w:bookmarkStart w:id="46" w:name="_Toc738602827"/>
            <w:bookmarkStart w:id="47" w:name="_Toc110851452"/>
            <w:bookmarkStart w:id="48" w:name="_Toc1563678502"/>
            <w:r>
              <w:rPr>
                <w:rFonts w:hint="eastAsia" w:ascii="宋体" w:hAnsi="宋体" w:eastAsia="宋体"/>
                <w:color w:val="auto"/>
                <w:sz w:val="21"/>
                <w:szCs w:val="21"/>
                <w:highlight w:val="none"/>
              </w:rPr>
              <w:t>《城市照明管理规定》案由2项</w:t>
            </w:r>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在城市景观照明中有过度照明等超能耗标准行为</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违反条款：第十九条第二款；处罚条款：　第三十一条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责令限期改正；逾期未改正的，处以1000元以上3万元以下的罚款。</w:t>
            </w: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default"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1.持续时间较长的，系数1-9；2.造成较大社会影响的，系数10-19；3.造成严重社会影响的，系数20-29。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widowControl w:val="0"/>
              <w:numPr>
                <w:ilvl w:val="0"/>
                <w:numId w:val="0"/>
              </w:numPr>
              <w:jc w:val="both"/>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4"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实施影响城市照明设施正常运行的行为</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违反条款：第二十八条第（一）项、第（二）项、第（三）项、第（四）项、第（五）项、第（六）项；处罚条款：第三十二条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责令限期改正，对个人处以200元以上1000元以下的罚款；对单位处以1000元以上3万元以下的罚款；造成损失的，依法赔偿损失。</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刻划、涂污照明设施多处，或者严重污损照明设施的，系数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default" w:ascii="宋体" w:hAnsi="宋体" w:eastAsia="宋体" w:cs="宋体"/>
                <w:color w:val="auto"/>
                <w:kern w:val="0"/>
                <w:sz w:val="15"/>
                <w:szCs w:val="15"/>
                <w:highlight w:val="none"/>
                <w:lang w:val="en-US"/>
              </w:rPr>
              <w:t>2.</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strike/>
                <w:dstrike w:val="0"/>
                <w:color w:val="auto"/>
                <w:sz w:val="15"/>
                <w:szCs w:val="15"/>
                <w:highlight w:val="none"/>
              </w:rPr>
            </w:pPr>
          </w:p>
        </w:tc>
        <w:tc>
          <w:tcPr>
            <w:tcW w:w="897" w:type="dxa"/>
            <w:gridSpan w:val="2"/>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1.刻划、涂污照明设施多处，系数1-9；2.严重污损照明设施的，系数10-19；3.存在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79"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宋体" w:hAnsi="宋体" w:eastAsia="宋体"/>
                <w:color w:val="auto"/>
                <w:sz w:val="15"/>
                <w:szCs w:val="15"/>
                <w:highlight w:val="none"/>
              </w:rPr>
            </w:pPr>
            <w:bookmarkStart w:id="49" w:name="_Toc110851453"/>
            <w:bookmarkStart w:id="50" w:name="_Toc1789409752"/>
            <w:bookmarkStart w:id="51" w:name="_Toc275604405"/>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物业管理条例</w:t>
            </w:r>
            <w:r>
              <w:rPr>
                <w:rFonts w:hint="eastAsia" w:ascii="宋体" w:hAnsi="宋体" w:eastAsia="宋体"/>
                <w:color w:val="auto"/>
                <w:sz w:val="21"/>
                <w:szCs w:val="21"/>
                <w:highlight w:val="none"/>
              </w:rPr>
              <w:t>》案由1项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3" w:hRule="atLeast"/>
        </w:trPr>
        <w:tc>
          <w:tcPr>
            <w:tcW w:w="6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占用、堵塞、封闭其他共用部位（或者损坏其他共用设施设备）</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处罚条款：第九十八条第(十)项，责令改正，给予警告，对单位处二千元以上二万元以下的罚款，对个人处二百元以上五百元以下的罚款。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做</w:t>
            </w:r>
            <w:r>
              <w:rPr>
                <w:rFonts w:hint="eastAsia" w:ascii="宋体" w:hAnsi="宋体" w:eastAsia="宋体" w:cs="宋体"/>
                <w:color w:val="auto"/>
                <w:kern w:val="0"/>
                <w:sz w:val="15"/>
                <w:szCs w:val="15"/>
                <w:highlight w:val="none"/>
              </w:rPr>
              <w:t>好与本市机动车停车管理法规、规章，以及与消防部门职责分工的衔接。</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8" w:hRule="atLeast"/>
        </w:trPr>
        <w:tc>
          <w:tcPr>
            <w:tcW w:w="6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1"/>
          <w:wAfter w:w="16" w:type="dxa"/>
          <w:trHeight w:val="617" w:hRule="atLeast"/>
        </w:trPr>
        <w:tc>
          <w:tcPr>
            <w:tcW w:w="15100" w:type="dxa"/>
            <w:gridSpan w:val="15"/>
            <w:tcBorders>
              <w:left w:val="single" w:color="000000" w:sz="4" w:space="0"/>
              <w:bottom w:val="single" w:color="000000" w:sz="4" w:space="0"/>
              <w:right w:val="single" w:color="000000" w:sz="4" w:space="0"/>
            </w:tcBorders>
            <w:shd w:val="clear" w:color="auto" w:fill="auto"/>
            <w:noWrap w:val="0"/>
            <w:vAlign w:val="center"/>
          </w:tcPr>
          <w:p>
            <w:pPr>
              <w:pStyle w:val="2"/>
              <w:bidi w:val="0"/>
              <w:rPr>
                <w:rFonts w:ascii="黑体" w:hAnsi="黑体" w:eastAsia="黑体" w:cs="仿宋_GB2312"/>
                <w:color w:val="auto"/>
                <w:highlight w:val="none"/>
                <w:lang w:val="en"/>
              </w:rPr>
            </w:pPr>
            <w:bookmarkStart w:id="52" w:name="_Toc435705406"/>
            <w:bookmarkStart w:id="53" w:name="_Toc556535299"/>
            <w:r>
              <w:rPr>
                <w:rFonts w:hint="eastAsia" w:ascii="黑体" w:hAnsi="黑体" w:eastAsia="黑体" w:cs="黑体"/>
                <w:b w:val="0"/>
                <w:bCs w:val="0"/>
                <w:color w:val="auto"/>
                <w:sz w:val="28"/>
                <w:szCs w:val="28"/>
                <w:highlight w:val="none"/>
              </w:rPr>
              <w:t>市政管理方面</w:t>
            </w:r>
            <w:bookmarkEnd w:id="52"/>
            <w:bookmarkEnd w:id="5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1"/>
          <w:wAfter w:w="16" w:type="dxa"/>
          <w:trHeight w:val="453" w:hRule="atLeast"/>
        </w:trPr>
        <w:tc>
          <w:tcPr>
            <w:tcW w:w="15100" w:type="dxa"/>
            <w:gridSpan w:val="15"/>
            <w:tcBorders>
              <w:left w:val="single" w:color="000000" w:sz="4" w:space="0"/>
              <w:bottom w:val="single" w:color="000000" w:sz="4" w:space="0"/>
              <w:right w:val="single" w:color="000000" w:sz="4" w:space="0"/>
            </w:tcBorders>
            <w:shd w:val="clear" w:color="auto" w:fill="auto"/>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方正小标宋简体"/>
                <w:b/>
                <w:bCs/>
                <w:color w:val="auto"/>
                <w:szCs w:val="15"/>
                <w:highlight w:val="none"/>
                <w:lang w:val="en"/>
              </w:rPr>
            </w:pPr>
            <w:bookmarkStart w:id="54" w:name="_Toc1018838380"/>
            <w:bookmarkStart w:id="55" w:name="_Toc1361147387"/>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0"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1830" w:type="dxa"/>
            <w:gridSpan w:val="3"/>
            <w:noWrap w:val="0"/>
            <w:vAlign w:val="center"/>
          </w:tcPr>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管理责任人未履行维护管理责任</w:t>
            </w:r>
          </w:p>
        </w:tc>
        <w:tc>
          <w:tcPr>
            <w:tcW w:w="2789" w:type="dxa"/>
            <w:gridSpan w:val="2"/>
            <w:noWrap w:val="0"/>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处罚条款：第三十七条，责令限期改正；逾期不改正的，处三千元以上三万元以下罚款。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同时违反第十四条第一款规定中两项的，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4；同时违反三项及三项以上的，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9。</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19"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w:t>
            </w:r>
          </w:p>
        </w:tc>
        <w:tc>
          <w:tcPr>
            <w:tcW w:w="1830" w:type="dxa"/>
            <w:gridSpan w:val="3"/>
            <w:noWrap w:val="0"/>
            <w:vAlign w:val="center"/>
          </w:tcPr>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管理责任人未在限定的时间内完成整改</w:t>
            </w:r>
          </w:p>
        </w:tc>
        <w:tc>
          <w:tcPr>
            <w:tcW w:w="2789" w:type="dxa"/>
            <w:gridSpan w:val="2"/>
            <w:noWrap w:val="0"/>
            <w:vAlign w:val="center"/>
          </w:tcPr>
          <w:p>
            <w:pPr>
              <w:spacing w:line="250" w:lineRule="exact"/>
              <w:textAlignment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违反条款：第十五条第一款、第二款</w:t>
            </w:r>
            <w:r>
              <w:rPr>
                <w:rFonts w:hint="eastAsia" w:ascii="宋体" w:hAnsi="宋体" w:eastAsia="宋体" w:cs="仿宋_GB2312"/>
                <w:color w:val="auto"/>
                <w:sz w:val="15"/>
                <w:szCs w:val="15"/>
                <w:highlight w:val="none"/>
                <w:lang w:val="en"/>
              </w:rPr>
              <w:t>（需根据实际发生的违法行为选择）</w:t>
            </w:r>
            <w:r>
              <w:rPr>
                <w:rFonts w:hint="eastAsia" w:ascii="宋体" w:hAnsi="宋体" w:eastAsia="宋体" w:cs="仿宋_GB2312"/>
                <w:color w:val="auto"/>
                <w:sz w:val="15"/>
                <w:szCs w:val="15"/>
                <w:highlight w:val="none"/>
              </w:rPr>
              <w:t>；</w:t>
            </w:r>
          </w:p>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处罚条款：第三十八条，责令限期改正；逾期不改正的，处应当建设或者改造的无障碍设施工程造价一倍以上二倍以下罚款。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无障碍设施工程造价款</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罚款数额=无障碍设施工程造价款×（1+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1"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w:t>
            </w:r>
          </w:p>
        </w:tc>
        <w:tc>
          <w:tcPr>
            <w:tcW w:w="1830" w:type="dxa"/>
            <w:gridSpan w:val="3"/>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公共停车场</w:t>
            </w:r>
            <w:r>
              <w:rPr>
                <w:rFonts w:hint="eastAsia" w:ascii="宋体" w:hAnsi="宋体" w:eastAsia="宋体" w:cs="仿宋_GB2312"/>
                <w:color w:val="auto"/>
                <w:sz w:val="15"/>
                <w:szCs w:val="15"/>
                <w:highlight w:val="none"/>
                <w:lang w:val="zh-CN"/>
              </w:rPr>
              <w:t>擅自改变无障碍停车位用途</w:t>
            </w:r>
          </w:p>
        </w:tc>
        <w:tc>
          <w:tcPr>
            <w:tcW w:w="2789" w:type="dxa"/>
            <w:gridSpan w:val="2"/>
            <w:noWrap w:val="0"/>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第十七条第一款；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第三十九条第一款，责令限期改正；逾期不改正的，按照擅自改变用途的无障碍停车位数量，每个泊位处一万元罚款。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10000</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p>
        </w:tc>
        <w:tc>
          <w:tcPr>
            <w:tcW w:w="3426" w:type="dxa"/>
            <w:noWrap w:val="0"/>
            <w:vAlign w:val="center"/>
          </w:tcPr>
          <w:p>
            <w:pPr>
              <w:spacing w:line="250" w:lineRule="exact"/>
              <w:rPr>
                <w:rFonts w:ascii="宋体" w:hAnsi="宋体" w:eastAsia="宋体" w:cs="仿宋_GB2312"/>
                <w:color w:val="auto"/>
                <w:kern w:val="0"/>
                <w:sz w:val="15"/>
                <w:szCs w:val="15"/>
                <w:highlight w:val="none"/>
              </w:rPr>
            </w:pP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罚款数额=10000×改变用途</w:t>
            </w:r>
            <w:r>
              <w:rPr>
                <w:rFonts w:hint="eastAsia" w:ascii="宋体" w:hAnsi="宋体" w:eastAsia="宋体" w:cs="仿宋_GB2312"/>
                <w:color w:val="auto"/>
                <w:sz w:val="15"/>
                <w:szCs w:val="15"/>
                <w:highlight w:val="none"/>
                <w:lang w:val="zh-CN"/>
              </w:rPr>
              <w:t>停车</w:t>
            </w:r>
            <w:r>
              <w:rPr>
                <w:rFonts w:hint="eastAsia" w:ascii="宋体" w:hAnsi="宋体" w:eastAsia="宋体" w:cs="仿宋_GB2312"/>
                <w:color w:val="auto"/>
                <w:sz w:val="15"/>
                <w:szCs w:val="15"/>
                <w:highlight w:val="none"/>
              </w:rPr>
              <w:t>泊位数</w:t>
            </w:r>
          </w:p>
        </w:tc>
        <w:tc>
          <w:tcPr>
            <w:tcW w:w="1982" w:type="dxa"/>
            <w:gridSpan w:val="2"/>
            <w:noWrap w:val="0"/>
            <w:vAlign w:val="center"/>
          </w:tcPr>
          <w:p>
            <w:pPr>
              <w:spacing w:line="250" w:lineRule="exact"/>
              <w:rPr>
                <w:rFonts w:hint="eastAsia" w:ascii="宋体" w:hAnsi="宋体" w:eastAsia="宋体" w:cs="仿宋_GB2312"/>
                <w:color w:val="auto"/>
                <w:kern w:val="0"/>
                <w:sz w:val="15"/>
                <w:szCs w:val="15"/>
                <w:highlight w:val="none"/>
                <w:lang w:val="en" w:eastAsia="zh-CN"/>
              </w:rPr>
            </w:pPr>
          </w:p>
        </w:tc>
        <w:tc>
          <w:tcPr>
            <w:tcW w:w="897"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8"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4</w:t>
            </w:r>
          </w:p>
        </w:tc>
        <w:tc>
          <w:tcPr>
            <w:tcW w:w="1830" w:type="dxa"/>
            <w:gridSpan w:val="3"/>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zh-CN"/>
              </w:rPr>
              <w:t>损毁、侵占或者擅自停止使用道路内无障碍设施</w:t>
            </w:r>
          </w:p>
        </w:tc>
        <w:tc>
          <w:tcPr>
            <w:tcW w:w="2789" w:type="dxa"/>
            <w:gridSpan w:val="2"/>
            <w:noWrap w:val="0"/>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第十九条第一款；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第四十条第一款，责令限期改正；逾期不改正的，处三千元以上三万元以下罚款。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1.对通行秩序、市容秩序造成较大影响的，系数4；2.造成行人伤亡或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2"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w:t>
            </w:r>
          </w:p>
        </w:tc>
        <w:tc>
          <w:tcPr>
            <w:tcW w:w="1830" w:type="dxa"/>
            <w:gridSpan w:val="3"/>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经批准临时占用道路内无障碍设施的，</w:t>
            </w:r>
            <w:r>
              <w:rPr>
                <w:rFonts w:hint="eastAsia" w:ascii="宋体" w:hAnsi="宋体" w:eastAsia="宋体" w:cs="仿宋_GB2312"/>
                <w:color w:val="auto"/>
                <w:sz w:val="15"/>
                <w:szCs w:val="15"/>
                <w:highlight w:val="none"/>
                <w:lang w:val="zh-CN"/>
              </w:rPr>
              <w:t>未设置护栏、警示标志或者语音提示，或者未采取必要的替代措施</w:t>
            </w:r>
            <w:r>
              <w:rPr>
                <w:rFonts w:hint="eastAsia" w:ascii="宋体" w:hAnsi="宋体" w:eastAsia="宋体" w:cs="仿宋_GB2312"/>
                <w:color w:val="auto"/>
                <w:sz w:val="15"/>
                <w:szCs w:val="15"/>
                <w:highlight w:val="none"/>
                <w:lang w:val="en"/>
              </w:rPr>
              <w:t>（需根据实际发生的违法行为选择）</w:t>
            </w:r>
          </w:p>
        </w:tc>
        <w:tc>
          <w:tcPr>
            <w:tcW w:w="2789" w:type="dxa"/>
            <w:gridSpan w:val="2"/>
            <w:noWrap w:val="0"/>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处罚条款：第四十条第二款，责令限期改正；逾期不改正的，处三千元以上三万元以下罚款。</w:t>
            </w:r>
          </w:p>
        </w:tc>
        <w:tc>
          <w:tcPr>
            <w:tcW w:w="851"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6</w:t>
            </w:r>
          </w:p>
        </w:tc>
        <w:tc>
          <w:tcPr>
            <w:tcW w:w="1830" w:type="dxa"/>
            <w:gridSpan w:val="3"/>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经批准临时占用道路内无障碍设施占用期届满，未及时恢复无障碍设施功能</w:t>
            </w:r>
          </w:p>
        </w:tc>
        <w:tc>
          <w:tcPr>
            <w:tcW w:w="2789" w:type="dxa"/>
            <w:gridSpan w:val="2"/>
            <w:noWrap w:val="0"/>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处罚条款：第四十条第二款，责令限期改正；逾期不改正的，处恢复无障碍设施功能所需的工程造价一倍以上二倍以下罚款。</w:t>
            </w:r>
          </w:p>
        </w:tc>
        <w:tc>
          <w:tcPr>
            <w:tcW w:w="851"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恢复无障碍设施功能所需的工程造价</w:t>
            </w:r>
          </w:p>
        </w:tc>
        <w:tc>
          <w:tcPr>
            <w:tcW w:w="840"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对通行秩序、市容秩序造成较大影响的，或者造成行人伤亡或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罚款数额＝恢复无障碍设施功能所需的工程造价×（1+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8" w:hRule="atLeast"/>
        </w:trPr>
        <w:tc>
          <w:tcPr>
            <w:tcW w:w="15100" w:type="dxa"/>
            <w:gridSpan w:val="15"/>
            <w:noWrap w:val="0"/>
            <w:vAlign w:val="center"/>
          </w:tcPr>
          <w:p>
            <w:pPr>
              <w:pStyle w:val="3"/>
              <w:bidi w:val="0"/>
              <w:jc w:val="center"/>
              <w:rPr>
                <w:rFonts w:hint="default" w:ascii="宋体" w:hAnsi="宋体" w:eastAsia="宋体" w:cs="宋体"/>
                <w:color w:val="auto"/>
                <w:sz w:val="21"/>
                <w:szCs w:val="21"/>
                <w:highlight w:val="none"/>
                <w:lang w:val="en-US"/>
              </w:rPr>
            </w:pPr>
            <w:bookmarkStart w:id="56" w:name="_Toc214954267"/>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w:t>
            </w:r>
          </w:p>
        </w:tc>
        <w:tc>
          <w:tcPr>
            <w:tcW w:w="1830" w:type="dxa"/>
            <w:gridSpan w:val="3"/>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gridSpan w:val="2"/>
            <w:vMerge w:val="restart"/>
            <w:noWrap w:val="0"/>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restart"/>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rPr>
            </w:pPr>
          </w:p>
        </w:tc>
        <w:tc>
          <w:tcPr>
            <w:tcW w:w="1830" w:type="dxa"/>
            <w:gridSpan w:val="3"/>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2789"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continue"/>
            <w:noWrap w:val="0"/>
            <w:vAlign w:val="center"/>
          </w:tcPr>
          <w:p>
            <w:pPr>
              <w:spacing w:line="220" w:lineRule="exact"/>
              <w:jc w:val="center"/>
              <w:rPr>
                <w:rFonts w:hint="eastAsia" w:ascii="宋体" w:hAnsi="宋体" w:eastAsia="宋体" w:cs="仿宋_GB2312"/>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2</w:t>
            </w:r>
          </w:p>
        </w:tc>
        <w:tc>
          <w:tcPr>
            <w:tcW w:w="1830" w:type="dxa"/>
            <w:gridSpan w:val="3"/>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gridSpan w:val="2"/>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restart"/>
            <w:noWrap w:val="0"/>
            <w:vAlign w:val="center"/>
          </w:tcPr>
          <w:p>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rPr>
            </w:pPr>
          </w:p>
        </w:tc>
        <w:tc>
          <w:tcPr>
            <w:tcW w:w="1830" w:type="dxa"/>
            <w:gridSpan w:val="3"/>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2789"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3" w:hRule="atLeast"/>
        </w:trPr>
        <w:tc>
          <w:tcPr>
            <w:tcW w:w="15100" w:type="dxa"/>
            <w:gridSpan w:val="15"/>
            <w:noWrap w:val="0"/>
            <w:vAlign w:val="center"/>
          </w:tcPr>
          <w:p>
            <w:pPr>
              <w:pStyle w:val="3"/>
              <w:bidi w:val="0"/>
              <w:jc w:val="center"/>
              <w:rPr>
                <w:color w:val="auto"/>
                <w:highlight w:val="none"/>
              </w:rPr>
            </w:pPr>
            <w:bookmarkStart w:id="58" w:name="_Toc28889216"/>
            <w:r>
              <w:rPr>
                <w:rFonts w:hint="eastAsia"/>
                <w:color w:val="auto"/>
                <w:sz w:val="21"/>
                <w:szCs w:val="21"/>
                <w:highlight w:val="none"/>
              </w:rPr>
              <w:t>《城市道路管理条例》《北京市城市道路管理办法》案由16项</w:t>
            </w:r>
            <w:bookmarkEnd w:id="57"/>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城市道路上设置的检查井、箱盖或者城市道路附属设施发生缺损未及时补缺或者修复</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处罚条款：《条例》第四十二条第（一）项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jc w:val="lef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擅自占用、挖掘城市道路</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违反条款：《条例》第二十七条第（一）项；处罚条款：《条例》第四十二条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5000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000元以下处罚额度决定的，说明理由，报案审会决定。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城市道路养护、维修工程施工现场未设置明显标志和安全防围设施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1.违法行为持续2天以上的，含2天，系数1</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2.违法地点位于人口相对集中地区或者交通路口等存在较大安全隐患的情形，系数2</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3.造成行人伤亡或</w:t>
            </w:r>
            <w:r>
              <w:rPr>
                <w:rFonts w:hint="eastAsia" w:ascii="宋体" w:hAnsi="宋体" w:eastAsia="宋体" w:cs="宋体"/>
                <w:color w:val="auto"/>
                <w:spacing w:val="-4"/>
                <w:kern w:val="0"/>
                <w:sz w:val="15"/>
                <w:szCs w:val="15"/>
                <w:highlight w:val="none"/>
                <w:lang w:eastAsia="zh-CN"/>
              </w:rPr>
              <w:t>其他</w:t>
            </w:r>
            <w:r>
              <w:rPr>
                <w:rFonts w:hint="eastAsia" w:ascii="宋体" w:hAnsi="宋体" w:eastAsia="宋体" w:cs="宋体"/>
                <w:color w:val="auto"/>
                <w:spacing w:val="-4"/>
                <w:kern w:val="0"/>
                <w:sz w:val="15"/>
                <w:szCs w:val="15"/>
                <w:highlight w:val="none"/>
              </w:rPr>
              <w:t>严重事故的，系数9。</w:t>
            </w:r>
            <w:r>
              <w:rPr>
                <w:rFonts w:hint="eastAsia" w:ascii="宋体" w:hAnsi="宋体" w:eastAsia="宋体" w:cs="宋体"/>
                <w:color w:val="auto"/>
                <w:spacing w:val="-4"/>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挖掘城市道路施工现场未设置明显标志和安全防围设施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1.违法行为持续2天以上的，含2天，系数1；2.违法地点位于人口相对集中地区或者交通路口等存在较大安全隐患的情形，系数2；3.造成行人伤亡或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占用城市道路期满未及时清理现场</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 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挖掘城市道路竣工未及时清理现场</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紧急抢修埋设在城市道路下的管线，未按照规定补办批准手续</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处罚条款：《条例》第四十二条第（五）项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应在24小时内申请补办，逾期未申请补办的</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1天的，系数1；逾期2天的，系数2；逾期3天的，系数3；逾期4天的，系数4；逾期5天的，系数5；以此类推，逾期9天及以上的，系数9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未按照批准的要求占用或者挖掘城市道路</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违反条款：《条例》第三十六条；</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处罚条款：《条例》第四十二条第（六）项 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履带车、铁轮车或者超重、超高、超长车辆未按规定在城市道路上行驶</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违反条款：《条例》第二十七条第（二）项；处罚条款：《条例》第四十二条：责令限期改正，可以处以2万元以下的罚款。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5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机动车在桥梁或者非指定的城市道路上试刹车</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违反条款：《条例》第二十七条第（三）项。处罚条款：《条例》第四十二条：责令限期改正，可以处以2万元以下的罚款。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擅自在城市道路上建设建筑物、搭建构筑物</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违反条款：《条例》第二十七条第（四）项；处罚条款：《条例》第四十二条：责令限期改正，可以处以2万元以下的罚款。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在桥梁上架设压力在4公斤/平方厘米（0.4兆帕）以上的煤气管道、10千伏以上的高压电线和</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易燃易爆管线</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违反条款：《条例》第二十七条第（五）项；处罚条款：《条例》第四十二条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1.造成人员伤亡或者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严重事故的，系数3；2.对桥梁造成损害影响使用的，系数3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000元以下处罚额度决定的，说明理由，报案审会决定。</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擅自在桥梁或者路灯设施上设置广告牌或者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挂浮物</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违反条款：《条例》第二十七条第（六）项；处罚条款：《条例》第四十二条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严重事故的，系数9；3.对桥梁、路灯设施造成损坏影响使用的，系数9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14</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擅自依附城市道路、桥梁设置各种管线、杆线等设施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违反条款：《条例》第二十九条；处罚条款：《条例》第四十二条第（四）项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安全隐患的，系数4；2.造成行人伤亡或者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5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擅自拆改、移动城市道路设施或者设置障碍物</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利用城市桥梁进行牵拉、吊装等施工作业</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33"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59" w:name="_Toc110851455"/>
            <w:bookmarkStart w:id="60" w:name="_Toc1973624040"/>
            <w:bookmarkStart w:id="61" w:name="_Toc779823906"/>
            <w:r>
              <w:rPr>
                <w:rFonts w:hint="eastAsia" w:ascii="宋体" w:hAnsi="宋体" w:eastAsia="宋体"/>
                <w:color w:val="auto"/>
                <w:sz w:val="21"/>
                <w:szCs w:val="21"/>
                <w:highlight w:val="none"/>
              </w:rPr>
              <w:t>《北京市地下设施检查井井盖管理规定》案由5项</w:t>
            </w:r>
            <w:bookmarkEnd w:id="59"/>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井盖管理单位未建立管理制度</w:t>
            </w:r>
          </w:p>
        </w:tc>
        <w:tc>
          <w:tcPr>
            <w:tcW w:w="2789" w:type="dxa"/>
            <w:gridSpan w:val="2"/>
            <w:noWrap w:val="0"/>
            <w:vAlign w:val="center"/>
          </w:tcPr>
          <w:p>
            <w:pPr>
              <w:spacing w:line="22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违反条款：第九条第一款；处罚条款：第十一条第一款，责令限期改正，并可处200元以上2000元以下罚款。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需要给予1000元以下处罚的，报案审会决定。</w:t>
            </w:r>
          </w:p>
        </w:tc>
        <w:tc>
          <w:tcPr>
            <w:tcW w:w="897" w:type="dxa"/>
            <w:gridSpan w:val="2"/>
            <w:noWrap w:val="0"/>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97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未及时补装、维修或更换井盖</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违反条款：第九条第二款；处罚条款：第十一条第一款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责令限期改正，并可处200元以上2000元以下罚款。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p>
        </w:tc>
        <w:tc>
          <w:tcPr>
            <w:tcW w:w="897" w:type="dxa"/>
            <w:gridSpan w:val="2"/>
            <w:noWrap w:val="0"/>
            <w:vAlign w:val="center"/>
          </w:tcPr>
          <w:p>
            <w:pPr>
              <w:spacing w:line="2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擅自移动井盖</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擅自移动车站、机场、居民小区、医院、学校、体育场馆、影剧院、繁华商业街区、旅游景区等人口集中地区井盖的，系数4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8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井盖作业未采取安全措施</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井盖作业完毕未及时清理现场、恢复原状</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5"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62" w:name="_Toc1693504403"/>
            <w:bookmarkStart w:id="63" w:name="_Toc110851456"/>
            <w:bookmarkStart w:id="64" w:name="_Toc437566120"/>
            <w:r>
              <w:rPr>
                <w:rFonts w:hint="eastAsia" w:ascii="黑体" w:hAnsi="黑体" w:eastAsia="黑体"/>
                <w:b w:val="0"/>
                <w:color w:val="auto"/>
                <w:sz w:val="28"/>
                <w:szCs w:val="28"/>
                <w:highlight w:val="none"/>
              </w:rPr>
              <w:t>公用事业管理方面</w:t>
            </w:r>
            <w:bookmarkEnd w:id="62"/>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54"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65" w:name="_Toc110851457"/>
            <w:bookmarkStart w:id="66" w:name="_Toc1349825120"/>
            <w:bookmarkStart w:id="67" w:name="_Toc692158629"/>
            <w:r>
              <w:rPr>
                <w:rFonts w:hint="eastAsia" w:ascii="宋体" w:hAnsi="宋体" w:eastAsia="宋体"/>
                <w:color w:val="auto"/>
                <w:sz w:val="21"/>
                <w:szCs w:val="21"/>
                <w:highlight w:val="none"/>
              </w:rPr>
              <w:t>《城镇燃气管理条例》案由30项</w:t>
            </w:r>
            <w:bookmarkEnd w:id="65"/>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未取得燃气经营许可从事经营活动</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违反条款：第十五条第一款；处罚条款：第四十五条第一款 责令停止违法行为，处5万元以上50万元以下罚款。有违法所得的，没收违法所得。</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1.跨区级区域经营的或者违规经营规模较大(气瓶数量超过28个)，系数5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7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不按照燃气经营许可的规定从事经营活动</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宋体"/>
                <w:color w:val="auto"/>
                <w:kern w:val="0"/>
                <w:sz w:val="15"/>
                <w:szCs w:val="15"/>
                <w:highlight w:val="none"/>
              </w:rPr>
              <w:t>，或者经营场所在人口集中地区、人员密集场所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tcBorders>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s="宋体"/>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tcBorders>
              <w:left w:val="single" w:color="auto" w:sz="4" w:space="0"/>
            </w:tcBorders>
            <w:shd w:val="clear" w:color="auto" w:fill="FFFFFF"/>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6"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拒绝向市政燃气管网覆盖范围内符合用气条件的单位或者个人供气</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1.断供超过12小时的，或影响1000户以上（含1000户）居民无法正常供气超过2小时的，系数9；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tcBorders>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w:t>
            </w:r>
            <w:r>
              <w:rPr>
                <w:rFonts w:ascii="宋体" w:hAnsi="宋体" w:eastAsia="宋体"/>
                <w:color w:val="auto"/>
                <w:sz w:val="15"/>
                <w:szCs w:val="15"/>
                <w:highlight w:val="none"/>
              </w:rPr>
              <w:t>市政燃气管网覆盖范围内</w:t>
            </w:r>
            <w:r>
              <w:rPr>
                <w:rFonts w:hint="eastAsia" w:ascii="宋体" w:hAnsi="宋体" w:eastAsia="宋体"/>
                <w:color w:val="auto"/>
                <w:sz w:val="15"/>
                <w:szCs w:val="15"/>
                <w:highlight w:val="none"/>
              </w:rPr>
              <w:t>燃气断供超过12小时的，或影响1000户以上（含1000户）居民无法正常供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宋体" w:hAnsi="宋体" w:eastAsia="宋体"/>
                <w:color w:val="auto"/>
                <w:sz w:val="15"/>
                <w:szCs w:val="15"/>
                <w:highlight w:val="none"/>
              </w:rPr>
              <w:t>的</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4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倒卖、抵押、出租、出借、转让、涂改燃气经营许可证</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燃气安全隐患的，系数9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85"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擅自停止供气、调整供气量，或者擅自停业或者歇业</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 2.导致</w:t>
            </w:r>
            <w:r>
              <w:rPr>
                <w:rFonts w:ascii="宋体" w:hAnsi="宋体" w:eastAsia="宋体"/>
                <w:color w:val="auto"/>
                <w:sz w:val="15"/>
                <w:szCs w:val="15"/>
                <w:highlight w:val="none"/>
              </w:rPr>
              <w:t>燃气管网覆盖范围内</w:t>
            </w:r>
            <w:r>
              <w:rPr>
                <w:rFonts w:hint="eastAsia" w:ascii="宋体" w:hAnsi="宋体" w:eastAsia="宋体"/>
                <w:color w:val="auto"/>
                <w:sz w:val="15"/>
                <w:szCs w:val="15"/>
                <w:highlight w:val="none"/>
              </w:rPr>
              <w:t>燃气断供超过12小时，或者100户以上（含100户）居民无法正常用气超过24小时的；或影响1000户以上（含1000户）居民无法正常供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71"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向未取得燃气经营许可证的单位或者个人提供用于经营的燃气</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提供液化石油气瓶数量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.持续时间超过半年的，系数4；持续时间1年以上，系数9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35"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燃气经营者在不具备安全条件的场所储存燃气</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6个及以上的，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7；8个及以上的，系数9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9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要求燃气用户购买其指定的产品或者接受其提供的服务</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涉及燃气非居民、居民用户</w:t>
            </w:r>
            <w:r>
              <w:rPr>
                <w:rFonts w:hint="eastAsia" w:ascii="宋体" w:hAnsi="宋体" w:cs="宋体"/>
                <w:b w:val="0"/>
                <w:bCs w:val="0"/>
                <w:color w:val="auto"/>
                <w:kern w:val="0"/>
                <w:sz w:val="15"/>
                <w:szCs w:val="15"/>
                <w:highlight w:val="none"/>
                <w:lang w:val="en-US" w:eastAsia="zh-CN"/>
              </w:rPr>
              <w:t>5户及以上的，系数1；10户及以上的，系数3；15户及以上的，系数5；20户及以上的，系数7；25户及以上的，系数9。2.</w:t>
            </w:r>
            <w:r>
              <w:rPr>
                <w:rFonts w:hint="eastAsia" w:ascii="宋体" w:hAnsi="宋体" w:eastAsia="宋体" w:cs="宋体"/>
                <w:color w:val="auto"/>
                <w:kern w:val="0"/>
                <w:sz w:val="15"/>
                <w:szCs w:val="15"/>
                <w:highlight w:val="none"/>
              </w:rPr>
              <w:t>发生燃气安全事故，经事故调查部门认定，事故发生与其提供的产品或服务存在因果关系的，系数9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未向燃气用户持续、稳定、安全供应符合国家质量标准的燃气，或者未对燃气用户的燃气设施定期进行安全检查</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9；2</w:t>
            </w:r>
            <w:r>
              <w:rPr>
                <w:rFonts w:hint="eastAsia" w:ascii="宋体" w:hAnsi="宋体" w:eastAsia="宋体" w:cs="宋体"/>
                <w:color w:val="auto"/>
                <w:kern w:val="0"/>
                <w:sz w:val="15"/>
                <w:szCs w:val="15"/>
                <w:highlight w:val="none"/>
              </w:rPr>
              <w:t>.发生燃气安全事故，经事故调查部门认定，事故发生与其提供的燃气质量不符合国家标准，或者未履行定期安全检查义务存在因果关系的，系数9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销售充装单位擅自为非自有气瓶充装的瓶装燃气</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违反条款：第十八条第（八）项；处罚条款：第四十七条第二款 责令改正，可以处1万元以下罚款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充装气瓶数量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5个及以上的，系数1；10个及以上的，系数2；15个及以上的，系数3；20个及以上的，系数4；25个及以上的，系数5；以此类推，45个及以上的，系数9。2.</w:t>
            </w:r>
            <w:r>
              <w:rPr>
                <w:rFonts w:hint="eastAsia" w:ascii="宋体" w:hAnsi="宋体" w:eastAsia="宋体" w:cs="宋体"/>
                <w:b w:val="0"/>
                <w:bCs w:val="0"/>
                <w:color w:val="auto"/>
                <w:kern w:val="0"/>
                <w:sz w:val="15"/>
                <w:szCs w:val="15"/>
                <w:highlight w:val="none"/>
              </w:rPr>
              <w:t>违法行为持续时间超过半年的，系数4；1年以上，系数9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9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未按规定设置燃气设施保护装置和安全警示标志</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《城镇燃气管理条例》违反条款：第三十五条；处罚条款：第四十八条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未按规定设置燃气设施保护装置和安全警示标志</w:t>
            </w:r>
            <w:r>
              <w:rPr>
                <w:rFonts w:hint="eastAsia" w:ascii="宋体" w:hAnsi="宋体" w:eastAsia="宋体" w:cs="宋体"/>
                <w:b w:val="0"/>
                <w:bCs w:val="0"/>
                <w:color w:val="auto"/>
                <w:kern w:val="0"/>
                <w:sz w:val="15"/>
                <w:szCs w:val="15"/>
                <w:highlight w:val="none"/>
                <w:lang w:val="en-US" w:eastAsia="zh-CN"/>
              </w:rPr>
              <w:t>2处的，系数1；</w:t>
            </w:r>
            <w:r>
              <w:rPr>
                <w:rFonts w:hint="eastAsia" w:ascii="宋体" w:hAnsi="宋体" w:cs="宋体"/>
                <w:b w:val="0"/>
                <w:bCs w:val="0"/>
                <w:color w:val="auto"/>
                <w:kern w:val="0"/>
                <w:sz w:val="15"/>
                <w:szCs w:val="15"/>
                <w:highlight w:val="none"/>
                <w:lang w:val="en-US" w:eastAsia="zh-CN"/>
              </w:rPr>
              <w:t>3处的，系数2；</w:t>
            </w:r>
            <w:r>
              <w:rPr>
                <w:rFonts w:hint="eastAsia" w:ascii="宋体" w:hAnsi="宋体" w:eastAsia="宋体" w:cs="宋体"/>
                <w:b w:val="0"/>
                <w:bCs w:val="0"/>
                <w:color w:val="auto"/>
                <w:kern w:val="0"/>
                <w:sz w:val="15"/>
                <w:szCs w:val="15"/>
                <w:highlight w:val="none"/>
                <w:lang w:val="en-US" w:eastAsia="zh-CN"/>
              </w:rPr>
              <w:t>4处的，系数3；</w:t>
            </w:r>
            <w:r>
              <w:rPr>
                <w:rFonts w:hint="eastAsia" w:ascii="宋体" w:hAnsi="宋体" w:cs="宋体"/>
                <w:b w:val="0"/>
                <w:bCs w:val="0"/>
                <w:color w:val="auto"/>
                <w:kern w:val="0"/>
                <w:sz w:val="15"/>
                <w:szCs w:val="15"/>
                <w:highlight w:val="none"/>
                <w:lang w:val="en-US" w:eastAsia="zh-CN"/>
              </w:rPr>
              <w:t>5处的，系数4；6处的，系数5；</w:t>
            </w:r>
            <w:r>
              <w:rPr>
                <w:rFonts w:hint="eastAsia" w:ascii="宋体" w:hAnsi="宋体" w:eastAsia="宋体" w:cs="宋体"/>
                <w:b w:val="0"/>
                <w:bCs w:val="0"/>
                <w:color w:val="auto"/>
                <w:kern w:val="0"/>
                <w:sz w:val="15"/>
                <w:szCs w:val="15"/>
                <w:highlight w:val="none"/>
                <w:lang w:val="en-US" w:eastAsia="zh-CN"/>
              </w:rPr>
              <w:t>以此类推</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每增加1处，系数加1，10处及以上的，系数9。2.</w:t>
            </w:r>
            <w:r>
              <w:rPr>
                <w:rFonts w:hint="eastAsia" w:ascii="宋体" w:hAnsi="宋体" w:eastAsia="宋体" w:cs="宋体"/>
                <w:b w:val="0"/>
                <w:bCs w:val="0"/>
                <w:color w:val="auto"/>
                <w:kern w:val="0"/>
                <w:sz w:val="15"/>
                <w:szCs w:val="15"/>
                <w:highlight w:val="none"/>
              </w:rPr>
              <w:t>发生在人口集中地区或人员密集场所的，系数4</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75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spacing w:line="232" w:lineRule="exact"/>
              <w:rPr>
                <w:rFonts w:ascii="宋体" w:hAnsi="宋体" w:eastAsia="宋体" w:cs="宋体"/>
                <w:strike/>
                <w:dstrike w:val="0"/>
                <w:color w:val="auto"/>
                <w:kern w:val="0"/>
                <w:sz w:val="15"/>
                <w:szCs w:val="15"/>
                <w:highlight w:val="none"/>
              </w:rPr>
            </w:pPr>
          </w:p>
          <w:p>
            <w:pPr>
              <w:pStyle w:val="8"/>
              <w:rPr>
                <w:rFonts w:hint="eastAsia"/>
                <w:color w:val="auto"/>
                <w:highlight w:val="none"/>
                <w:lang w:val="en-US" w:eastAsia="zh-CN"/>
              </w:rPr>
            </w:pPr>
            <w:r>
              <w:rPr>
                <w:rFonts w:hint="eastAsia" w:ascii="宋体" w:hAnsi="宋体" w:eastAsia="宋体" w:cs="Times New Roman"/>
                <w:color w:val="auto"/>
                <w:spacing w:val="-4"/>
                <w:sz w:val="15"/>
                <w:szCs w:val="15"/>
                <w:highlight w:val="none"/>
                <w:lang w:val="en-US" w:eastAsia="zh-CN"/>
              </w:rPr>
              <w:t>依据应急管理部门的裁量权基准执行。</w:t>
            </w:r>
          </w:p>
          <w:p>
            <w:pPr>
              <w:spacing w:line="232" w:lineRule="exact"/>
              <w:rPr>
                <w:rFonts w:ascii="宋体" w:hAnsi="宋体" w:eastAsia="宋体" w:cs="宋体"/>
                <w:strike/>
                <w:dstrike w:val="0"/>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对燃气经营者</w:t>
            </w:r>
            <w:r>
              <w:rPr>
                <w:rFonts w:hint="eastAsia" w:ascii="宋体" w:hAnsi="宋体" w:eastAsia="宋体" w:cs="宋体"/>
                <w:color w:val="auto"/>
                <w:kern w:val="0"/>
                <w:sz w:val="15"/>
                <w:szCs w:val="15"/>
                <w:highlight w:val="none"/>
              </w:rPr>
              <w:t>的</w:t>
            </w:r>
            <w:r>
              <w:rPr>
                <w:rFonts w:ascii="宋体" w:hAnsi="宋体" w:eastAsia="宋体" w:cs="宋体"/>
                <w:color w:val="auto"/>
                <w:kern w:val="0"/>
                <w:sz w:val="15"/>
                <w:szCs w:val="15"/>
                <w:highlight w:val="none"/>
              </w:rPr>
              <w:t>违法行为，适用《城镇燃气管理条例》处罚。逾期未改正的，应另行立案，适用《中华人民共和国安全生产法》“逾期未改正”情形处罚。</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燃气经营者未定期进行巡查、检测、维修和维护 </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.未按燃气管理部门要求整改，或整改后再次发生类似违法行为的，系数9；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未采取措施及时消除燃气安全事故隐患</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违反条款：《城镇燃气管理条例》第四十一条第一款；处罚条款：第四十八条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p>
            <w:pPr>
              <w:spacing w:line="232" w:lineRule="exact"/>
              <w:rPr>
                <w:color w:val="auto"/>
                <w:highlight w:val="none"/>
              </w:rPr>
            </w:pPr>
            <w:r>
              <w:rPr>
                <w:rFonts w:hint="eastAsia" w:ascii="宋体" w:hAnsi="宋体" w:eastAsia="宋体"/>
                <w:color w:val="auto"/>
                <w:sz w:val="15"/>
                <w:szCs w:val="15"/>
                <w:highlight w:val="none"/>
              </w:rPr>
              <w:t>对燃气经营者相关违法行为，适用《城镇燃气管理条例》处罚。拒不执行的，应另行立案，适用《中华人民共和国安全生产法》“拒不执行”情形处罚。</w:t>
            </w:r>
          </w:p>
          <w:p>
            <w:pPr>
              <w:pStyle w:val="22"/>
              <w:ind w:left="0" w:leftChars="0" w:firstLine="0" w:firstLineChars="0"/>
              <w:rPr>
                <w:color w:val="auto"/>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6992" w:type="dxa"/>
            <w:gridSpan w:val="5"/>
            <w:noWrap w:val="0"/>
            <w:vAlign w:val="center"/>
          </w:tcPr>
          <w:p>
            <w:pPr>
              <w:pStyle w:val="8"/>
              <w:rPr>
                <w:rFonts w:ascii="宋体" w:hAnsi="宋体" w:eastAsia="宋体" w:cs="宋体"/>
                <w:strike/>
                <w:dstrike w:val="0"/>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依据应急管理部门的裁量权基准执行。</w:t>
            </w:r>
          </w:p>
        </w:tc>
        <w:tc>
          <w:tcPr>
            <w:tcW w:w="1982" w:type="dxa"/>
            <w:gridSpan w:val="2"/>
            <w:noWrap w:val="0"/>
            <w:vAlign w:val="center"/>
          </w:tcPr>
          <w:p>
            <w:pPr>
              <w:spacing w:line="232" w:lineRule="exact"/>
              <w:ind w:firstLine="242"/>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擅自操作公用燃气阀门</w:t>
            </w:r>
          </w:p>
        </w:tc>
        <w:tc>
          <w:tcPr>
            <w:tcW w:w="2789" w:type="dxa"/>
            <w:gridSpan w:val="2"/>
            <w:noWrap w:val="0"/>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lang w:val="en-US" w:eastAsia="zh-CN"/>
              </w:rPr>
              <w:t>安</w:t>
            </w:r>
            <w:r>
              <w:rPr>
                <w:rFonts w:hint="eastAsia" w:ascii="宋体" w:hAnsi="宋体" w:eastAsia="宋体" w:cs="宋体"/>
                <w:color w:val="auto"/>
                <w:kern w:val="0"/>
                <w:sz w:val="15"/>
                <w:szCs w:val="15"/>
                <w:highlight w:val="none"/>
              </w:rPr>
              <w:t>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将燃气管道作为负重支架或者接地引线</w:t>
            </w:r>
          </w:p>
        </w:tc>
        <w:tc>
          <w:tcPr>
            <w:tcW w:w="2789" w:type="dxa"/>
            <w:gridSpan w:val="2"/>
            <w:noWrap w:val="0"/>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安装、使用不符合气源要求的燃气燃烧器具</w:t>
            </w:r>
          </w:p>
        </w:tc>
        <w:tc>
          <w:tcPr>
            <w:tcW w:w="2789" w:type="dxa"/>
            <w:gridSpan w:val="2"/>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default" w:ascii="宋体" w:hAnsi="宋体" w:eastAsia="宋体"/>
                <w:color w:val="auto"/>
                <w:sz w:val="15"/>
                <w:szCs w:val="15"/>
                <w:highlight w:val="none"/>
                <w:lang w:val="en" w:eastAsia="zh-CN"/>
              </w:rPr>
              <w:t>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lang w:val="en-US" w:eastAsia="zh-CN"/>
              </w:rPr>
              <w:t>3</w:t>
            </w:r>
            <w:r>
              <w:rPr>
                <w:rFonts w:hint="default" w:ascii="宋体" w:hAnsi="宋体" w:eastAsia="宋体"/>
                <w:color w:val="auto"/>
                <w:sz w:val="15"/>
                <w:szCs w:val="15"/>
                <w:highlight w:val="none"/>
                <w:lang w:val="en" w:eastAsia="zh-CN"/>
              </w:rPr>
              <w:t>.</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擅自安装、改装、拆除户内燃气设施和燃气计量装置</w:t>
            </w:r>
          </w:p>
        </w:tc>
        <w:tc>
          <w:tcPr>
            <w:tcW w:w="2789" w:type="dxa"/>
            <w:gridSpan w:val="2"/>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在不具备安全条件的场所使用、储存燃气</w:t>
            </w:r>
          </w:p>
        </w:tc>
        <w:tc>
          <w:tcPr>
            <w:tcW w:w="2789" w:type="dxa"/>
            <w:gridSpan w:val="2"/>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以此类推，</w:t>
            </w:r>
            <w:r>
              <w:rPr>
                <w:rFonts w:hint="eastAsia" w:ascii="宋体" w:hAnsi="宋体" w:eastAsia="宋体" w:cs="宋体"/>
                <w:b w:val="0"/>
                <w:bCs w:val="0"/>
                <w:color w:val="auto"/>
                <w:kern w:val="0"/>
                <w:sz w:val="15"/>
                <w:szCs w:val="15"/>
                <w:highlight w:val="none"/>
                <w:lang w:val="en-US" w:eastAsia="zh-CN"/>
              </w:rPr>
              <w:t>8个及以上的，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改变燃气用途或者转供燃气</w:t>
            </w:r>
          </w:p>
        </w:tc>
        <w:tc>
          <w:tcPr>
            <w:tcW w:w="2789"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未设立售后服务站点或者未配备经考核合格的燃气燃烧器具安装、维修人员</w:t>
            </w:r>
          </w:p>
        </w:tc>
        <w:tc>
          <w:tcPr>
            <w:tcW w:w="2789"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hint="eastAsia" w:ascii="宋体" w:hAnsi="宋体" w:eastAsia="宋体"/>
                <w:color w:val="auto"/>
                <w:sz w:val="15"/>
                <w:szCs w:val="15"/>
                <w:highlight w:val="none"/>
              </w:rPr>
            </w:pPr>
          </w:p>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燃气燃烧器具的安装、维修不符合国家有关标准</w:t>
            </w:r>
          </w:p>
        </w:tc>
        <w:tc>
          <w:tcPr>
            <w:tcW w:w="2789"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在燃气设施保护范围内进行爆破取土等作业或者动用明火</w:t>
            </w:r>
          </w:p>
        </w:tc>
        <w:tc>
          <w:tcPr>
            <w:tcW w:w="2789" w:type="dxa"/>
            <w:gridSpan w:val="2"/>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违反条款：第三十三条第二款第（二）项；处罚条款：第五十条第一款第（一）项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190" w:lineRule="exact"/>
              <w:rPr>
                <w:rFonts w:ascii="宋体" w:hAnsi="宋体" w:eastAsia="宋体"/>
                <w:color w:val="auto"/>
                <w:sz w:val="15"/>
                <w:szCs w:val="15"/>
                <w:highlight w:val="none"/>
              </w:rPr>
            </w:pPr>
          </w:p>
        </w:tc>
        <w:tc>
          <w:tcPr>
            <w:tcW w:w="2789" w:type="dxa"/>
            <w:gridSpan w:val="2"/>
            <w:vMerge w:val="continue"/>
            <w:noWrap w:val="0"/>
            <w:vAlign w:val="center"/>
          </w:tcPr>
          <w:p>
            <w:pPr>
              <w:spacing w:line="190" w:lineRule="exact"/>
              <w:rPr>
                <w:rFonts w:ascii="宋体" w:hAnsi="宋体" w:eastAsia="宋体" w:cs="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在燃气设施保护范围内倾倒、排放腐蚀性物质</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违反条款：第三十三条第二款第（三）项；处罚条款：第五十条第一款第（二）项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在燃气设施保护范围内放置易燃易爆物品或者种植深根植物</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违反条款：第三十三条第二款第（四）项；处罚条款：第五十条第一款第（三）项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6"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影响用气情形的，系数7；</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17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在燃气设施保护范围内擅自从事敷设管道、打桩、顶进、挖掘、钻探等可能影响燃气设施安全活动</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违反条款：第三十四条；处罚条款：第五十条第一款第（四）项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897" w:type="dxa"/>
            <w:gridSpan w:val="2"/>
            <w:vMerge w:val="restart"/>
            <w:noWrap w:val="0"/>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897" w:type="dxa"/>
            <w:gridSpan w:val="2"/>
            <w:vMerge w:val="continue"/>
            <w:noWrap w:val="0"/>
            <w:vAlign w:val="center"/>
          </w:tcPr>
          <w:p>
            <w:pPr>
              <w:spacing w:line="17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0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侵占、毁损、擅自拆除、移动燃气设施</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违反条款：第三十六条第一款；处罚条款：第五十一条第一款 责令限期改正，恢复原状或者采取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擅自改动市政燃气设施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pStyle w:val="22"/>
              <w:ind w:left="0" w:leftChars="0" w:firstLine="0" w:firstLineChars="0"/>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毁损、覆盖、涂改、擅自拆除或者移动燃气设施安全警示标志</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违反条款：第三十六条第一款；处罚条款：第五十一条第二款 责令限期改正，恢复原状，可以处5000元以下罚款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 xml:space="preserve"> 发生在人口集中地区或人员密集场所的，系数2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.导致相关燃气安全事故的，系数4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处以1000元以下的罚款。按照办法规定和实际情况执行。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建设单位未会同施工单位与管道燃气经营者共同制定燃气设施保护方案</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建设单位、施工单位未采取安全保护措施，确保燃气设施运行安全</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相关燃气安全事故的，系数9。</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6"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68" w:name="_Toc1968530984"/>
            <w:bookmarkStart w:id="69" w:name="_Toc110851458"/>
            <w:bookmarkStart w:id="70" w:name="_Toc1947883782"/>
            <w:r>
              <w:rPr>
                <w:rFonts w:hint="eastAsia" w:ascii="宋体" w:hAnsi="宋体" w:eastAsia="宋体"/>
                <w:color w:val="auto"/>
                <w:sz w:val="21"/>
                <w:szCs w:val="21"/>
                <w:highlight w:val="none"/>
              </w:rPr>
              <w:t>《北京市燃气管理条例》案由26项</w:t>
            </w:r>
            <w:bookmarkEnd w:id="68"/>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未取得燃气经营许可从事燃气经营活动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处罚条款：第五十五条第一款 责令停止违法行为，处五万元以上五十万元以下罚款；有违法所得的，没收违法所得。</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rPr>
              <w:t>1.跨区级区域经营或者违规经营规模较大(气瓶数量超过28个)，系数5；</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或者邻近电力、管线等需要特殊保护的场所的</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2</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燃气供应企业不按照燃气经营许可决定的要求从事燃气经营活动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违反条款：第十六条第四款；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p>
            <w:pPr>
              <w:spacing w:line="232" w:lineRule="exact"/>
              <w:rPr>
                <w:rFonts w:ascii="宋体" w:hAnsi="宋体" w:eastAsia="宋体" w:cs="仿宋_GB2312"/>
                <w:color w:val="auto"/>
                <w:kern w:val="0"/>
                <w:sz w:val="15"/>
                <w:szCs w:val="15"/>
                <w:highlight w:val="none"/>
              </w:rPr>
            </w:pP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6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3</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燃气供应企业不符合燃气经营许可条件要求从事燃气经营活动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安全隐患的，系数6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autoSpaceDE w:val="0"/>
              <w:spacing w:before="100" w:beforeAutospacing="1" w:after="100" w:afterAutospacing="1"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0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4</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燃气供应企业违反规定情形与非居民用户签订供用气合同（进行供气）</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第二十条（一）（二）（三）项（根据实际情况选择适用）；</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12" w:lineRule="exact"/>
              <w:rPr>
                <w:rFonts w:ascii="宋体" w:hAnsi="宋体" w:eastAsia="宋体" w:cs="仿宋_GB2312"/>
                <w:color w:val="auto"/>
                <w:spacing w:val="-4"/>
                <w:kern w:val="0"/>
                <w:sz w:val="15"/>
                <w:szCs w:val="15"/>
                <w:highlight w:val="none"/>
              </w:rPr>
            </w:pPr>
            <w:r>
              <w:rPr>
                <w:rFonts w:hint="eastAsia" w:ascii="宋体" w:hAnsi="宋体" w:eastAsia="宋体" w:cs="仿宋_GB2312"/>
                <w:color w:val="auto"/>
                <w:spacing w:val="-4"/>
                <w:kern w:val="0"/>
                <w:sz w:val="15"/>
                <w:szCs w:val="15"/>
                <w:highlight w:val="none"/>
              </w:rPr>
              <w:t>1.存在第二十条第（二）项违法行为的，系数1；2.同时违反第二十条第（一）（二）（三）项中两项违法行为的，系数2；两项以上违法行为的，系数3-4；3.发生燃气事故，或者</w:t>
            </w:r>
            <w:r>
              <w:rPr>
                <w:rFonts w:hint="eastAsia" w:ascii="宋体" w:hAnsi="宋体" w:eastAsia="宋体" w:cs="仿宋_GB2312"/>
                <w:color w:val="auto"/>
                <w:spacing w:val="-4"/>
                <w:kern w:val="0"/>
                <w:sz w:val="15"/>
                <w:szCs w:val="15"/>
                <w:highlight w:val="none"/>
                <w:lang w:eastAsia="zh-CN"/>
              </w:rPr>
              <w:t>其他</w:t>
            </w:r>
            <w:r>
              <w:rPr>
                <w:rFonts w:hint="eastAsia" w:ascii="宋体" w:hAnsi="宋体" w:eastAsia="宋体" w:cs="仿宋_GB2312"/>
                <w:color w:val="auto"/>
                <w:spacing w:val="-4"/>
                <w:kern w:val="0"/>
                <w:sz w:val="15"/>
                <w:szCs w:val="15"/>
                <w:highlight w:val="none"/>
              </w:rPr>
              <w:t>严重影响用气情形的，系数4</w:t>
            </w:r>
            <w:r>
              <w:rPr>
                <w:rFonts w:hint="eastAsia" w:ascii="宋体" w:hAnsi="宋体" w:eastAsia="宋体" w:cs="仿宋_GB2312"/>
                <w:color w:val="auto"/>
                <w:spacing w:val="-4"/>
                <w:kern w:val="0"/>
                <w:sz w:val="15"/>
                <w:szCs w:val="15"/>
                <w:highlight w:val="none"/>
                <w:lang w:eastAsia="zh-CN"/>
              </w:rPr>
              <w:t>；</w:t>
            </w:r>
            <w:r>
              <w:rPr>
                <w:rFonts w:hint="eastAsia" w:ascii="宋体" w:hAnsi="宋体" w:eastAsia="宋体" w:cs="仿宋_GB2312"/>
                <w:color w:val="auto"/>
                <w:spacing w:val="-4"/>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燃气供应企业未向用户提供安全、稳定、质量合格和价格合理的服务</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的，系数2；2.未按燃气管理部门要求整改，或整改后再次发生类似违法行为的，系数4；3.发生燃气安全事故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17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53"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燃气供应企业未建立和完善安全保障制度并遵守相关规定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w:t>
            </w:r>
            <w:r>
              <w:rPr>
                <w:rFonts w:hint="eastAsia" w:ascii="宋体" w:hAnsi="宋体" w:eastAsia="宋体" w:cs="仿宋_GB2312"/>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w:t>
            </w:r>
            <w:r>
              <w:rPr>
                <w:rFonts w:hint="eastAsia" w:ascii="宋体" w:hAnsi="宋体" w:eastAsia="宋体" w:cs="仿宋_GB2312"/>
                <w:color w:val="auto"/>
                <w:kern w:val="0"/>
                <w:sz w:val="15"/>
                <w:szCs w:val="15"/>
                <w:highlight w:val="none"/>
                <w:shd w:val="clear" w:color="auto" w:fill="FFFFFF"/>
                <w:lang w:eastAsia="zh-CN"/>
              </w:rPr>
              <w:t>其他</w:t>
            </w:r>
            <w:r>
              <w:rPr>
                <w:rFonts w:hint="eastAsia" w:ascii="宋体" w:hAnsi="宋体" w:eastAsia="宋体" w:cs="仿宋_GB2312"/>
                <w:color w:val="auto"/>
                <w:kern w:val="0"/>
                <w:sz w:val="15"/>
                <w:szCs w:val="15"/>
                <w:highlight w:val="none"/>
                <w:shd w:val="clear" w:color="auto" w:fill="FFFFFF"/>
              </w:rPr>
              <w:t>严重影响用气情形的，系数4</w:t>
            </w:r>
            <w:r>
              <w:rPr>
                <w:rFonts w:hint="eastAsia" w:ascii="宋体" w:hAnsi="宋体" w:eastAsia="宋体" w:cs="仿宋_GB2312"/>
                <w:color w:val="auto"/>
                <w:kern w:val="0"/>
                <w:sz w:val="15"/>
                <w:szCs w:val="15"/>
                <w:highlight w:val="none"/>
                <w:shd w:val="clear" w:color="auto" w:fill="FFFFFF"/>
                <w:lang w:eastAsia="zh-CN"/>
              </w:rPr>
              <w:t>；</w:t>
            </w:r>
            <w:r>
              <w:rPr>
                <w:rFonts w:hint="eastAsia" w:ascii="宋体" w:hAnsi="宋体" w:eastAsia="宋体" w:cs="仿宋_GB2312"/>
                <w:color w:val="auto"/>
                <w:kern w:val="0"/>
                <w:sz w:val="15"/>
                <w:szCs w:val="15"/>
                <w:highlight w:val="none"/>
                <w:shd w:val="clear" w:color="auto" w:fill="FFFFFF"/>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16"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7</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燃气供应企业未建立健全用户服务制度、规范服务行为并遵守相关规定</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违反条款：第二十三条第（一）（二）（三）（四）（五）（六）（七）项（根据实际违法情形选择）；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ascii="宋体" w:hAnsi="宋体" w:eastAsia="宋体" w:cs="仿宋_GB2312"/>
                <w:color w:val="auto"/>
                <w:kern w:val="0"/>
                <w:sz w:val="15"/>
                <w:szCs w:val="15"/>
                <w:highlight w:val="none"/>
                <w:lang w:eastAsia="zh-CN"/>
              </w:rPr>
              <w:t>做好</w:t>
            </w:r>
            <w:r>
              <w:rPr>
                <w:rFonts w:hint="eastAsia" w:ascii="宋体" w:hAnsi="宋体" w:eastAsia="宋体" w:cs="仿宋_GB2312"/>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12"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8</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燃气供应企业销售瓶装液化石油气未如实记录用户基本信息以及用户持有气瓶的数量、定期检验周期和报废期限等情况</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4"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9</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燃气供应企业未在用户持有的气瓶定期检验周期、报废期限到期前三十日内通知用户将气瓶送交处理</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1.未在气瓶报废期限到期前通知用户的，系数3-4；2.两次以上未在定期检验周期到期前通知用户的，系数2-4；3.发生燃气事故，或者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b/>
                <w:bCs/>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4"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10</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燃气供应企业对非居民用户未直接配送、安装气瓶，并对其用气场所、燃气设施和用气设备进行安全检查</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1.同时存在未直接配送、安装、进行安全检查两种情形的，系数1；同时存在三种情形的，系数2-4；2.发生燃气事故，或者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11</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燃气供应企业未对直接配送瓶装液化石油气居民用户的用气场所、燃气设施和用气设备进行安全检查</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1.两次未进行安全检查，系数2-3；三次及以上未进行安全检查，系数4；2.影响正常用气的，系数2-3；3.发生燃气事故，或者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3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12</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燃气供应企业销售瓶装燃气未遵守相关规定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573"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13</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燃气供应企业未按要求对燃气用户暂停供气或者限制购气并进行报告</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43"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14</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燃气非居民用户未安装、使用符合要求的燃气燃烧器具及其连接管、燃气泄漏报警装置</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违反条款：第二十七条第一款；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处罚条款：第五十九条 责令限期改正；逾期不改正的，处二万元以上十万元以下罚款。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val="en"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仿宋_GB2312"/>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15</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非居民用户存在燃气使用禁止的行为</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违反条款：第三十条第一款第（一）至（十二）项、第二款（根据实际违法情形选择）；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处罚条款：第六十条第一款 责令限期改正；逾期不改正的，处二万元以上十万元以下罚款。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1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 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16</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居民用户存在燃气使用禁止的行为</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违反条款：第三十条第一款第(一)项至第(九)项、第(十一)项、第(十二)项（根据实际违法情形选择）；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处罚条款：第六十条第二款 责令限期改正；逾期不改正的，处一千元以下罚款。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需要作出200元以下罚款决定的，</w:t>
            </w:r>
            <w:r>
              <w:rPr>
                <w:rFonts w:hint="eastAsia" w:ascii="宋体" w:hAnsi="宋体" w:eastAsia="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6"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17</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管道燃气供应企业未按照规范维修、安装、改装、移动或者拆除居民用户专有部分的燃气设施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违反条款：第三十三条第一款；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18</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单位侵占、毁损，擅自拆除、改装、安装、移动燃气设施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1"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19</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燃气供应企业不按照燃气设施改动许可的要求实施作业</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违反条款：第三十六条第五款；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1.损坏燃气设施或者</w:t>
            </w:r>
            <w:r>
              <w:rPr>
                <w:rFonts w:hint="eastAsia" w:ascii="宋体" w:hAnsi="宋体" w:eastAsia="宋体" w:cs="仿宋_GB2312"/>
                <w:strike w:val="0"/>
                <w:dstrike w:val="0"/>
                <w:color w:val="auto"/>
                <w:kern w:val="0"/>
                <w:sz w:val="15"/>
                <w:szCs w:val="15"/>
                <w:highlight w:val="none"/>
                <w:lang w:eastAsia="zh-CN"/>
              </w:rPr>
              <w:t>存在</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影响用气情形的，系数0.5；2.发生燃气事故</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92"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20</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个人擅自拆除、改装、安装或者移动户内管道燃气设施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责令限期改正；逾期不改正的，处一千元以下罚款。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w:t>
            </w:r>
          </w:p>
        </w:tc>
        <w:tc>
          <w:tcPr>
            <w:tcW w:w="840" w:type="dxa"/>
            <w:noWrap w:val="0"/>
            <w:vAlign w:val="center"/>
          </w:tcPr>
          <w:p>
            <w:pPr>
              <w:spacing w:line="232" w:lineRule="exact"/>
              <w:jc w:val="center"/>
              <w:rPr>
                <w:rFonts w:hint="default" w:ascii="宋体" w:hAnsi="宋体" w:eastAsia="宋体" w:cs="仿宋_GB2312"/>
                <w:color w:val="auto"/>
                <w:kern w:val="0"/>
                <w:sz w:val="15"/>
                <w:szCs w:val="15"/>
                <w:highlight w:val="none"/>
                <w:lang w:val="en-US"/>
              </w:rPr>
            </w:pPr>
            <w:r>
              <w:rPr>
                <w:rFonts w:hint="default" w:ascii="宋体" w:hAnsi="宋体" w:eastAsia="宋体" w:cs="仿宋_GB2312"/>
                <w:color w:val="auto"/>
                <w:kern w:val="0"/>
                <w:sz w:val="15"/>
                <w:szCs w:val="15"/>
                <w:highlight w:val="none"/>
                <w:lang w:val="en-US"/>
              </w:rPr>
              <w:t>1</w:t>
            </w:r>
          </w:p>
        </w:tc>
        <w:tc>
          <w:tcPr>
            <w:tcW w:w="3426" w:type="dxa"/>
            <w:noWrap w:val="0"/>
            <w:vAlign w:val="center"/>
          </w:tcPr>
          <w:p>
            <w:pPr>
              <w:numPr>
                <w:ilvl w:val="0"/>
                <w:numId w:val="0"/>
              </w:numPr>
              <w:spacing w:line="232" w:lineRule="exact"/>
              <w:rPr>
                <w:rFonts w:hint="eastAsia" w:ascii="宋体" w:hAnsi="宋体" w:eastAsia="宋体" w:cs="仿宋_GB2312"/>
                <w:strike w:val="0"/>
                <w:dstrike w:val="0"/>
                <w:color w:val="auto"/>
                <w:kern w:val="0"/>
                <w:sz w:val="15"/>
                <w:szCs w:val="15"/>
                <w:highlight w:val="none"/>
              </w:rPr>
            </w:pPr>
            <w:r>
              <w:rPr>
                <w:rFonts w:hint="eastAsia" w:ascii="宋体" w:hAnsi="宋体" w:eastAsia="宋体" w:cs="仿宋_GB2312"/>
                <w:strike w:val="0"/>
                <w:dstrike w:val="0"/>
                <w:color w:val="auto"/>
                <w:kern w:val="0"/>
                <w:sz w:val="15"/>
                <w:szCs w:val="15"/>
                <w:highlight w:val="none"/>
                <w:lang w:val="en-US" w:eastAsia="zh-CN"/>
              </w:rPr>
              <w:t>1.</w:t>
            </w:r>
            <w:r>
              <w:rPr>
                <w:rFonts w:hint="eastAsia" w:ascii="宋体" w:hAnsi="宋体" w:eastAsia="宋体" w:cs="仿宋_GB2312"/>
                <w:strike w:val="0"/>
                <w:dstrike w:val="0"/>
                <w:color w:val="auto"/>
                <w:kern w:val="0"/>
                <w:sz w:val="15"/>
                <w:szCs w:val="15"/>
                <w:highlight w:val="none"/>
              </w:rPr>
              <w:t>损坏燃气设施或者</w:t>
            </w:r>
            <w:r>
              <w:rPr>
                <w:rFonts w:hint="eastAsia" w:ascii="宋体" w:hAnsi="宋体" w:eastAsia="宋体" w:cs="仿宋_GB2312"/>
                <w:strike w:val="0"/>
                <w:dstrike w:val="0"/>
                <w:color w:val="auto"/>
                <w:kern w:val="0"/>
                <w:sz w:val="15"/>
                <w:szCs w:val="15"/>
                <w:highlight w:val="none"/>
                <w:lang w:eastAsia="zh-CN"/>
              </w:rPr>
              <w:t>存在其他</w:t>
            </w:r>
            <w:r>
              <w:rPr>
                <w:rFonts w:hint="eastAsia" w:ascii="宋体" w:hAnsi="宋体" w:eastAsia="宋体" w:cs="仿宋_GB2312"/>
                <w:strike w:val="0"/>
                <w:dstrike w:val="0"/>
                <w:color w:val="auto"/>
                <w:kern w:val="0"/>
                <w:sz w:val="15"/>
                <w:szCs w:val="15"/>
                <w:highlight w:val="none"/>
              </w:rPr>
              <w:t>影响用气情形的，系数5-8；2.发生燃气事故</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strike w:val="0"/>
                <w:dstrike w:val="0"/>
                <w:color w:val="auto"/>
                <w:kern w:val="0"/>
                <w:sz w:val="15"/>
                <w:szCs w:val="15"/>
                <w:highlight w:val="none"/>
              </w:rPr>
              <w:t>安全隐患</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或者</w:t>
            </w:r>
            <w:r>
              <w:rPr>
                <w:rFonts w:hint="eastAsia" w:ascii="宋体" w:hAnsi="宋体" w:eastAsia="宋体" w:cs="仿宋_GB2312"/>
                <w:strike w:val="0"/>
                <w:dstrike w:val="0"/>
                <w:color w:val="auto"/>
                <w:kern w:val="0"/>
                <w:sz w:val="15"/>
                <w:szCs w:val="15"/>
                <w:highlight w:val="none"/>
                <w:lang w:eastAsia="zh-CN"/>
              </w:rPr>
              <w:t>其他</w:t>
            </w:r>
            <w:r>
              <w:rPr>
                <w:rFonts w:hint="eastAsia" w:ascii="宋体" w:hAnsi="宋体" w:eastAsia="宋体" w:cs="仿宋_GB2312"/>
                <w:strike w:val="0"/>
                <w:dstrike w:val="0"/>
                <w:color w:val="auto"/>
                <w:kern w:val="0"/>
                <w:sz w:val="15"/>
                <w:szCs w:val="15"/>
                <w:highlight w:val="none"/>
              </w:rPr>
              <w:t>严重影响用气情形的，系数9</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p>
            <w:pPr>
              <w:numPr>
                <w:ilvl w:val="0"/>
                <w:numId w:val="0"/>
              </w:numPr>
              <w:spacing w:line="232" w:lineRule="exact"/>
              <w:rPr>
                <w:rFonts w:ascii="宋体" w:hAnsi="宋体" w:eastAsia="宋体" w:cs="仿宋_GB2312"/>
                <w:color w:val="auto"/>
                <w:sz w:val="15"/>
                <w:szCs w:val="15"/>
                <w:highlight w:val="none"/>
              </w:rPr>
            </w:pP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逾期不改正的，才能实施处罚；逾期不改正的情形，不纳入本案由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需要作出100元以下罚款决定的，由执法人员说明理由并自行决定。</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21</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个人侵占、毁损，擅自拆除、改装、安装或者移动户外燃气设施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处五千元以上五万元以下罚款。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hint="default" w:ascii="宋体" w:hAnsi="宋体" w:eastAsia="宋体" w:cs="仿宋_GB2312"/>
                <w:color w:val="auto"/>
                <w:sz w:val="15"/>
                <w:szCs w:val="15"/>
                <w:highlight w:val="none"/>
                <w:lang w:val="en-US"/>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9"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22</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建设单位未在地下管线安全防护信息系统发布施工作业信息</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eastAsia="宋体" w:cs="仿宋_GB2312"/>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8"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23</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燃气供应企业未就地下管道燃气设施情况及时告知建设单位</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造成燃气设施毁损的，系数</w:t>
            </w:r>
            <w:r>
              <w:rPr>
                <w:rFonts w:hint="eastAsia" w:ascii="宋体" w:hAnsi="宋体" w:eastAsia="宋体" w:cs="宋体"/>
                <w:color w:val="auto"/>
                <w:kern w:val="0"/>
                <w:sz w:val="15"/>
                <w:szCs w:val="15"/>
                <w:highlight w:val="none"/>
                <w:lang w:val="en-US" w:eastAsia="zh-CN"/>
              </w:rPr>
              <w:t>0.5-1；2</w:t>
            </w:r>
            <w:r>
              <w:rPr>
                <w:rFonts w:hint="default" w:ascii="宋体" w:hAnsi="宋体" w:eastAsia="宋体" w:cs="宋体"/>
                <w:color w:val="auto"/>
                <w:kern w:val="0"/>
                <w:sz w:val="15"/>
                <w:szCs w:val="15"/>
                <w:highlight w:val="none"/>
                <w:lang w:val="en" w:eastAsia="zh-CN"/>
              </w:rPr>
              <w:t>.</w:t>
            </w:r>
            <w:r>
              <w:rPr>
                <w:rFonts w:hint="eastAsia" w:ascii="宋体" w:hAnsi="宋体" w:eastAsia="宋体" w:cs="仿宋_GB2312"/>
                <w:color w:val="auto"/>
                <w:kern w:val="0"/>
                <w:sz w:val="15"/>
                <w:szCs w:val="15"/>
                <w:highlight w:val="none"/>
              </w:rPr>
              <w:t>发生燃气事故或者</w:t>
            </w:r>
            <w:r>
              <w:rPr>
                <w:rFonts w:hint="eastAsia" w:ascii="宋体" w:hAnsi="宋体" w:eastAsia="宋体" w:cs="仿宋_GB2312"/>
                <w:color w:val="auto"/>
                <w:kern w:val="0"/>
                <w:sz w:val="15"/>
                <w:szCs w:val="15"/>
                <w:highlight w:val="none"/>
                <w:lang w:eastAsia="zh-CN"/>
              </w:rPr>
              <w:t>存在其他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82"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24</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建设单位未采取措施确保地下管道燃气设施运行安全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处罚条款：第六十三条第二款 责令限期改正，对建设单位处一万元以上十万元以下罚款。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同时存在两项（含两项）以上违法行为的，系数5-</w:t>
            </w:r>
            <w:r>
              <w:rPr>
                <w:rFonts w:hint="default" w:ascii="宋体" w:hAnsi="宋体" w:eastAsia="宋体" w:cs="仿宋_GB2312"/>
                <w:b w:val="0"/>
                <w:bCs w:val="0"/>
                <w:color w:val="auto"/>
                <w:kern w:val="0"/>
                <w:sz w:val="15"/>
                <w:szCs w:val="15"/>
                <w:highlight w:val="none"/>
                <w:lang w:val="en-US"/>
              </w:rPr>
              <w:t>6</w:t>
            </w:r>
            <w:r>
              <w:rPr>
                <w:rFonts w:hint="eastAsia" w:ascii="宋体" w:hAnsi="宋体" w:eastAsia="宋体" w:cs="仿宋_GB2312"/>
                <w:b w:val="0"/>
                <w:bCs w:val="0"/>
                <w:color w:val="auto"/>
                <w:kern w:val="0"/>
                <w:sz w:val="15"/>
                <w:szCs w:val="15"/>
                <w:highlight w:val="none"/>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2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25</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施工单位未按照安全保护方案进行施工</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违反条款：第三十八条第一款；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处罚条款：第六十四条 责令限期改正，处一万元以上十万元以下罚款。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eastAsia="宋体" w:cs="仿宋_GB2312"/>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.发生燃气安全事故</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仿宋_GB2312"/>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安全隐患或者的，系数9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strike/>
                <w:dstrike w:val="0"/>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1" w:hRule="atLeast"/>
        </w:trPr>
        <w:tc>
          <w:tcPr>
            <w:tcW w:w="610" w:type="dxa"/>
            <w:vMerge w:val="restart"/>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26</w:t>
            </w:r>
          </w:p>
        </w:tc>
        <w:tc>
          <w:tcPr>
            <w:tcW w:w="1830" w:type="dxa"/>
            <w:gridSpan w:val="3"/>
            <w:vMerge w:val="restart"/>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在管道燃气设施保护范围内从事危及管道燃气设施安全的活动</w:t>
            </w:r>
          </w:p>
        </w:tc>
        <w:tc>
          <w:tcPr>
            <w:tcW w:w="2789" w:type="dxa"/>
            <w:gridSpan w:val="2"/>
            <w:vMerge w:val="restart"/>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违反条款：第四十一条第二款第(二)（三）(四)项（根据实际违法情形选择）；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0.5；</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w:t>
            </w:r>
            <w:r>
              <w:rPr>
                <w:rFonts w:hint="eastAsia" w:ascii="宋体" w:hAnsi="宋体" w:eastAsia="宋体" w:cs="仿宋_GB2312"/>
                <w:b w:val="0"/>
                <w:bCs w:val="0"/>
                <w:color w:val="auto"/>
                <w:kern w:val="0"/>
                <w:sz w:val="15"/>
                <w:szCs w:val="15"/>
                <w:highlight w:val="none"/>
                <w:lang w:eastAsia="zh-CN"/>
              </w:rPr>
              <w:t>或者存在其他</w:t>
            </w:r>
            <w:r>
              <w:rPr>
                <w:rFonts w:hint="eastAsia" w:ascii="宋体" w:hAnsi="宋体" w:eastAsia="宋体" w:cs="仿宋_GB2312"/>
                <w:b w:val="0"/>
                <w:bCs w:val="0"/>
                <w:color w:val="auto"/>
                <w:kern w:val="0"/>
                <w:sz w:val="15"/>
                <w:szCs w:val="15"/>
                <w:highlight w:val="none"/>
              </w:rPr>
              <w:t>影响用气情形的，系数0.5；</w:t>
            </w:r>
            <w:r>
              <w:rPr>
                <w:rFonts w:hint="eastAsia" w:ascii="宋体" w:hAnsi="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严重影响用气情形的，系数1</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val="en"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Merge w:val="restart"/>
            <w:noWrap w:val="0"/>
            <w:vAlign w:val="center"/>
          </w:tcPr>
          <w:p>
            <w:pPr>
              <w:spacing w:line="232" w:lineRule="exact"/>
              <w:rPr>
                <w:rFonts w:hint="eastAsia" w:ascii="宋体" w:hAnsi="宋体" w:eastAsia="宋体" w:cs="仿宋_GB2312"/>
                <w:strike/>
                <w:dstrike w:val="0"/>
                <w:color w:val="auto"/>
                <w:kern w:val="0"/>
                <w:sz w:val="15"/>
                <w:szCs w:val="15"/>
                <w:highlight w:val="none"/>
              </w:rPr>
            </w:pPr>
            <w:r>
              <w:rPr>
                <w:rFonts w:hint="eastAsia" w:ascii="宋体" w:hAnsi="宋体" w:eastAsia="宋体" w:cs="仿宋_GB2312"/>
                <w:strike/>
                <w:dstrike w:val="0"/>
                <w:color w:val="auto"/>
                <w:kern w:val="0"/>
                <w:sz w:val="15"/>
                <w:szCs w:val="15"/>
                <w:highlight w:val="none"/>
              </w:rPr>
              <w:br w:type="textWrapping"/>
            </w:r>
          </w:p>
        </w:tc>
        <w:tc>
          <w:tcPr>
            <w:tcW w:w="897" w:type="dxa"/>
            <w:gridSpan w:val="2"/>
            <w:vMerge w:val="restart"/>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0" w:hRule="atLeast"/>
        </w:trPr>
        <w:tc>
          <w:tcPr>
            <w:tcW w:w="610" w:type="dxa"/>
            <w:vMerge w:val="continue"/>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830" w:type="dxa"/>
            <w:gridSpan w:val="3"/>
            <w:vMerge w:val="continue"/>
            <w:noWrap w:val="0"/>
            <w:vAlign w:val="center"/>
          </w:tcPr>
          <w:p>
            <w:pPr>
              <w:spacing w:line="232" w:lineRule="exact"/>
              <w:rPr>
                <w:rFonts w:ascii="宋体" w:hAnsi="宋体" w:eastAsia="宋体" w:cs="仿宋_GB2312"/>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仿宋_GB2312"/>
                <w:color w:val="auto"/>
                <w:sz w:val="15"/>
                <w:szCs w:val="15"/>
                <w:highlight w:val="none"/>
              </w:rPr>
            </w:pP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4</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.损坏燃气设施或者</w:t>
            </w:r>
            <w:r>
              <w:rPr>
                <w:rFonts w:hint="eastAsia" w:ascii="宋体" w:hAnsi="宋体" w:eastAsia="宋体" w:cs="仿宋_GB2312"/>
                <w:b w:val="0"/>
                <w:bCs w:val="0"/>
                <w:color w:val="auto"/>
                <w:kern w:val="0"/>
                <w:sz w:val="15"/>
                <w:szCs w:val="15"/>
                <w:highlight w:val="none"/>
                <w:lang w:eastAsia="zh-CN"/>
              </w:rPr>
              <w:t>存在其他</w:t>
            </w:r>
            <w:r>
              <w:rPr>
                <w:rFonts w:hint="eastAsia" w:ascii="宋体" w:hAnsi="宋体" w:eastAsia="宋体" w:cs="仿宋_GB2312"/>
                <w:b w:val="0"/>
                <w:bCs w:val="0"/>
                <w:color w:val="auto"/>
                <w:kern w:val="0"/>
                <w:sz w:val="15"/>
                <w:szCs w:val="15"/>
                <w:highlight w:val="none"/>
              </w:rPr>
              <w:t>影响用气情形的，</w:t>
            </w:r>
            <w:r>
              <w:rPr>
                <w:rFonts w:hint="eastAsia" w:ascii="宋体" w:hAnsi="宋体" w:eastAsia="宋体" w:cs="宋体"/>
                <w:b w:val="0"/>
                <w:bCs w:val="0"/>
                <w:color w:val="auto"/>
                <w:kern w:val="0"/>
                <w:sz w:val="15"/>
                <w:szCs w:val="15"/>
                <w:highlight w:val="none"/>
              </w:rPr>
              <w:t>系数7</w:t>
            </w:r>
            <w:r>
              <w:rPr>
                <w:rFonts w:hint="eastAsia" w:ascii="宋体" w:hAnsi="宋体" w:eastAsia="宋体" w:cs="仿宋_GB2312"/>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Merge w:val="continue"/>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0" w:hRule="atLeast"/>
        </w:trPr>
        <w:tc>
          <w:tcPr>
            <w:tcW w:w="610" w:type="dxa"/>
            <w:vMerge w:val="continue"/>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830" w:type="dxa"/>
            <w:gridSpan w:val="3"/>
            <w:vMerge w:val="continue"/>
            <w:noWrap w:val="0"/>
            <w:vAlign w:val="center"/>
          </w:tcPr>
          <w:p>
            <w:pPr>
              <w:spacing w:line="232" w:lineRule="exact"/>
              <w:rPr>
                <w:rFonts w:ascii="宋体" w:hAnsi="宋体" w:eastAsia="宋体" w:cs="仿宋_GB2312"/>
                <w:color w:val="auto"/>
                <w:sz w:val="15"/>
                <w:szCs w:val="15"/>
                <w:highlight w:val="none"/>
              </w:rPr>
            </w:pP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违反条款：第四十一条第二款第(五)项；</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处罚条款：第六十六条第三款 责令限期改正，恢复原状，处五千元以下罚款。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 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.导致相关燃气安全事故的，系数4</w:t>
            </w:r>
            <w:r>
              <w:rPr>
                <w:rFonts w:hint="eastAsia" w:ascii="宋体" w:hAnsi="宋体" w:eastAsia="宋体" w:cs="仿宋_GB2312"/>
                <w:b w:val="0"/>
                <w:bCs w:val="0"/>
                <w:color w:val="auto"/>
                <w:kern w:val="0"/>
                <w:sz w:val="15"/>
                <w:szCs w:val="15"/>
                <w:highlight w:val="none"/>
                <w:lang w:eastAsia="zh-CN"/>
              </w:rPr>
              <w:t>。</w:t>
            </w: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spacing w:line="232" w:lineRule="exact"/>
              <w:rPr>
                <w:rFonts w:ascii="宋体" w:hAnsi="宋体" w:eastAsia="宋体" w:cs="仿宋_GB2312"/>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0"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71" w:name="_Toc110851459"/>
            <w:bookmarkStart w:id="72" w:name="_Toc697937810"/>
            <w:bookmarkStart w:id="73" w:name="_Toc1593544601"/>
            <w:r>
              <w:rPr>
                <w:rFonts w:hint="eastAsia" w:ascii="宋体" w:hAnsi="宋体" w:eastAsia="宋体"/>
                <w:color w:val="auto"/>
                <w:sz w:val="21"/>
                <w:szCs w:val="21"/>
                <w:highlight w:val="none"/>
              </w:rPr>
              <w:t>《北京市消防条例》案由1项</w:t>
            </w:r>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人员密集场所使用天然气、液化石油气未安装浓度检测报警装置</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三十四</w:t>
            </w:r>
            <w:r>
              <w:rPr>
                <w:rFonts w:hint="eastAsia" w:ascii="宋体" w:hAnsi="宋体" w:eastAsia="宋体" w:cs="宋体"/>
                <w:color w:val="auto"/>
                <w:kern w:val="0"/>
                <w:sz w:val="15"/>
                <w:szCs w:val="15"/>
                <w:highlight w:val="none"/>
              </w:rPr>
              <w:t>条第（四）项；处罚条款：第</w:t>
            </w:r>
            <w:r>
              <w:rPr>
                <w:rFonts w:hint="eastAsia" w:ascii="宋体" w:hAnsi="宋体" w:eastAsia="宋体" w:cs="宋体"/>
                <w:color w:val="auto"/>
                <w:kern w:val="0"/>
                <w:sz w:val="15"/>
                <w:szCs w:val="15"/>
                <w:highlight w:val="none"/>
                <w:lang w:eastAsia="zh-CN"/>
              </w:rPr>
              <w:t>九十五</w:t>
            </w:r>
            <w:r>
              <w:rPr>
                <w:rFonts w:hint="eastAsia" w:ascii="宋体" w:hAnsi="宋体" w:eastAsia="宋体" w:cs="宋体"/>
                <w:color w:val="auto"/>
                <w:kern w:val="0"/>
                <w:sz w:val="15"/>
                <w:szCs w:val="15"/>
                <w:highlight w:val="none"/>
              </w:rPr>
              <w:t>条 责令改正，并可处1万元以上3万元以下罚款。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0"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违反条款：《中华人民共和国安全生产法》第三十六条第四款；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适用于餐饮等行业的生产经营单位使用燃气的情形。</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7"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strike/>
                <w:dstrike w:val="0"/>
                <w:color w:val="auto"/>
                <w:sz w:val="15"/>
                <w:szCs w:val="15"/>
                <w:highlight w:val="none"/>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应当安装但未安装数量2个的，系数0</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val="en-US" w:eastAsia="zh-CN"/>
              </w:rPr>
              <w:t>；3个的，系数1；4个的，系数1.5；5个的，系数2；6个的，系数2.5；7个及以上的，系数3。</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适用于餐饮等行业的生产经营单位使用燃气，逾期未改正的情形。</w:t>
            </w:r>
          </w:p>
          <w:p>
            <w:pPr>
              <w:numPr>
                <w:ilvl w:val="0"/>
                <w:numId w:val="0"/>
              </w:numPr>
              <w:spacing w:line="232" w:lineRule="exact"/>
              <w:rPr>
                <w:rFonts w:hint="eastAsia"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2.处罚单位，同时处罚直接负责的主管人员和其他直接责任人员。</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2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（直接负责的主管人员和其他直接责任人员）</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4" w:name="_Toc110851460"/>
            <w:bookmarkStart w:id="75" w:name="_Toc1826085962"/>
            <w:bookmarkStart w:id="76" w:name="_Toc1837597460"/>
            <w:r>
              <w:rPr>
                <w:rFonts w:hint="eastAsia" w:ascii="宋体" w:hAnsi="宋体" w:eastAsia="宋体"/>
                <w:color w:val="auto"/>
                <w:sz w:val="21"/>
                <w:szCs w:val="21"/>
                <w:highlight w:val="none"/>
              </w:rPr>
              <w:t>《北京市清洁燃料车辆加气站管理规定》案由7项</w:t>
            </w:r>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加气站未遵守操作规程或未设专人监护</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违反条款：第八条第（四）项；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非操作人员进行充气作业</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违反条款：第九条第（一）项；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50"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加气站为其他容器充气</w:t>
            </w:r>
          </w:p>
        </w:tc>
        <w:tc>
          <w:tcPr>
            <w:tcW w:w="2789"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9"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直接用运输槽车向车辆充气</w:t>
            </w:r>
          </w:p>
        </w:tc>
        <w:tc>
          <w:tcPr>
            <w:tcW w:w="2789"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违反条款：第九条第（三）项；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6"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使用明火检查燃气泄露</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违反条款：第九条第（四）项；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3"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w:t>
            </w:r>
            <w:r>
              <w:rPr>
                <w:rFonts w:hint="eastAsia" w:ascii="宋体" w:hAnsi="宋体" w:eastAsia="宋体"/>
                <w:color w:val="auto"/>
                <w:sz w:val="15"/>
                <w:szCs w:val="15"/>
                <w:highlight w:val="none"/>
              </w:rPr>
              <w:t>运营中</w:t>
            </w:r>
            <w:r>
              <w:rPr>
                <w:rFonts w:hint="eastAsia" w:ascii="宋体" w:hAnsi="宋体" w:eastAsia="宋体" w:cs="宋体"/>
                <w:color w:val="auto"/>
                <w:kern w:val="0"/>
                <w:sz w:val="15"/>
                <w:szCs w:val="15"/>
                <w:highlight w:val="none"/>
              </w:rPr>
              <w:t>存放其他易燃易爆物品或者使用明火</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违反条款：第九条第（五）项；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1"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在加气站内修车、洗车</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违反条款：第九条第（六）项；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7" w:name="_Toc110851461"/>
            <w:bookmarkStart w:id="78" w:name="_Toc499144336"/>
            <w:bookmarkStart w:id="79" w:name="_Toc1473999580"/>
            <w:r>
              <w:rPr>
                <w:rFonts w:hint="eastAsia" w:ascii="宋体" w:hAnsi="宋体" w:eastAsia="宋体"/>
                <w:color w:val="auto"/>
                <w:sz w:val="21"/>
                <w:szCs w:val="21"/>
                <w:highlight w:val="none"/>
              </w:rPr>
              <w:t>《</w:t>
            </w:r>
            <w:r>
              <w:rPr>
                <w:rFonts w:ascii="宋体" w:hAnsi="宋体" w:eastAsia="宋体"/>
                <w:color w:val="auto"/>
                <w:sz w:val="21"/>
                <w:szCs w:val="21"/>
                <w:highlight w:val="none"/>
              </w:rPr>
              <w:t>北京市供热采暖管理办法</w:t>
            </w:r>
            <w:r>
              <w:rPr>
                <w:rFonts w:hint="eastAsia" w:ascii="宋体" w:hAnsi="宋体" w:eastAsia="宋体"/>
                <w:color w:val="auto"/>
                <w:sz w:val="21"/>
                <w:szCs w:val="21"/>
                <w:highlight w:val="none"/>
              </w:rPr>
              <w:t>》案由19项</w:t>
            </w:r>
            <w:bookmarkEnd w:id="77"/>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43"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供热单位未办理备案手续</w:t>
            </w:r>
          </w:p>
        </w:tc>
        <w:tc>
          <w:tcPr>
            <w:tcW w:w="2789"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0"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供热单位未办理备案变更手续</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8"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供热单位提交的备案材料失实</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责令改正，情节严重的，可以处1万元以上3万元以下的罚款。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故意隐瞒相关情况，对安全、稳定、质量合格供热造成较大影响的，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79"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未实施供热设施安全巡检制度</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违反条款：第十三条第（一）项；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处罚条款：第三十一条第一款 予以警告，警告两次的，处2万元罚款。</w:t>
            </w:r>
          </w:p>
        </w:tc>
        <w:tc>
          <w:tcPr>
            <w:tcW w:w="851"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5"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供热前未提前在供热范围内进行公告</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违反条款：第十三条第（二）项；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处罚条款：第三十一条第二款 责令改正，并处1000元罚款。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7"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推迟、中止供热或者提前结束供热</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处罚条款：第三十二条第一款 责令改正，可以处5000元以上3万元以下罚款。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Chars="-7" w:hanging="15" w:hangingChars="10"/>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推迟、中止、提前结束供热</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1，3天的，系数2；4天的，系数3；5天的，系数4；6天及以上的，系数5；2.造成较大社会影响的，系数3-5；3.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7" w:hRule="atLeast"/>
        </w:trPr>
        <w:tc>
          <w:tcPr>
            <w:tcW w:w="610" w:type="dxa"/>
            <w:vMerge w:val="restart"/>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采暖期内退出或者部分退出供热经营活动</w:t>
            </w:r>
          </w:p>
        </w:tc>
        <w:tc>
          <w:tcPr>
            <w:tcW w:w="2789" w:type="dxa"/>
            <w:gridSpan w:val="2"/>
            <w:vMerge w:val="restart"/>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处罚条款：第三十二条第二款 责令改正，并对供热单位处5万元以上10万元以下罚款，对供热单位法定代表人处1万元罚款。</w:t>
            </w:r>
          </w:p>
        </w:tc>
        <w:tc>
          <w:tcPr>
            <w:tcW w:w="851"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对供热单位</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autoSpaceDE w:val="0"/>
              <w:spacing w:line="226"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89" w:hRule="atLeast"/>
        </w:trPr>
        <w:tc>
          <w:tcPr>
            <w:tcW w:w="610" w:type="dxa"/>
            <w:vMerge w:val="continue"/>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2789" w:type="dxa"/>
            <w:gridSpan w:val="2"/>
            <w:vMerge w:val="continue"/>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851"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1875" w:type="dxa"/>
            <w:gridSpan w:val="2"/>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1982" w:type="dxa"/>
            <w:gridSpan w:val="2"/>
            <w:noWrap w:val="0"/>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对法定代表人</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非采暖期内擅自退出或者部分退出供热经营活动，影响用户采暖</w:t>
            </w:r>
          </w:p>
        </w:tc>
        <w:tc>
          <w:tcPr>
            <w:tcW w:w="2789"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处罚条款：第三十二条第三款 责令限期改正，逾期未改正的，对供热单位处3万元罚款，对供热单位法定代表人处5000元罚款。</w:t>
            </w: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p>
        </w:tc>
        <w:tc>
          <w:tcPr>
            <w:tcW w:w="3426" w:type="dxa"/>
            <w:noWrap w:val="0"/>
            <w:vAlign w:val="center"/>
          </w:tcPr>
          <w:p>
            <w:pPr>
              <w:spacing w:line="226"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p>
        </w:tc>
        <w:tc>
          <w:tcPr>
            <w:tcW w:w="1982" w:type="dxa"/>
            <w:gridSpan w:val="2"/>
            <w:noWrap w:val="0"/>
            <w:vAlign w:val="center"/>
          </w:tcPr>
          <w:p>
            <w:pPr>
              <w:spacing w:line="226"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按照法条规定执行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0"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拆改室内共用供热设施、扩大采暖面积、增加散热设备</w:t>
            </w:r>
          </w:p>
        </w:tc>
        <w:tc>
          <w:tcPr>
            <w:tcW w:w="2789" w:type="dxa"/>
            <w:gridSpan w:val="2"/>
            <w:vMerge w:val="restart"/>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处罚条款：第三十三条 责令限期改正，逾期未改正的，可以处500元以上5000元以下罚款。</w:t>
            </w: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拆改行为明显影响到</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用户供暖效果的，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26"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1"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装饰装修房屋妨碍对供热设施进行维修养护</w:t>
            </w:r>
          </w:p>
        </w:tc>
        <w:tc>
          <w:tcPr>
            <w:tcW w:w="2789" w:type="dxa"/>
            <w:gridSpan w:val="2"/>
            <w:vMerge w:val="continue"/>
            <w:noWrap w:val="0"/>
            <w:vAlign w:val="center"/>
          </w:tcPr>
          <w:p>
            <w:pPr>
              <w:spacing w:line="226" w:lineRule="exact"/>
              <w:ind w:left="6" w:hanging="21"/>
              <w:rPr>
                <w:rFonts w:ascii="宋体" w:hAnsi="宋体" w:eastAsia="宋体" w:cs="宋体"/>
                <w:color w:val="auto"/>
                <w:kern w:val="0"/>
                <w:sz w:val="15"/>
                <w:szCs w:val="15"/>
                <w:highlight w:val="none"/>
              </w:rPr>
            </w:pP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严重影响正常供暖的，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26" w:lineRule="exact"/>
              <w:ind w:left="6" w:hanging="21"/>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ind w:left="6" w:hanging="21"/>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2"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擅自拆除、迁移、改建、变卖热源设施，影响用户采暖</w:t>
            </w:r>
          </w:p>
        </w:tc>
        <w:tc>
          <w:tcPr>
            <w:tcW w:w="2789"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处罚条款：第三十四条 责令限期改正，并处5万元以上10万元以下罚款。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明显影响采暖效果的，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4"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在地下热力管道安全间距范围内堆放物品，或者进行挖掘、取土、钻探、打桩、埋杆、栽植深根性植物和爆破作业</w:t>
            </w:r>
          </w:p>
        </w:tc>
        <w:tc>
          <w:tcPr>
            <w:tcW w:w="2789"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违反条款：第二十四条第（二）项；</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6"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向供热管沟内排放有毒、有害、易燃、易爆、易堵塞物品及雨水、污水、工业废液、垃圾</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违反条款：第二十四条第（三）项；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2"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擅自接入供热管网</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违反条款：第二十四条第（四）项；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2"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擅自在室内采暖系统上安装危害系统安全的设备</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违反条款：第二十四条第（五）项；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4"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擅自排放或者取用管道内热水或蒸汽</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违反条款：第二十四条第（六）项；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1"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擅自拆除、毁损警示标志</w:t>
            </w:r>
          </w:p>
        </w:tc>
        <w:tc>
          <w:tcPr>
            <w:tcW w:w="2789"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违反条款：第二十四条第（七）项；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6"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擅自操作、拆除共用供热阀门，损坏共用阀门的铅封，改动或者损坏供热计量仪表及其附件等</w:t>
            </w:r>
          </w:p>
        </w:tc>
        <w:tc>
          <w:tcPr>
            <w:tcW w:w="2789"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违反条款：第二十四条第（八）项；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ind w:left="6" w:hanging="23"/>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3"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危害</w:t>
            </w:r>
            <w:r>
              <w:rPr>
                <w:rFonts w:hint="eastAsia" w:ascii="宋体" w:hAnsi="宋体" w:eastAsia="宋体" w:cs="宋体"/>
                <w:color w:val="auto"/>
                <w:kern w:val="0"/>
                <w:sz w:val="15"/>
                <w:szCs w:val="15"/>
                <w:highlight w:val="none"/>
              </w:rPr>
              <w:t>、损坏供热设施的行为</w:t>
            </w:r>
          </w:p>
        </w:tc>
        <w:tc>
          <w:tcPr>
            <w:tcW w:w="2789"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违反条款：第二十四条第（九）项；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3"/>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0" w:name="_Toc110851462"/>
            <w:bookmarkStart w:id="81" w:name="_Toc1217489061"/>
            <w:bookmarkStart w:id="82" w:name="_Toc984069521"/>
            <w:r>
              <w:rPr>
                <w:rFonts w:hint="eastAsia" w:ascii="宋体" w:hAnsi="宋体" w:eastAsia="宋体"/>
                <w:color w:val="auto"/>
                <w:sz w:val="21"/>
                <w:szCs w:val="21"/>
                <w:highlight w:val="none"/>
              </w:rPr>
              <w:t>《北京市民用建筑节能管理办法》案由2项</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37" w:hRule="atLeast"/>
        </w:trPr>
        <w:tc>
          <w:tcPr>
            <w:tcW w:w="610"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损坏供热计量装置与调控系统</w:t>
            </w:r>
          </w:p>
        </w:tc>
        <w:tc>
          <w:tcPr>
            <w:tcW w:w="2789" w:type="dxa"/>
            <w:gridSpan w:val="2"/>
            <w:vMerge w:val="restart"/>
            <w:noWrap w:val="0"/>
            <w:vAlign w:val="center"/>
          </w:tcPr>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违反条款：第三十三条；</w:t>
            </w:r>
          </w:p>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处罚条款：第四十二条，责令改正，可处500元以上1000元以下罚款；情节严重，影响正常供热的，可处1000元以上1万元以下罚款。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p>
        </w:tc>
        <w:tc>
          <w:tcPr>
            <w:tcW w:w="1982" w:type="dxa"/>
            <w:gridSpan w:val="2"/>
            <w:noWrap w:val="0"/>
            <w:vAlign w:val="center"/>
          </w:tcPr>
          <w:p>
            <w:pPr>
              <w:spacing w:line="232" w:lineRule="exact"/>
              <w:jc w:val="center"/>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20"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影响正常供热的，适用此档处罚。</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3"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供热单位不实行供热计量的</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违反条款：第三十五条第一款；</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处罚条款：第四十四条，限期整改，逾期不改正的，处3万元罚款。</w:t>
            </w:r>
          </w:p>
        </w:tc>
        <w:tc>
          <w:tcPr>
            <w:tcW w:w="851" w:type="dxa"/>
            <w:noWrap w:val="0"/>
            <w:vAlign w:val="center"/>
          </w:tcPr>
          <w:p>
            <w:pPr>
              <w:spacing w:line="232" w:lineRule="exact"/>
              <w:ind w:left="6" w:hanging="21"/>
              <w:rPr>
                <w:rFonts w:ascii="宋体" w:hAnsi="宋体" w:eastAsia="宋体" w:cs="宋体"/>
                <w:color w:val="auto"/>
                <w:kern w:val="0"/>
                <w:sz w:val="15"/>
                <w:szCs w:val="15"/>
                <w:highlight w:val="none"/>
              </w:rPr>
            </w:pP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bookmarkStart w:id="83" w:name="_Toc636329439"/>
            <w:bookmarkStart w:id="84" w:name="_Toc1610393017"/>
            <w:bookmarkStart w:id="85" w:name="_Toc2100881276"/>
            <w:bookmarkStart w:id="86" w:name="_Toc110851463"/>
            <w:r>
              <w:rPr>
                <w:rFonts w:hint="eastAsia" w:ascii="宋体" w:hAnsi="宋体" w:eastAsia="宋体" w:cs="宋体"/>
                <w:color w:val="auto"/>
                <w:sz w:val="21"/>
                <w:szCs w:val="21"/>
                <w:highlight w:val="none"/>
                <w:lang w:val="en-US" w:eastAsia="zh-CN"/>
              </w:rPr>
              <w:t>《北京市建筑绿色发展条例》案由1项</w:t>
            </w:r>
            <w:bookmarkEnd w:id="83"/>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3" w:hRule="atLeast"/>
        </w:trPr>
        <w:tc>
          <w:tcPr>
            <w:tcW w:w="610" w:type="dxa"/>
            <w:noWrap w:val="0"/>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p>
        </w:tc>
        <w:tc>
          <w:tcPr>
            <w:tcW w:w="1830" w:type="dxa"/>
            <w:gridSpan w:val="3"/>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供电、供气、供热单位未按照规定报送结算数据</w:t>
            </w:r>
          </w:p>
        </w:tc>
        <w:tc>
          <w:tcPr>
            <w:tcW w:w="2789"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违反条款：第二十六条第三款</w:t>
            </w:r>
          </w:p>
          <w:p>
            <w:pPr>
              <w:pStyle w:val="8"/>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处罚条款：第五十八条，责令限期改正。</w:t>
            </w:r>
          </w:p>
        </w:tc>
        <w:tc>
          <w:tcPr>
            <w:tcW w:w="851" w:type="dxa"/>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840" w:type="dxa"/>
            <w:noWrap w:val="0"/>
            <w:vAlign w:val="center"/>
          </w:tcPr>
          <w:p>
            <w:pPr>
              <w:spacing w:line="232" w:lineRule="exact"/>
              <w:ind w:left="6" w:leftChars="0" w:hanging="21" w:firstLineChars="0"/>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ind w:left="6" w:leftChars="0" w:hanging="21" w:firstLineChars="0"/>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非</w:t>
            </w:r>
            <w:r>
              <w:rPr>
                <w:rFonts w:hint="eastAsia" w:ascii="宋体" w:hAnsi="宋体" w:eastAsia="宋体" w:cs="宋体"/>
                <w:color w:val="auto"/>
                <w:kern w:val="0"/>
                <w:sz w:val="15"/>
                <w:szCs w:val="15"/>
                <w:highlight w:val="none"/>
                <w:lang w:eastAsia="zh-CN"/>
              </w:rPr>
              <w:t>行政</w:t>
            </w:r>
            <w:r>
              <w:rPr>
                <w:rFonts w:hint="eastAsia" w:ascii="宋体" w:hAnsi="宋体" w:eastAsia="宋体" w:cs="宋体"/>
                <w:color w:val="auto"/>
                <w:kern w:val="0"/>
                <w:sz w:val="15"/>
                <w:szCs w:val="15"/>
                <w:highlight w:val="none"/>
              </w:rPr>
              <w:t>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rPr>
              <w:t>区级</w:t>
            </w:r>
          </w:p>
        </w:tc>
      </w:tr>
      <w:bookmarkEnd w:id="85"/>
      <w:bookmarkEnd w:id="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70"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7" w:name="_Toc780858134"/>
            <w:bookmarkStart w:id="88" w:name="_Toc110851465"/>
            <w:bookmarkStart w:id="89" w:name="_Toc186305980"/>
            <w:r>
              <w:rPr>
                <w:rFonts w:hint="eastAsia" w:ascii="宋体" w:hAnsi="宋体" w:eastAsia="宋体"/>
                <w:color w:val="auto"/>
                <w:sz w:val="21"/>
                <w:szCs w:val="21"/>
                <w:highlight w:val="none"/>
              </w:rPr>
              <w:t>《北京市单用途预付卡管理条例》案由7项</w:t>
            </w:r>
            <w:bookmarkEnd w:id="87"/>
            <w:bookmarkEnd w:id="88"/>
            <w:bookmarkEnd w:id="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预付卡经营者违反规定发行预付卡或者为消费者办理续卡的</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违反条款：第十一条；处罚条款：第二十八条 责令立即停止发卡、续卡，处两万元以上十万元以下罚款；情节严重的，责令停业。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lang w:val="en"/>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hint="default" w:ascii="宋体" w:hAnsi="宋体" w:eastAsia="宋体" w:cs="仿宋_GB2312"/>
                <w:color w:val="auto"/>
                <w:sz w:val="15"/>
                <w:szCs w:val="15"/>
                <w:highlight w:val="none"/>
                <w:lang w:val="en-US"/>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预付卡经营者未向消费者出具载明规定内容的凭据逾期不改正</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预付卡经营者未按照规定提供查询或者未按照规定履行告知义务逾期不改正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4</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预付卡经营者未按照规定保存交易记录逾期不改正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预付卡经营者故意拖延或者无理拒绝退回预收款逾期不改正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10</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预付卡经营者迟报、瞒报、虚报有关信息逾期不改正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违反条款：第二十条；处罚条款：第三十一条  责令限期改正；逾期不改的，处一千元以上五千元以下罚款。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7</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预付卡经营者未按照规定存管资金逾期不改正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ascii="宋体" w:hAnsi="宋体" w:eastAsia="宋体" w:cs="仿宋_GB2312"/>
                <w:color w:val="auto"/>
                <w:sz w:val="15"/>
                <w:szCs w:val="15"/>
                <w:highlight w:val="none"/>
                <w:lang w:val="en"/>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6"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90" w:name="_Toc1495699393"/>
            <w:bookmarkStart w:id="91" w:name="_Toc110851466"/>
            <w:bookmarkStart w:id="92" w:name="_Toc929619053"/>
            <w:r>
              <w:rPr>
                <w:rFonts w:hint="eastAsia" w:ascii="黑体" w:hAnsi="黑体" w:eastAsia="黑体"/>
                <w:b w:val="0"/>
                <w:color w:val="auto"/>
                <w:sz w:val="28"/>
                <w:szCs w:val="28"/>
                <w:highlight w:val="none"/>
              </w:rPr>
              <w:t>园林绿化管理方面</w:t>
            </w:r>
            <w:bookmarkEnd w:id="90"/>
            <w:bookmarkEnd w:id="91"/>
            <w:bookmarkEnd w:id="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3" w:name="_Toc1801139429"/>
            <w:bookmarkStart w:id="94" w:name="_Toc110851467"/>
            <w:bookmarkStart w:id="95" w:name="_Toc422584556"/>
            <w:r>
              <w:rPr>
                <w:rFonts w:hint="eastAsia" w:ascii="宋体" w:hAnsi="宋体" w:eastAsia="宋体"/>
                <w:color w:val="auto"/>
                <w:sz w:val="21"/>
                <w:szCs w:val="21"/>
                <w:highlight w:val="none"/>
              </w:rPr>
              <w:t>《北京市绿化条例》案由16项</w:t>
            </w:r>
            <w:bookmarkEnd w:id="93"/>
            <w:bookmarkEnd w:id="94"/>
            <w:bookmarkEnd w:id="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未按要求公示绿地平面图</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处罚条款：第六十三条 责令限期改正；逾期不改正的，处5000元罚款。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按照条款规定执行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未按规定对闲置土地进行临时绿化</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处罚条款：第六十四条 责令限期改正；逾期不改正的，处2000元以上2万元以下罚款。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以内，</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以上的，每增加500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，系数增加1；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闲置时间超过一年的，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4；3. 尘土飞扬，对市容环境造成严重影响的，系数9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5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未按养护规范养护绿地、树木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处罚条款：第六十五条 责令限期改正；逾期不改正，造成树木死亡、绿化设施损毁、景区风貌破坏的，处2000元以上2万元以下罚款。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1.造成树木死亡（胸径小于30厘米且不满3株），绿化设施损毁、景区风貌破坏较重的，或者造成较大社会影响的，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2.造成树木死亡（胸径30厘米以上的，或树木死亡3株以上5株以下），或者造成较大损失的，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4；造成树木死亡（胸径30厘米以上树木3棵以上，以及树木死亡10株以上的），或者造成珍贵树种死亡，景区风貌破坏严重难以复原，以及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未按规范开发利用绿地地下空间</w:t>
            </w:r>
          </w:p>
        </w:tc>
        <w:tc>
          <w:tcPr>
            <w:tcW w:w="2789"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p>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处罚条款：第六十六条 责令限期改正；逾期不改正的，处2万元以上10万元以下罚款。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1.造成树木死亡（胸径小于30厘米且不满3株），绿地损毁的，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2.造成树木死亡（胸径30厘米以上的，或树木死亡3株以上），绿地使用功能丧失，或者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逾期不改正的情形，不</w:t>
            </w:r>
            <w:r>
              <w:rPr>
                <w:rFonts w:hint="eastAsia" w:ascii="宋体" w:hAnsi="宋体" w:eastAsia="宋体"/>
                <w:color w:val="auto"/>
                <w:sz w:val="15"/>
                <w:szCs w:val="15"/>
                <w:highlight w:val="none"/>
                <w:lang w:eastAsia="zh-CN"/>
              </w:rPr>
              <w:t>计入</w:t>
            </w:r>
            <w:r>
              <w:rPr>
                <w:rFonts w:hint="eastAsia" w:ascii="宋体" w:hAnsi="宋体" w:eastAsia="宋体"/>
                <w:color w:val="auto"/>
                <w:sz w:val="15"/>
                <w:szCs w:val="15"/>
                <w:highlight w:val="none"/>
              </w:rPr>
              <w:t>本项</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897"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在树木旁或者绿地内倾倒、排放污水、垃圾、渣</w:t>
            </w:r>
            <w:r>
              <w:rPr>
                <w:rFonts w:hint="eastAsia" w:ascii="宋体" w:hAnsi="宋体" w:eastAsia="宋体" w:cs="宋体"/>
                <w:color w:val="auto"/>
                <w:kern w:val="0"/>
                <w:sz w:val="15"/>
                <w:szCs w:val="15"/>
                <w:highlight w:val="none"/>
                <w:shd w:val="clear" w:color="auto" w:fill="auto"/>
              </w:rPr>
              <w:t>土及其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废弃</w:t>
            </w:r>
            <w:r>
              <w:rPr>
                <w:rFonts w:hint="eastAsia" w:ascii="宋体" w:hAnsi="宋体" w:eastAsia="宋体" w:cs="宋体"/>
                <w:color w:val="auto"/>
                <w:kern w:val="0"/>
                <w:sz w:val="15"/>
                <w:szCs w:val="15"/>
                <w:highlight w:val="none"/>
              </w:rPr>
              <w:t>物</w:t>
            </w:r>
          </w:p>
        </w:tc>
        <w:tc>
          <w:tcPr>
            <w:tcW w:w="2789" w:type="dxa"/>
            <w:gridSpan w:val="2"/>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p>
        </w:tc>
        <w:tc>
          <w:tcPr>
            <w:tcW w:w="3426" w:type="dxa"/>
            <w:noWrap w:val="0"/>
            <w:vAlign w:val="center"/>
          </w:tcPr>
          <w:p>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p>
        </w:tc>
        <w:tc>
          <w:tcPr>
            <w:tcW w:w="1982" w:type="dxa"/>
            <w:gridSpan w:val="2"/>
            <w:noWrap w:val="0"/>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8"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6"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06" w:lineRule="exact"/>
              <w:rPr>
                <w:rFonts w:ascii="宋体" w:hAnsi="宋体" w:eastAsia="宋体" w:cs="宋体"/>
                <w:color w:val="auto"/>
                <w:kern w:val="0"/>
                <w:sz w:val="15"/>
                <w:szCs w:val="15"/>
                <w:highlight w:val="none"/>
              </w:rPr>
            </w:pP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6"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06"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损毁树木、花草及绿化设施</w:t>
            </w:r>
          </w:p>
        </w:tc>
        <w:tc>
          <w:tcPr>
            <w:tcW w:w="2789" w:type="dxa"/>
            <w:gridSpan w:val="2"/>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p>
        </w:tc>
        <w:tc>
          <w:tcPr>
            <w:tcW w:w="3426" w:type="dxa"/>
            <w:noWrap w:val="0"/>
            <w:vAlign w:val="center"/>
          </w:tcPr>
          <w:p>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p>
        </w:tc>
        <w:tc>
          <w:tcPr>
            <w:tcW w:w="1982" w:type="dxa"/>
            <w:gridSpan w:val="2"/>
            <w:noWrap w:val="0"/>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6"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06" w:lineRule="exact"/>
              <w:rPr>
                <w:rFonts w:ascii="宋体" w:hAnsi="宋体" w:eastAsia="宋体" w:cs="宋体"/>
                <w:color w:val="auto"/>
                <w:kern w:val="0"/>
                <w:sz w:val="15"/>
                <w:szCs w:val="15"/>
                <w:highlight w:val="none"/>
              </w:rPr>
            </w:pP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6" w:lineRule="exact"/>
              <w:rPr>
                <w:rFonts w:ascii="宋体" w:hAnsi="宋体" w:eastAsia="宋体" w:cs="宋体"/>
                <w:color w:val="auto"/>
                <w:kern w:val="0"/>
                <w:sz w:val="15"/>
                <w:szCs w:val="15"/>
                <w:highlight w:val="none"/>
              </w:rPr>
            </w:pPr>
          </w:p>
        </w:tc>
        <w:tc>
          <w:tcPr>
            <w:tcW w:w="897"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在树木或者绿化设施上悬挂广告牌或者其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物品</w:t>
            </w:r>
          </w:p>
        </w:tc>
        <w:tc>
          <w:tcPr>
            <w:tcW w:w="2789"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8"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5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50" w:lineRule="exact"/>
              <w:rPr>
                <w:rFonts w:ascii="宋体" w:hAnsi="宋体" w:eastAsia="宋体" w:cs="宋体"/>
                <w:color w:val="auto"/>
                <w:kern w:val="0"/>
                <w:sz w:val="15"/>
                <w:szCs w:val="15"/>
                <w:highlight w:val="none"/>
              </w:rPr>
            </w:pP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5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在绿地内取土、搭建构筑物</w:t>
            </w:r>
          </w:p>
        </w:tc>
        <w:tc>
          <w:tcPr>
            <w:tcW w:w="2789"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56"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5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50" w:lineRule="exact"/>
              <w:rPr>
                <w:rFonts w:ascii="宋体" w:hAnsi="宋体" w:eastAsia="宋体" w:cs="宋体"/>
                <w:color w:val="auto"/>
                <w:kern w:val="0"/>
                <w:sz w:val="15"/>
                <w:szCs w:val="15"/>
                <w:highlight w:val="none"/>
              </w:rPr>
            </w:pP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在绿地内用火、烧烤</w:t>
            </w:r>
          </w:p>
        </w:tc>
        <w:tc>
          <w:tcPr>
            <w:tcW w:w="2789"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实施其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损害绿化成果及绿化设施的行为</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未经许可擅自改变绿地性质和用途</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违反条款：第五十七条；处罚条款：第六十八条责令限期改正、恢复原状，并按照改变的面积处每平方米300元以上3000元以下罚款</w:t>
            </w:r>
            <w:r>
              <w:rPr>
                <w:rFonts w:ascii="宋体" w:hAnsi="宋体" w:eastAsia="宋体" w:cs="宋体"/>
                <w:color w:val="auto"/>
                <w:kern w:val="0"/>
                <w:sz w:val="15"/>
                <w:szCs w:val="15"/>
                <w:highlight w:val="none"/>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1.擅自改变公共绿地性质和用途的，系数5-9；主动改正违法行为或者减轻违法后果的，系数1-4。2.改变</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b/>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未按规定移植树木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罚款数额＝树木价值×（3＋</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4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未按规定砍伐树木</w:t>
            </w:r>
          </w:p>
        </w:tc>
        <w:tc>
          <w:tcPr>
            <w:tcW w:w="2789" w:type="dxa"/>
            <w:gridSpan w:val="2"/>
            <w:noWrap w:val="0"/>
            <w:vAlign w:val="center"/>
          </w:tcPr>
          <w:p>
            <w:pPr>
              <w:spacing w:line="232"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 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违反规定截除树木主干、去除树冠</w:t>
            </w:r>
          </w:p>
        </w:tc>
        <w:tc>
          <w:tcPr>
            <w:tcW w:w="2789" w:type="dxa"/>
            <w:gridSpan w:val="2"/>
            <w:noWrap w:val="0"/>
            <w:vAlign w:val="center"/>
          </w:tcPr>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第五十条第（六）项；</w:t>
            </w:r>
          </w:p>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第七十条第一款、第二款  责令停止违法行为，并在规定地点补种砍伐株数10倍的树木，处所砍伐树木价值5至10倍的罚款。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5</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未经许可临时占用绿地</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处罚条款：第六十八条 责令限期改正、恢复原状，并按照改变的面积处每平方米300元以上3000元以下罚款。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342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1.临时占用公共绿地的，系数5-9；主动改正违法行为或者减轻违法后果的，系数1-4。2.临时占用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b/>
                <w:color w:val="auto"/>
                <w:kern w:val="0"/>
                <w:sz w:val="15"/>
                <w:szCs w:val="15"/>
                <w:highlight w:val="none"/>
              </w:rPr>
            </w:pP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未将代征绿地交绿化主管部门组织绿化</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处罚条款：第七十一条 责令限期交回，并处每日每平方米0.5元的罚款。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按规定计算罚款额度。</w:t>
            </w: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81"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6" w:name="_Toc110851468"/>
            <w:bookmarkStart w:id="97" w:name="_Toc177791596"/>
            <w:bookmarkStart w:id="98" w:name="_Toc608925407"/>
            <w:r>
              <w:rPr>
                <w:rFonts w:hint="eastAsia" w:ascii="宋体" w:hAnsi="宋体" w:eastAsia="宋体"/>
                <w:color w:val="auto"/>
                <w:sz w:val="21"/>
                <w:szCs w:val="21"/>
                <w:highlight w:val="none"/>
              </w:rPr>
              <w:t>《北京市物业</w:t>
            </w:r>
            <w:r>
              <w:rPr>
                <w:rFonts w:ascii="宋体" w:hAnsi="宋体" w:eastAsia="宋体"/>
                <w:color w:val="auto"/>
                <w:sz w:val="21"/>
                <w:szCs w:val="21"/>
                <w:highlight w:val="none"/>
              </w:rPr>
              <w:t>管理条例</w:t>
            </w:r>
            <w:r>
              <w:rPr>
                <w:rFonts w:hint="eastAsia" w:ascii="宋体" w:hAnsi="宋体" w:eastAsia="宋体"/>
                <w:color w:val="auto"/>
                <w:sz w:val="21"/>
                <w:szCs w:val="21"/>
                <w:highlight w:val="none"/>
              </w:rPr>
              <w:t>》案由1项</w:t>
            </w:r>
            <w:bookmarkEnd w:id="96"/>
            <w:bookmarkEnd w:id="97"/>
            <w:bookmarkEnd w:id="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3"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侵占绿地、毁坏绿化植物和绿化设施</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违反条款：第七十八条第二款第(九)项。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处罚条款：第九十八条第（九）项，责令改正，拒不改正的，处五百元以上五千元以下的罚款。</w:t>
            </w:r>
          </w:p>
        </w:tc>
        <w:tc>
          <w:tcPr>
            <w:tcW w:w="851" w:type="dxa"/>
            <w:noWrap w:val="0"/>
            <w:vAlign w:val="center"/>
          </w:tcPr>
          <w:p>
            <w:pPr>
              <w:spacing w:line="212" w:lineRule="exact"/>
              <w:ind w:firstLine="225" w:firstLineChars="150"/>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numPr>
                <w:ilvl w:val="0"/>
                <w:numId w:val="0"/>
              </w:num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造成绿化</w:t>
            </w:r>
            <w:r>
              <w:rPr>
                <w:rFonts w:ascii="宋体" w:hAnsi="宋体" w:eastAsia="宋体"/>
                <w:color w:val="auto"/>
                <w:sz w:val="15"/>
                <w:szCs w:val="15"/>
                <w:highlight w:val="none"/>
              </w:rPr>
              <w:t>植物</w:t>
            </w:r>
            <w:r>
              <w:rPr>
                <w:rFonts w:hint="eastAsia" w:ascii="宋体" w:hAnsi="宋体" w:eastAsia="宋体"/>
                <w:color w:val="auto"/>
                <w:sz w:val="15"/>
                <w:szCs w:val="15"/>
                <w:highlight w:val="none"/>
              </w:rPr>
              <w:t>、绿地或绿化设施损毁严重的，系数9。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经责令改正后，当事人主动改正违法行为，不予处罚</w:t>
            </w:r>
            <w:r>
              <w:rPr>
                <w:rFonts w:hint="eastAsia" w:ascii="宋体" w:hAnsi="宋体" w:eastAsia="宋体"/>
                <w:strike w:val="0"/>
                <w:dstrike w:val="0"/>
                <w:color w:val="auto"/>
                <w:sz w:val="15"/>
                <w:szCs w:val="15"/>
                <w:highlight w:val="none"/>
                <w:lang w:eastAsia="zh-CN"/>
              </w:rPr>
              <w:t>。</w:t>
            </w: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40"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9" w:name="_Toc1446129084"/>
            <w:bookmarkStart w:id="100" w:name="_Toc110851469"/>
            <w:bookmarkStart w:id="101" w:name="_Toc1576301640"/>
            <w:bookmarkStart w:id="102" w:name="_Toc945252334"/>
            <w:r>
              <w:rPr>
                <w:rFonts w:hint="eastAsia" w:ascii="宋体" w:hAnsi="宋体" w:eastAsia="宋体" w:cs="宋体"/>
                <w:color w:val="auto"/>
                <w:sz w:val="21"/>
                <w:szCs w:val="21"/>
                <w:highlight w:val="none"/>
              </w:rPr>
              <w:t>《古树名木保护条例》案由11项</w:t>
            </w:r>
            <w:bookmarkEnd w:id="99"/>
            <w:bookmarkEnd w:id="100"/>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4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1.未按照批准的移植和养护方案执行的，系数0-0.2。2.制定相应移植和养护方案但未经审核批准的，系数0.3-0.</w:t>
            </w:r>
            <w:r>
              <w:rPr>
                <w:rFonts w:hint="default" w:ascii="宋体" w:hAnsi="宋体" w:cs="宋体"/>
                <w:color w:val="auto"/>
                <w:kern w:val="0"/>
                <w:sz w:val="15"/>
                <w:szCs w:val="15"/>
                <w:highlight w:val="none"/>
                <w:lang w:val="en-US" w:eastAsia="zh-CN"/>
              </w:rPr>
              <w:t>5</w:t>
            </w:r>
            <w:r>
              <w:rPr>
                <w:rFonts w:hint="eastAsia" w:ascii="宋体" w:hAnsi="宋体" w:cs="宋体"/>
                <w:color w:val="auto"/>
                <w:kern w:val="0"/>
                <w:sz w:val="15"/>
                <w:szCs w:val="15"/>
                <w:highlight w:val="none"/>
                <w:lang w:val="en-US" w:eastAsia="zh-CN"/>
              </w:rPr>
              <w:t>。3.未制定移植和养护方案的，系数0.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-0.</w:t>
            </w:r>
            <w:r>
              <w:rPr>
                <w:rFonts w:hint="default" w:ascii="宋体" w:hAnsi="宋体" w:cs="宋体"/>
                <w:color w:val="auto"/>
                <w:kern w:val="0"/>
                <w:sz w:val="15"/>
                <w:szCs w:val="15"/>
                <w:highlight w:val="none"/>
                <w:lang w:val="en-US" w:eastAsia="zh-CN"/>
              </w:rPr>
              <w:t>8</w:t>
            </w:r>
            <w:r>
              <w:rPr>
                <w:rFonts w:hint="eastAsia" w:ascii="宋体" w:hAnsi="宋体" w:cs="宋体"/>
                <w:color w:val="auto"/>
                <w:kern w:val="0"/>
                <w:sz w:val="15"/>
                <w:szCs w:val="15"/>
                <w:highlight w:val="none"/>
                <w:lang w:val="en-US" w:eastAsia="zh-CN"/>
              </w:rPr>
              <w:t>。4.造成古树名木死亡的，系数1。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4" w:hRule="atLeast"/>
        </w:trPr>
        <w:tc>
          <w:tcPr>
            <w:tcW w:w="610" w:type="dxa"/>
            <w:vMerge w:val="continue"/>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1.未按照批准的移植和养护方案执行的，系数0-0.3。2.制定相应移植和养护方案但未经审核批准的，系数0.4-0.7。3.未制定移植和养护方案的，系数0.8-1.1。3.造成古树名木死亡的，系数1.5。4</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树木生长在中心城区和城市副中心或者自然保护区、风景名胜区、森林公园等自然保护区和历史文化街区、风景保护区、历史名园、传统村落、名人故居以及其他文保单位的，系数0.2。2.</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，系数0.2-0.4。3.造成古树名木死亡的，系数1。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4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。3.造成古树名木死亡的，系数1.5。</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2"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 。2.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5"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6"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02"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26"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4"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ind w:left="0" w:firstLine="0" w:firstLineChars="0"/>
              <w:textAlignment w:val="auto"/>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3"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8"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w:t>
            </w:r>
            <w:r>
              <w:rPr>
                <w:rFonts w:hint="eastAsia" w:ascii="宋体" w:hAnsi="宋体" w:cs="宋体"/>
                <w:color w:val="auto"/>
                <w:kern w:val="0"/>
                <w:sz w:val="15"/>
                <w:szCs w:val="15"/>
                <w:highlight w:val="none"/>
                <w:lang w:val="en-US" w:eastAsia="zh-CN"/>
              </w:rPr>
              <w:t>系数5。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，系数1；3株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，系数2；</w:t>
            </w:r>
            <w:r>
              <w:rPr>
                <w:rFonts w:hint="eastAsia" w:ascii="宋体" w:hAnsi="宋体" w:cs="宋体"/>
                <w:color w:val="auto"/>
                <w:kern w:val="0"/>
                <w:sz w:val="15"/>
                <w:szCs w:val="15"/>
                <w:highlight w:val="none"/>
                <w:lang w:val="en-US" w:eastAsia="zh-CN"/>
              </w:rPr>
              <w:t>4株的，系数3；5株的，系数4；6株的，系数5；</w:t>
            </w:r>
            <w:r>
              <w:rPr>
                <w:rFonts w:hint="eastAsia" w:ascii="宋体" w:hAnsi="宋体" w:eastAsia="宋体" w:cs="宋体"/>
                <w:color w:val="auto"/>
                <w:kern w:val="0"/>
                <w:sz w:val="15"/>
                <w:szCs w:val="15"/>
                <w:highlight w:val="none"/>
                <w:lang w:val="en-US" w:eastAsia="zh-CN"/>
              </w:rPr>
              <w:t>以此类推，10株及以上的，系数9。3.涉及保护设施或保护标志3处及以上的，系数1。4.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7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3" w:hRule="atLeast"/>
        </w:trPr>
        <w:tc>
          <w:tcPr>
            <w:tcW w:w="61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gridSpan w:val="2"/>
            <w:vMerge w:val="restart"/>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1.树木生长在中心城区和城市副中心或者自然保护区、风景名胜区、森林公园等自然保护区和历史文化街区、风景保护区、历史名园、传统村落、名人故居以及其他文保单位的，系数0-0.2；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 xml:space="preserve">1.树木生长在中心城区和城市副中心或者自然保护区、风景名胜区、森林公园等自然保护区和历史文化街区、风景保护区、历史名园、传统村落、名人故居以及其他文保单位的，系数 </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9" w:hRule="atLeast"/>
        </w:trPr>
        <w:tc>
          <w:tcPr>
            <w:tcW w:w="61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.2-0.4</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0.6-0.8</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0" w:hRule="atLeast"/>
        </w:trPr>
        <w:tc>
          <w:tcPr>
            <w:tcW w:w="15100" w:type="dxa"/>
            <w:gridSpan w:val="15"/>
            <w:noWrap w:val="0"/>
            <w:vAlign w:val="center"/>
          </w:tcPr>
          <w:p>
            <w:pPr>
              <w:pStyle w:val="3"/>
              <w:bidi w:val="0"/>
              <w:jc w:val="center"/>
              <w:rPr>
                <w:rFonts w:hint="eastAsia"/>
                <w:color w:val="auto"/>
                <w:highlight w:val="none"/>
                <w:lang w:val="en-US" w:eastAsia="zh-CN"/>
              </w:rPr>
            </w:pPr>
            <w:bookmarkStart w:id="103" w:name="_Toc659079473"/>
            <w:r>
              <w:rPr>
                <w:rFonts w:hint="eastAsia"/>
                <w:color w:val="auto"/>
                <w:sz w:val="21"/>
                <w:szCs w:val="21"/>
                <w:highlight w:val="none"/>
              </w:rPr>
              <w:t>《北京市古树名木保护管理条例》案由</w:t>
            </w:r>
            <w:r>
              <w:rPr>
                <w:rFonts w:hint="eastAsia"/>
                <w:color w:val="auto"/>
                <w:sz w:val="21"/>
                <w:szCs w:val="21"/>
                <w:highlight w:val="none"/>
                <w:lang w:val="en-US" w:eastAsia="zh-CN"/>
              </w:rPr>
              <w:t>3项</w:t>
            </w:r>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3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0"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3"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2" w:hRule="atLeast"/>
        </w:trPr>
        <w:tc>
          <w:tcPr>
            <w:tcW w:w="610"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擅自处理死亡一级古树的，系数4；</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二级古树的，系数3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04" w:name="_Toc465734653"/>
            <w:bookmarkStart w:id="105" w:name="_Toc110851470"/>
            <w:bookmarkStart w:id="106" w:name="_Toc1948589920"/>
            <w:r>
              <w:rPr>
                <w:rFonts w:hint="eastAsia" w:ascii="宋体" w:hAnsi="宋体" w:eastAsia="宋体"/>
                <w:color w:val="auto"/>
                <w:sz w:val="21"/>
                <w:szCs w:val="21"/>
                <w:highlight w:val="none"/>
              </w:rPr>
              <w:t>《北京市公园条例》案由</w:t>
            </w:r>
            <w:r>
              <w:rPr>
                <w:rFonts w:ascii="宋体" w:hAnsi="宋体" w:eastAsia="宋体"/>
                <w:color w:val="auto"/>
                <w:sz w:val="21"/>
                <w:szCs w:val="21"/>
                <w:highlight w:val="none"/>
              </w:rPr>
              <w:t xml:space="preserve"> 18</w:t>
            </w:r>
            <w:r>
              <w:rPr>
                <w:rFonts w:hint="eastAsia" w:ascii="宋体" w:hAnsi="宋体" w:eastAsia="宋体"/>
                <w:color w:val="auto"/>
                <w:sz w:val="21"/>
                <w:szCs w:val="21"/>
                <w:highlight w:val="none"/>
              </w:rPr>
              <w:t>项</w:t>
            </w:r>
            <w:bookmarkEnd w:id="104"/>
            <w:bookmarkEnd w:id="105"/>
            <w:bookmarkEnd w:id="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翻越围墙、栏杆、绿篱</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第（一）项；处罚条款：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第一款第（一）项 </w:t>
            </w:r>
            <w:r>
              <w:rPr>
                <w:rFonts w:ascii="宋体" w:hAnsi="宋体" w:eastAsia="宋体" w:cs="宋体"/>
                <w:color w:val="auto"/>
                <w:kern w:val="0"/>
                <w:sz w:val="15"/>
                <w:szCs w:val="15"/>
                <w:highlight w:val="none"/>
              </w:rPr>
              <w:t>责令改正，并可以处20元以上50元以下罚款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pPr>
              <w:spacing w:line="232" w:lineRule="exact"/>
              <w:rPr>
                <w:rFonts w:ascii="宋体" w:hAnsi="宋体" w:eastAsia="宋体" w:cs="宋体"/>
                <w:color w:val="auto"/>
                <w:kern w:val="0"/>
                <w:sz w:val="15"/>
                <w:szCs w:val="15"/>
                <w:highlight w:val="none"/>
              </w:rPr>
            </w:pPr>
          </w:p>
        </w:tc>
        <w:tc>
          <w:tcPr>
            <w:tcW w:w="840" w:type="dxa"/>
            <w:vMerge w:val="restart"/>
            <w:noWrap w:val="0"/>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3426" w:type="dxa"/>
            <w:vMerge w:val="restart"/>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restart"/>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tcBorders>
              <w:bottom w:val="single" w:color="auto" w:sz="4" w:space="0"/>
            </w:tcBorders>
            <w:noWrap w:val="0"/>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在禁烟区吸烟</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在非游泳区游泳，在非滑冰区滑冰，在非钓鱼区钓鱼，在非体育运动场所踢球、滑旱冰</w:t>
            </w:r>
            <w:r>
              <w:rPr>
                <w:rFonts w:hint="eastAsia" w:ascii="宋体" w:hAnsi="宋体" w:eastAsia="宋体" w:cs="宋体"/>
                <w:color w:val="auto"/>
                <w:kern w:val="0"/>
                <w:sz w:val="15"/>
                <w:szCs w:val="15"/>
                <w:highlight w:val="none"/>
              </w:rPr>
              <w:t>）</w:t>
            </w: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3426"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tcBorders>
              <w:bottom w:val="single" w:color="auto" w:sz="4" w:space="0"/>
            </w:tcBorders>
            <w:noWrap w:val="0"/>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随地吐痰、便溺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乱丢果皮等废弃物</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12"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12"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6"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营火、烧烤</w:t>
            </w:r>
          </w:p>
        </w:tc>
        <w:tc>
          <w:tcPr>
            <w:tcW w:w="2789"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第（二）项；处罚条款：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第一款第（二）项 </w:t>
            </w:r>
            <w:r>
              <w:rPr>
                <w:rFonts w:ascii="宋体" w:hAnsi="宋体" w:eastAsia="宋体" w:cs="宋体"/>
                <w:color w:val="auto"/>
                <w:kern w:val="0"/>
                <w:sz w:val="15"/>
                <w:szCs w:val="15"/>
                <w:highlight w:val="none"/>
              </w:rPr>
              <w:t>责令改正，并可以处50元以上100元以下罚款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9"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捕捞、捕捉动物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采挖植物，恐吓、投打、伤害动物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在非投喂区投喂动物</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1"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在建筑物、构筑物、设施、树木上涂写、刻划</w:t>
            </w:r>
            <w:r>
              <w:rPr>
                <w:rFonts w:hint="eastAsia" w:ascii="宋体" w:hAnsi="宋体" w:eastAsia="宋体" w:cs="宋体"/>
                <w:color w:val="auto"/>
                <w:kern w:val="0"/>
                <w:sz w:val="15"/>
                <w:szCs w:val="15"/>
                <w:highlight w:val="none"/>
              </w:rPr>
              <w:t xml:space="preserve"> </w:t>
            </w:r>
          </w:p>
        </w:tc>
        <w:tc>
          <w:tcPr>
            <w:tcW w:w="2789"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第一款第（三）项 </w:t>
            </w:r>
            <w:r>
              <w:rPr>
                <w:rFonts w:ascii="宋体" w:hAnsi="宋体" w:eastAsia="宋体" w:cs="宋体"/>
                <w:color w:val="auto"/>
                <w:kern w:val="0"/>
                <w:sz w:val="15"/>
                <w:szCs w:val="15"/>
                <w:highlight w:val="none"/>
              </w:rPr>
              <w:t>给予警告，并处5元以上50元以下罚款</w:t>
            </w:r>
          </w:p>
        </w:tc>
        <w:tc>
          <w:tcPr>
            <w:tcW w:w="851" w:type="dxa"/>
            <w:vMerge w:val="restart"/>
            <w:noWrap w:val="0"/>
            <w:vAlign w:val="center"/>
          </w:tcPr>
          <w:p>
            <w:pPr>
              <w:spacing w:line="200" w:lineRule="exact"/>
              <w:rPr>
                <w:rFonts w:ascii="宋体" w:hAnsi="宋体" w:eastAsia="宋体" w:cs="宋体"/>
                <w:color w:val="auto"/>
                <w:kern w:val="0"/>
                <w:sz w:val="15"/>
                <w:szCs w:val="15"/>
                <w:highlight w:val="none"/>
              </w:rPr>
            </w:pPr>
          </w:p>
        </w:tc>
        <w:tc>
          <w:tcPr>
            <w:tcW w:w="840" w:type="dxa"/>
            <w:vMerge w:val="restart"/>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restart"/>
            <w:noWrap w:val="0"/>
            <w:vAlign w:val="center"/>
          </w:tcPr>
          <w:p>
            <w:pPr>
              <w:spacing w:line="20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 </w:t>
            </w:r>
          </w:p>
        </w:tc>
        <w:tc>
          <w:tcPr>
            <w:tcW w:w="1875" w:type="dxa"/>
            <w:gridSpan w:val="2"/>
            <w:vMerge w:val="restart"/>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6"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攀折花木</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损坏草坪、树木</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2"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擅自改变公园的功能</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第（一）项 责令限期改正，恢复原功能，并可以处1万元以上10万元以下罚款。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lang w:val="en-US" w:eastAsia="zh-CN"/>
              </w:rPr>
              <w:t>功能的，</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级别为二级的公园功能</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改变</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lang w:eastAsia="zh-CN"/>
              </w:rPr>
              <w:t>功</w:t>
            </w:r>
            <w:r>
              <w:rPr>
                <w:rFonts w:hint="eastAsia" w:ascii="宋体" w:hAnsi="宋体" w:eastAsia="宋体" w:cs="宋体"/>
                <w:color w:val="auto"/>
                <w:kern w:val="0"/>
                <w:sz w:val="15"/>
                <w:szCs w:val="15"/>
                <w:highlight w:val="none"/>
              </w:rPr>
              <w:t>能</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2"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侵占公园用地</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第（二）项 责令立即腾退，恢复原状，并可以按照侵占面积每平方米处300元罚款。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p>
        </w:tc>
        <w:tc>
          <w:tcPr>
            <w:tcW w:w="3426" w:type="dxa"/>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罚款数额＝侵占面积×300元。</w:t>
            </w:r>
          </w:p>
        </w:tc>
        <w:tc>
          <w:tcPr>
            <w:tcW w:w="1982" w:type="dxa"/>
            <w:gridSpan w:val="2"/>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公园未经验收交付使用</w:t>
            </w:r>
          </w:p>
        </w:tc>
        <w:tc>
          <w:tcPr>
            <w:tcW w:w="2789"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，责令改正，并可以处1万元以上10万元以下罚款。</w:t>
            </w:r>
          </w:p>
        </w:tc>
        <w:tc>
          <w:tcPr>
            <w:tcW w:w="851"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1.公园建设工程已经完工，具备开园条件，但未经验收交付使用的，系数</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-4；2.公园建设工程尚未完全完工，且未经验收交付使用的，系数5-9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4"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在历史名园保护区内建设影响原有风貌和格局的建筑物、构建物</w:t>
            </w:r>
          </w:p>
        </w:tc>
        <w:tc>
          <w:tcPr>
            <w:tcW w:w="2789"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二十九</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三</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1.面积500平方米以下（不含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0</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.违法建筑物、构筑物的面积500平方米以上不足1000平方米（不含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）的，系数4</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.违法建筑物、构筑物的面积1000平方米以上的，系数7-9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系数）×面积。</w:t>
            </w:r>
          </w:p>
        </w:tc>
        <w:tc>
          <w:tcPr>
            <w:tcW w:w="1982"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对原有文物建筑及其附属物损毁、改建、拆除的，按照文物保护的法律、法规规定予以处罚和赔偿。</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5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擅自改变无法以人力再造和无法再生的自然景观</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 责令停止违法行为，并处1万元以上10万元以下罚款。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造成损失的，依法承担赔偿责任；构成犯罪的，依法追究刑事责任。</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擅自改变具有特殊历史文化价值的人文景观原有风貌和格局</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，责令停止违法行为，并处1万元以上10万元以下罚款。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公园管理机构未按照标准做好清扫保洁</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三十六</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第一款第</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六</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在公园内搭建棚舍、擅自摆摊设点</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在公园内随意堆放物料、拉绳挂物</w:t>
            </w:r>
          </w:p>
        </w:tc>
        <w:tc>
          <w:tcPr>
            <w:tcW w:w="2789" w:type="dxa"/>
            <w:gridSpan w:val="2"/>
            <w:noWrap w:val="0"/>
            <w:vAlign w:val="center"/>
          </w:tcPr>
          <w:p>
            <w:pPr>
              <w:spacing w:line="20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w:t>
            </w:r>
            <w:r>
              <w:rPr>
                <w:rFonts w:ascii="宋体" w:hAnsi="宋体" w:eastAsia="宋体" w:cs="宋体"/>
                <w:color w:val="auto"/>
                <w:spacing w:val="-4"/>
                <w:kern w:val="0"/>
                <w:sz w:val="15"/>
                <w:szCs w:val="15"/>
                <w:highlight w:val="none"/>
              </w:rPr>
              <w:t>第</w:t>
            </w:r>
            <w:r>
              <w:rPr>
                <w:rFonts w:hint="eastAsia" w:ascii="宋体" w:hAnsi="宋体" w:eastAsia="宋体" w:cs="宋体"/>
                <w:color w:val="auto"/>
                <w:spacing w:val="-4"/>
                <w:kern w:val="0"/>
                <w:sz w:val="15"/>
                <w:szCs w:val="15"/>
                <w:highlight w:val="none"/>
              </w:rPr>
              <w:t>三十七</w:t>
            </w:r>
            <w:r>
              <w:rPr>
                <w:rFonts w:ascii="宋体" w:hAnsi="宋体" w:eastAsia="宋体" w:cs="宋体"/>
                <w:color w:val="auto"/>
                <w:spacing w:val="-4"/>
                <w:kern w:val="0"/>
                <w:sz w:val="15"/>
                <w:szCs w:val="15"/>
                <w:highlight w:val="none"/>
              </w:rPr>
              <w:t>条</w:t>
            </w:r>
            <w:r>
              <w:rPr>
                <w:rFonts w:hint="eastAsia" w:ascii="宋体" w:hAnsi="宋体" w:eastAsia="宋体" w:cs="宋体"/>
                <w:color w:val="auto"/>
                <w:spacing w:val="-4"/>
                <w:kern w:val="0"/>
                <w:sz w:val="15"/>
                <w:szCs w:val="15"/>
                <w:highlight w:val="none"/>
              </w:rPr>
              <w:t>；处罚条款：</w:t>
            </w:r>
            <w:r>
              <w:rPr>
                <w:rFonts w:ascii="宋体" w:hAnsi="宋体" w:eastAsia="宋体" w:cs="宋体"/>
                <w:color w:val="auto"/>
                <w:spacing w:val="-4"/>
                <w:kern w:val="0"/>
                <w:sz w:val="15"/>
                <w:szCs w:val="15"/>
                <w:highlight w:val="none"/>
              </w:rPr>
              <w:t>第五十</w:t>
            </w:r>
            <w:r>
              <w:rPr>
                <w:rFonts w:hint="eastAsia" w:ascii="宋体" w:hAnsi="宋体" w:eastAsia="宋体" w:cs="宋体"/>
                <w:color w:val="auto"/>
                <w:spacing w:val="-4"/>
                <w:kern w:val="0"/>
                <w:sz w:val="15"/>
                <w:szCs w:val="15"/>
                <w:highlight w:val="none"/>
              </w:rPr>
              <w:t>五</w:t>
            </w:r>
            <w:r>
              <w:rPr>
                <w:rFonts w:ascii="宋体" w:hAnsi="宋体" w:eastAsia="宋体" w:cs="宋体"/>
                <w:color w:val="auto"/>
                <w:spacing w:val="-4"/>
                <w:kern w:val="0"/>
                <w:sz w:val="15"/>
                <w:szCs w:val="15"/>
                <w:highlight w:val="none"/>
              </w:rPr>
              <w:t>条第（</w:t>
            </w:r>
            <w:r>
              <w:rPr>
                <w:rFonts w:hint="eastAsia" w:ascii="宋体" w:hAnsi="宋体" w:eastAsia="宋体" w:cs="宋体"/>
                <w:color w:val="auto"/>
                <w:spacing w:val="-4"/>
                <w:kern w:val="0"/>
                <w:sz w:val="15"/>
                <w:szCs w:val="15"/>
                <w:highlight w:val="none"/>
              </w:rPr>
              <w:t>三</w:t>
            </w:r>
            <w:r>
              <w:rPr>
                <w:rFonts w:ascii="宋体" w:hAnsi="宋体" w:eastAsia="宋体" w:cs="宋体"/>
                <w:color w:val="auto"/>
                <w:spacing w:val="-4"/>
                <w:kern w:val="0"/>
                <w:sz w:val="15"/>
                <w:szCs w:val="15"/>
                <w:highlight w:val="none"/>
              </w:rPr>
              <w:t>）</w:t>
            </w:r>
            <w:r>
              <w:rPr>
                <w:rFonts w:hint="eastAsia" w:ascii="宋体" w:hAnsi="宋体" w:eastAsia="宋体" w:cs="宋体"/>
                <w:color w:val="auto"/>
                <w:spacing w:val="-4"/>
                <w:kern w:val="0"/>
                <w:sz w:val="15"/>
                <w:szCs w:val="15"/>
                <w:highlight w:val="none"/>
              </w:rPr>
              <w:t>项，责令改正，并可以处100元以上1000元以下罚款。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公园内牌示污损、丢失不及时更换或者补设</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在公园内追逐游客强行兜售物品</w:t>
            </w:r>
          </w:p>
        </w:tc>
        <w:tc>
          <w:tcPr>
            <w:tcW w:w="2789"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w:t>
            </w:r>
            <w:r>
              <w:rPr>
                <w:rFonts w:hint="eastAsia" w:ascii="宋体" w:hAnsi="宋体" w:eastAsia="宋体" w:cs="宋体"/>
                <w:color w:val="auto"/>
                <w:kern w:val="0"/>
                <w:sz w:val="15"/>
                <w:szCs w:val="15"/>
                <w:highlight w:val="none"/>
              </w:rPr>
              <w:t>七条；处罚条款：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，责令改正，没收违法所得，并处50元以上500元以下罚款。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1" w:hRule="atLeast"/>
        </w:trPr>
        <w:tc>
          <w:tcPr>
            <w:tcW w:w="15100" w:type="dxa"/>
            <w:gridSpan w:val="15"/>
            <w:noWrap w:val="0"/>
            <w:vAlign w:val="center"/>
          </w:tcPr>
          <w:p>
            <w:pPr>
              <w:pStyle w:val="2"/>
              <w:bidi w:val="0"/>
              <w:rPr>
                <w:rFonts w:ascii="黑体" w:hAnsi="黑体" w:eastAsia="黑体" w:cs="宋体"/>
                <w:color w:val="auto"/>
                <w:kern w:val="0"/>
                <w:highlight w:val="none"/>
              </w:rPr>
            </w:pPr>
            <w:bookmarkStart w:id="107" w:name="_Toc1386189970"/>
            <w:r>
              <w:rPr>
                <w:rFonts w:hint="eastAsia" w:ascii="黑体" w:hAnsi="黑体" w:eastAsia="黑体" w:cs="黑体"/>
                <w:b w:val="0"/>
                <w:bCs w:val="0"/>
                <w:color w:val="auto"/>
                <w:sz w:val="28"/>
                <w:szCs w:val="28"/>
                <w:highlight w:val="none"/>
              </w:rPr>
              <w:t>环境保护管理方面</w:t>
            </w:r>
            <w:bookmarkEnd w:id="1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7" w:hRule="atLeast"/>
        </w:trPr>
        <w:tc>
          <w:tcPr>
            <w:tcW w:w="15100" w:type="dxa"/>
            <w:gridSpan w:val="15"/>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color w:val="auto"/>
                <w:kern w:val="0"/>
                <w:szCs w:val="15"/>
                <w:highlight w:val="none"/>
              </w:rPr>
            </w:pPr>
            <w:bookmarkStart w:id="108" w:name="_Toc1533288799"/>
            <w:r>
              <w:rPr>
                <w:rFonts w:hint="eastAsia"/>
                <w:color w:val="auto"/>
                <w:sz w:val="21"/>
                <w:szCs w:val="21"/>
                <w:highlight w:val="none"/>
              </w:rPr>
              <w:t>《中华人民共和国大气污染防治法》案由18项</w:t>
            </w:r>
            <w:bookmarkEnd w:id="1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施工单位未设置硬质围挡</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施工单位未采取有效防尘降尘措施</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6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施工单位未及时清运建筑土方（工程渣土、建筑垃圾）</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10" w:lineRule="exact"/>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垃圾占地面积10㎡以下的，系数0；11－15㎡的，系数1；16－20㎡系数2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color w:val="auto"/>
                <w:sz w:val="15"/>
                <w:szCs w:val="15"/>
                <w:highlight w:val="none"/>
                <w:lang w:eastAsia="zh-CN"/>
              </w:rPr>
              <w:t>逾期达2天的，系数</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；逾期达4天的，系数2；逾期达6天的，系数3；逾期达8天的，系数4；逾期达10天的，系数5；以此类推，逾期达18天及以上的，系数9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施工单位未采用密闭式防尘网遮盖建筑土方（工程渣土、建筑垃圾）</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s="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。2.造成尘土飞扬，严重污染环境的，</w:t>
            </w:r>
            <w:r>
              <w:rPr>
                <w:rFonts w:hint="eastAsia" w:ascii="宋体" w:hAnsi="宋体" w:eastAsia="宋体" w:cs="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建设单位未对暂不开工的建设用地裸露地面进行覆盖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建设单位未对超过三个月不能开工的建设用地裸露地面进行绿化、铺装或者遮盖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运输散装、流体物料车辆未采取密闭或者</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措施防</w:t>
            </w:r>
            <w:r>
              <w:rPr>
                <w:rFonts w:hint="eastAsia" w:ascii="宋体" w:hAnsi="宋体" w:eastAsia="宋体"/>
                <w:color w:val="auto"/>
                <w:sz w:val="15"/>
                <w:szCs w:val="15"/>
                <w:highlight w:val="none"/>
              </w:rPr>
              <w:t>止物料遗撒</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违反条款：第七十条第一款；处罚条款：第一百一十六条：责令改正，处二千元以上二万元以下的罚款；拒不改正的，车辆不得上道路行驶。</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易产生扬尘的物料未密闭贮存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4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易产生扬尘的物料不能密闭贮存的，未按规定设置围挡或者未采取有效覆盖措施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装卸物料未采取密闭或者喷淋等方式控制扬尘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填埋场（消纳场）未采取有效措施防治扬尘污染</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500-600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eastAsia="zh-CN"/>
              </w:rPr>
              <w:t>每增加</w:t>
            </w:r>
            <w:r>
              <w:rPr>
                <w:rFonts w:hint="eastAsia" w:ascii="宋体" w:hAnsi="宋体" w:eastAsia="宋体" w:cs="宋体"/>
                <w:b w:val="0"/>
                <w:bCs w:val="0"/>
                <w:color w:val="auto"/>
                <w:sz w:val="15"/>
                <w:szCs w:val="15"/>
                <w:highlight w:val="none"/>
                <w:lang w:val="en-US" w:eastAsia="zh-CN"/>
              </w:rPr>
              <w:t>100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，系数加1</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产生较大环境污染或者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bCs/>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露天焚烧秸秆（落叶）等产生烟尘污染的物质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违反条款：第七十七条；处罚条款：第一百一十九条第一款：责令改正，并可以处五百元以上二千元以下的罚款。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焚烧沥青（油毡、橡胶、塑料、皮革、垃圾）等产生有毒有害烟尘和恶臭气体的物质</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违反规定露天烧烤食品</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p>
        </w:tc>
        <w:tc>
          <w:tcPr>
            <w:tcW w:w="1982"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需要做出其他处罚决定的，报请案审会决定。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违反规定为露天烧烤食品提供场地</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2000</w:t>
            </w:r>
          </w:p>
          <w:p>
            <w:pPr>
              <w:spacing w:line="190" w:lineRule="exact"/>
              <w:jc w:val="both"/>
              <w:rPr>
                <w:rFonts w:hint="default" w:ascii="宋体" w:hAnsi="宋体" w:eastAsia="宋体" w:cs="宋体"/>
                <w:strike/>
                <w:dstrike w:val="0"/>
                <w:color w:val="auto"/>
                <w:kern w:val="0"/>
                <w:sz w:val="15"/>
                <w:szCs w:val="15"/>
                <w:highlight w:val="none"/>
                <w:lang w:val="en-US" w:eastAsia="zh-CN"/>
              </w:rPr>
            </w:pP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需酌情给予2000以下罚款的，说明理由，报案审会决定。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拒不执行停止工地土石方作业（建筑物拆除施工）等重污染天气应急措施</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宋体" w:hAnsi="宋体" w:eastAsia="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拒不接受大气环境保护监督检查</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1.经责令改正，仍拒不接受监督检查的，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4；2.空气重污染预警期间，拒不接受监督检查的，系数4；3.造成大气污染或者不良社会影响等较为严重情形之一的，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“拒不配合”的情形，不纳入本案由情节系数。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0" w:hRule="atLeast"/>
        </w:trPr>
        <w:tc>
          <w:tcPr>
            <w:tcW w:w="610"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tcBorders>
              <w:bottom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接受大气环境保护监督检查时弄虚作假</w:t>
            </w:r>
          </w:p>
        </w:tc>
        <w:tc>
          <w:tcPr>
            <w:tcW w:w="2789" w:type="dxa"/>
            <w:gridSpan w:val="2"/>
            <w:tcBorders>
              <w:bottom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4；2.空气重污染预警期间，弄虚作假的，系数4；3.造成大气污染或者不良社会影响等较为严重情形之一的，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“虚假陈述”的情形，不纳入本案由情节系数。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9" w:hRule="atLeast"/>
        </w:trPr>
        <w:tc>
          <w:tcPr>
            <w:tcW w:w="15100" w:type="dxa"/>
            <w:gridSpan w:val="15"/>
            <w:tcBorders>
              <w:bottom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15"/>
                <w:highlight w:val="none"/>
              </w:rPr>
            </w:pPr>
            <w:bookmarkStart w:id="109" w:name="_Toc1254554082"/>
            <w:r>
              <w:rPr>
                <w:rFonts w:hint="eastAsia"/>
                <w:color w:val="auto"/>
                <w:sz w:val="21"/>
                <w:szCs w:val="21"/>
                <w:highlight w:val="none"/>
              </w:rPr>
              <w:t>《北京市大气污染防治条例》案由8项</w:t>
            </w:r>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tcBorders>
              <w:top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拒不执行空气重污染应急措施</w:t>
            </w:r>
          </w:p>
        </w:tc>
        <w:tc>
          <w:tcPr>
            <w:tcW w:w="2789"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违反条款：第五十九条第二款；处罚条款：第一百零八条第二款，责令改正；拒不改正的，予以关闭，并处一万元以上十万元以下罚款。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造成事故或者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default" w:ascii="宋体" w:hAnsi="宋体" w:eastAsia="宋体" w:cs="宋体"/>
                <w:strike/>
                <w:dstrike w:val="0"/>
                <w:color w:val="auto"/>
                <w:kern w:val="0"/>
                <w:sz w:val="15"/>
                <w:szCs w:val="15"/>
                <w:highlight w:val="none"/>
                <w:lang w:val="en-US" w:eastAsia="zh-CN"/>
              </w:rPr>
            </w:pPr>
            <w:r>
              <w:rPr>
                <w:rFonts w:hint="eastAsia" w:ascii="宋体" w:hAnsi="宋体" w:eastAsia="宋体"/>
                <w:strike w:val="0"/>
                <w:dstrike w:val="0"/>
                <w:color w:val="auto"/>
                <w:sz w:val="15"/>
                <w:szCs w:val="15"/>
                <w:highlight w:val="none"/>
                <w:lang w:eastAsia="zh-CN"/>
              </w:rPr>
              <w:t>拒</w:t>
            </w:r>
            <w:r>
              <w:rPr>
                <w:rFonts w:hint="eastAsia" w:ascii="宋体" w:hAnsi="宋体" w:eastAsia="宋体"/>
                <w:strike w:val="0"/>
                <w:dstrike w:val="0"/>
                <w:color w:val="auto"/>
                <w:sz w:val="15"/>
                <w:szCs w:val="15"/>
                <w:highlight w:val="none"/>
              </w:rPr>
              <w:t>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1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露天焚烧秸秆（树叶、枯草）</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违反条款：第六十一条第一款；处罚条款：第一百一十条第一款：责令改正，可以处五百元以上二千元以下罚款。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897" w:type="dxa"/>
            <w:gridSpan w:val="2"/>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2"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露天焚烧垃圾（电子废物、油毡、橡胶、塑料、皮革、沥青）</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（对单位）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1.对大气环境或者生产生活造成较大影响的，系数5-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897"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（对个人）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1.对大气环境或者生产生活造成较大影响的，系数2-3；2.导致事故发生或者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897" w:type="dxa"/>
            <w:gridSpan w:val="2"/>
            <w:vMerge w:val="continue"/>
            <w:noWrap w:val="0"/>
            <w:vAlign w:val="center"/>
          </w:tcPr>
          <w:p>
            <w:pPr>
              <w:spacing w:line="200"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5" w:hRule="atLeast"/>
        </w:trPr>
        <w:tc>
          <w:tcPr>
            <w:tcW w:w="610"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shd w:val="clear" w:color="auto" w:fill="auto"/>
              </w:rPr>
              <w:t>在政府划定的禁止范围内露天烧烤食品</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根据案件情形，需要作出公式之外</w:t>
            </w:r>
            <w:r>
              <w:rPr>
                <w:rFonts w:hint="eastAsia" w:ascii="宋体" w:hAnsi="宋体" w:eastAsia="宋体" w:cs="宋体"/>
                <w:color w:val="auto"/>
                <w:sz w:val="15"/>
                <w:szCs w:val="15"/>
                <w:highlight w:val="none"/>
                <w:lang w:eastAsia="zh-CN"/>
              </w:rPr>
              <w:t>其他</w:t>
            </w:r>
            <w:r>
              <w:rPr>
                <w:rFonts w:hint="eastAsia" w:ascii="宋体" w:hAnsi="宋体" w:eastAsia="宋体" w:cs="宋体"/>
                <w:color w:val="auto"/>
                <w:sz w:val="15"/>
                <w:szCs w:val="15"/>
                <w:highlight w:val="none"/>
              </w:rPr>
              <w:t>罚款额度处罚的，报案审会决定。</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7" w:hRule="atLeast"/>
        </w:trPr>
        <w:tc>
          <w:tcPr>
            <w:tcW w:w="610"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为露天烧烤食品提供场地</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 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需酌情给予2000以下罚款的，说明理由，报案审会决定。</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7" w:hRule="atLeast"/>
        </w:trPr>
        <w:tc>
          <w:tcPr>
            <w:tcW w:w="61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运输散装、流体物料车辆不符合条件（未安装卫星定位系统、未密闭运输）</w:t>
            </w:r>
          </w:p>
        </w:tc>
        <w:tc>
          <w:tcPr>
            <w:tcW w:w="2789"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违反条款：第八十三条；处罚条款：第一百二十一条：责令改正，处二千元以上二万</w:t>
            </w:r>
            <w:r>
              <w:rPr>
                <w:rFonts w:hint="eastAsia" w:ascii="宋体" w:hAnsi="宋体" w:eastAsia="宋体"/>
                <w:color w:val="auto"/>
                <w:sz w:val="15"/>
                <w:szCs w:val="15"/>
                <w:highlight w:val="none"/>
                <w:lang w:eastAsia="zh-CN"/>
              </w:rPr>
              <w:t>元</w:t>
            </w:r>
            <w:r>
              <w:rPr>
                <w:rFonts w:hint="eastAsia" w:ascii="宋体" w:hAnsi="宋体" w:eastAsia="宋体"/>
                <w:color w:val="auto"/>
                <w:sz w:val="15"/>
                <w:szCs w:val="15"/>
                <w:highlight w:val="none"/>
              </w:rPr>
              <w:t>以下罚款；拒不改正的，车辆不得上道路行驶。</w:t>
            </w:r>
          </w:p>
        </w:tc>
        <w:tc>
          <w:tcPr>
            <w:tcW w:w="85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车辆同时存在不符合条件、未安装卫星定位系统、未密闭等</w:t>
            </w:r>
            <w:r>
              <w:rPr>
                <w:rFonts w:hint="eastAsia" w:ascii="宋体" w:hAnsi="宋体" w:eastAsia="宋体"/>
                <w:color w:val="auto"/>
                <w:sz w:val="15"/>
                <w:szCs w:val="15"/>
                <w:highlight w:val="none"/>
                <w:lang w:val="en-US" w:eastAsia="zh-CN"/>
              </w:rPr>
              <w:t>2种情形的系数2，3种情形的系数4；2.</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0" w:hRule="atLeast"/>
        </w:trPr>
        <w:tc>
          <w:tcPr>
            <w:tcW w:w="61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建筑垃圾资源化处置场（渣土消纳场、燃煤电厂贮灰场、垃圾填埋场）未实施分区作业或者未采取措施防治扬尘污染</w:t>
            </w:r>
          </w:p>
        </w:tc>
        <w:tc>
          <w:tcPr>
            <w:tcW w:w="2789"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40" w:lineRule="exact"/>
              <w:jc w:val="center"/>
              <w:rPr>
                <w:rFonts w:ascii="宋体" w:hAnsi="宋体" w:eastAsia="宋体"/>
                <w:color w:val="auto"/>
                <w:sz w:val="15"/>
                <w:szCs w:val="15"/>
                <w:highlight w:val="none"/>
              </w:rPr>
            </w:pPr>
          </w:p>
        </w:tc>
        <w:tc>
          <w:tcPr>
            <w:tcW w:w="3426" w:type="dxa"/>
            <w:noWrap w:val="0"/>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p>
            <w:pPr>
              <w:spacing w:line="240" w:lineRule="exact"/>
              <w:rPr>
                <w:rFonts w:ascii="宋体" w:hAnsi="宋体" w:eastAsia="宋体"/>
                <w:color w:val="auto"/>
                <w:sz w:val="15"/>
                <w:szCs w:val="15"/>
                <w:highlight w:val="none"/>
              </w:rPr>
            </w:pP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0" w:name="_Toc1745180410"/>
            <w:bookmarkStart w:id="111" w:name="_Toc110851471"/>
            <w:bookmarkStart w:id="112" w:name="_Toc945583867"/>
            <w:r>
              <w:rPr>
                <w:rFonts w:hint="eastAsia" w:ascii="宋体" w:hAnsi="宋体" w:eastAsia="宋体"/>
                <w:color w:val="auto"/>
                <w:sz w:val="21"/>
                <w:szCs w:val="21"/>
                <w:highlight w:val="none"/>
              </w:rPr>
              <w:t>《北京市环境噪声污染防治办法》案由</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项</w:t>
            </w:r>
            <w:bookmarkEnd w:id="110"/>
            <w:bookmarkEnd w:id="111"/>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1" w:hRule="atLeast"/>
        </w:trPr>
        <w:tc>
          <w:tcPr>
            <w:tcW w:w="610" w:type="dxa"/>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特殊时段在噪声敏感建筑物集中区域内从事产生噪声的施工作业</w:t>
            </w:r>
          </w:p>
        </w:tc>
        <w:tc>
          <w:tcPr>
            <w:tcW w:w="2789" w:type="dxa"/>
            <w:gridSpan w:val="2"/>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处罚条款：第三十九条 责令停止违法行为，并处1万元以上3万元以下罚款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tabs>
                <w:tab w:val="left" w:pos="312"/>
              </w:tabs>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rPr>
              <w:t>，或者造成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社会恶劣影响等情形，</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1；2.媒体曝光，造成不良社会影响的，系数2；3.在中（高）考考场周边的，系数2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10" w:hRule="atLeast"/>
        </w:trPr>
        <w:tc>
          <w:tcPr>
            <w:tcW w:w="15100" w:type="dxa"/>
            <w:gridSpan w:val="15"/>
            <w:noWrap w:val="0"/>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1"/>
                <w:szCs w:val="21"/>
                <w:highlight w:val="none"/>
              </w:rPr>
            </w:pPr>
            <w:bookmarkStart w:id="113" w:name="_Toc1776400090"/>
            <w:bookmarkStart w:id="114" w:name="_Toc110851472"/>
            <w:bookmarkStart w:id="115" w:name="_Toc193344115"/>
            <w:r>
              <w:rPr>
                <w:rStyle w:val="31"/>
                <w:rFonts w:hint="eastAsia" w:ascii="宋体" w:hAnsi="宋体" w:eastAsia="宋体"/>
                <w:color w:val="auto"/>
                <w:sz w:val="21"/>
                <w:szCs w:val="21"/>
                <w:highlight w:val="none"/>
              </w:rPr>
              <w:t>《中华人民共和国噪声污染防治法》案由</w:t>
            </w:r>
            <w:r>
              <w:rPr>
                <w:rStyle w:val="31"/>
                <w:rFonts w:hint="eastAsia" w:ascii="宋体" w:hAnsi="宋体" w:eastAsia="宋体"/>
                <w:color w:val="auto"/>
                <w:sz w:val="21"/>
                <w:szCs w:val="21"/>
                <w:highlight w:val="none"/>
                <w:lang w:val="en-US" w:eastAsia="zh-CN"/>
              </w:rPr>
              <w:t>6</w:t>
            </w:r>
            <w:r>
              <w:rPr>
                <w:rStyle w:val="31"/>
                <w:rFonts w:hint="eastAsia" w:ascii="宋体" w:hAnsi="宋体" w:eastAsia="宋体"/>
                <w:color w:val="auto"/>
                <w:sz w:val="21"/>
                <w:szCs w:val="21"/>
                <w:highlight w:val="none"/>
              </w:rPr>
              <w:t>项</w:t>
            </w:r>
            <w:bookmarkEnd w:id="113"/>
            <w:bookmarkEnd w:id="114"/>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1830" w:type="dxa"/>
            <w:gridSpan w:val="3"/>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未取得证明夜间施工</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处罚条款：第七十七条第（二）项 责令改正，处一万元以上十万元以下的罚款；拒不改正的，可以责令暂停施工。</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宋体" w:hAnsi="宋体" w:eastAsia="宋体"/>
                <w:b w:val="0"/>
                <w:bCs w:val="0"/>
                <w:color w:val="auto"/>
                <w:sz w:val="15"/>
                <w:szCs w:val="15"/>
                <w:highlight w:val="none"/>
              </w:rPr>
              <w:t>系数1-4</w:t>
            </w:r>
            <w:r>
              <w:rPr>
                <w:rFonts w:hint="eastAsia" w:ascii="宋体" w:hAnsi="宋体" w:eastAsia="宋体"/>
                <w:color w:val="auto"/>
                <w:sz w:val="15"/>
                <w:szCs w:val="15"/>
                <w:highlight w:val="none"/>
              </w:rPr>
              <w:t>；2.存在在中高考等特殊时段，投诉举报较多，媒体曝光，或者造成</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社会恶劣影响等情形的，系数5-9。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20" w:lineRule="exact"/>
              <w:rPr>
                <w:color w:val="auto"/>
                <w:highlight w:val="none"/>
              </w:rPr>
            </w:pPr>
            <w:r>
              <w:rPr>
                <w:rFonts w:hint="eastAsia" w:ascii="宋体" w:hAnsi="宋体" w:eastAsia="宋体"/>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3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未按照规定制定噪声污染防治实施方案</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违反条款：第四十条第二款 ；</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处罚条款：第七十八条第（二）项 责令改正，处五千元以上五万元以下的罚款；拒不改正的，处五万元以上二十万元以下的罚款。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1.大型建设工程</w:t>
            </w:r>
            <w:r>
              <w:rPr>
                <w:rFonts w:hint="eastAsia" w:ascii="宋体" w:hAnsi="宋体" w:eastAsia="宋体"/>
                <w:color w:val="auto"/>
                <w:sz w:val="15"/>
                <w:szCs w:val="15"/>
                <w:highlight w:val="none"/>
                <w:lang w:val="en"/>
              </w:rPr>
              <w:t>是指</w:t>
            </w:r>
            <w:r>
              <w:rPr>
                <w:rFonts w:hint="eastAsia" w:ascii="宋体" w:hAnsi="宋体" w:eastAsia="宋体"/>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97" w:type="dxa"/>
            <w:gridSpan w:val="2"/>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建设单位夜间施工未按照规定公告</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处罚条款：第七十八条第（四）项，责令改正，处五千元以上五万元以下的罚款；拒不改正的，处五万元以上二十万元以下的罚款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《北京市环境噪声污染防治办法》的“进行夜间施工作业未公告相关内容”停止执行。</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bookmarkStart w:id="116" w:name="_Toc760985315"/>
            <w:bookmarkStart w:id="117" w:name="_Toc110851473"/>
            <w:r>
              <w:rPr>
                <w:rFonts w:hint="eastAsia" w:ascii="宋体" w:hAnsi="宋体" w:eastAsia="宋体" w:cs="宋体"/>
                <w:color w:val="auto"/>
                <w:kern w:val="0"/>
                <w:sz w:val="15"/>
                <w:szCs w:val="15"/>
                <w:highlight w:val="none"/>
                <w:lang w:val="en-US" w:eastAsia="zh-CN"/>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或者投诉举报较多的，系数2</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2.存在较大安全隐患或者造成社会恶劣影响的，系数3。</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val="en"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31"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18" w:name="_Toc1722596441"/>
            <w:r>
              <w:rPr>
                <w:rFonts w:hint="eastAsia" w:ascii="黑体" w:hAnsi="黑体" w:eastAsia="黑体"/>
                <w:b w:val="0"/>
                <w:color w:val="auto"/>
                <w:sz w:val="28"/>
                <w:szCs w:val="28"/>
                <w:highlight w:val="none"/>
              </w:rPr>
              <w:t>施工现场管理方面</w:t>
            </w:r>
            <w:bookmarkEnd w:id="116"/>
            <w:bookmarkEnd w:id="117"/>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9" w:name="_Toc1669927446"/>
            <w:bookmarkStart w:id="120" w:name="_Toc110851474"/>
            <w:bookmarkStart w:id="121" w:name="_Toc130520792"/>
            <w:r>
              <w:rPr>
                <w:rFonts w:hint="eastAsia" w:ascii="宋体" w:hAnsi="宋体" w:eastAsia="宋体"/>
                <w:color w:val="auto"/>
                <w:sz w:val="21"/>
                <w:szCs w:val="21"/>
                <w:highlight w:val="none"/>
              </w:rPr>
              <w:t>《北京市大气污染防治条例》施工现场执法案由16项</w:t>
            </w:r>
            <w:bookmarkEnd w:id="119"/>
            <w:bookmarkEnd w:id="120"/>
            <w:bookmarkEnd w:id="1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未按规定管护围挡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施工单位未在施工现场出入口公示相关信息</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strike w:val="0"/>
                <w:dstrike w:val="0"/>
                <w:color w:val="auto"/>
                <w:sz w:val="15"/>
                <w:szCs w:val="15"/>
                <w:highlight w:val="none"/>
                <w:lang w:val="en-US" w:eastAsia="zh-CN"/>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需要做出其他处罚决定的，报请案审会决定。</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未对施工现场内主要道路和物料堆放场地进行硬化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未硬化、覆盖或者绿化面积10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未对施工现场内除主要道路和物料堆放场地外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场地进行覆盖或者临时绿化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大风天气未停止可能产生扬尘污染的施工作业</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违反条款：第八十一条第一款第（四）项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ascii="宋体" w:hAnsi="宋体" w:eastAsia="宋体"/>
                <w:color w:val="auto"/>
                <w:sz w:val="15"/>
                <w:szCs w:val="15"/>
                <w:highlight w:val="none"/>
              </w:rPr>
              <w:t>1.6</w:t>
            </w:r>
            <w:r>
              <w:rPr>
                <w:rFonts w:hint="eastAsia" w:ascii="宋体" w:hAnsi="宋体" w:eastAsia="宋体"/>
                <w:color w:val="auto"/>
                <w:sz w:val="15"/>
                <w:szCs w:val="15"/>
                <w:highlight w:val="none"/>
              </w:rPr>
              <w:t>级及</w:t>
            </w:r>
            <w:r>
              <w:rPr>
                <w:rFonts w:ascii="宋体" w:hAnsi="宋体" w:eastAsia="宋体"/>
                <w:color w:val="auto"/>
                <w:sz w:val="15"/>
                <w:szCs w:val="15"/>
                <w:highlight w:val="none"/>
              </w:rPr>
              <w:t>6</w:t>
            </w:r>
            <w:r>
              <w:rPr>
                <w:rFonts w:hint="eastAsia" w:ascii="宋体" w:hAnsi="宋体" w:eastAsia="宋体"/>
                <w:color w:val="auto"/>
                <w:sz w:val="15"/>
                <w:szCs w:val="15"/>
                <w:highlight w:val="none"/>
              </w:rPr>
              <w:t>级以上大风未停止可能产生扬尘污染的施工作业的，系数</w:t>
            </w:r>
            <w:r>
              <w:rPr>
                <w:rFonts w:ascii="宋体" w:hAnsi="宋体" w:eastAsia="宋体"/>
                <w:color w:val="auto"/>
                <w:sz w:val="15"/>
                <w:szCs w:val="15"/>
                <w:highlight w:val="none"/>
              </w:rPr>
              <w:t>5-8</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施工现场未按规定安装视频监控系统</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施工车辆未经除泥、冲洗驶出工地</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hint="default" w:ascii="宋体" w:hAnsi="宋体" w:eastAsia="宋体" w:cs="宋体"/>
                <w:color w:val="auto"/>
                <w:sz w:val="15"/>
                <w:szCs w:val="15"/>
                <w:highlight w:val="none"/>
                <w:lang w:val="en"/>
              </w:rPr>
            </w:pPr>
            <w:r>
              <w:rPr>
                <w:rFonts w:hint="eastAsia" w:ascii="宋体" w:hAnsi="宋体" w:eastAsia="宋体"/>
                <w:color w:val="auto"/>
                <w:sz w:val="15"/>
                <w:szCs w:val="15"/>
                <w:highlight w:val="none"/>
              </w:rPr>
              <w:t>车辆清洗处未配套设置排水、泥浆沉淀设施</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施工现场道路及进出口周边一百米以内的道路有泥土和建筑垃圾</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违反条款：第八十一条第一款第（六）项；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道路挖掘施工过程中未及时覆盖破损路面并采取措施</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路面长21－30米的，系数1；31－40米的，系数2；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道路挖掘施工完成后未及时修复路面</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未修复的道路长21－30米的，系数1；31－40米的，系数2；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产生扬尘的物料未按规定贮存或者未</w:t>
            </w:r>
            <w:r>
              <w:rPr>
                <w:rFonts w:hint="eastAsia" w:ascii="宋体" w:hAnsi="宋体" w:eastAsia="宋体"/>
                <w:bCs/>
                <w:color w:val="auto"/>
                <w:sz w:val="15"/>
                <w:szCs w:val="15"/>
                <w:highlight w:val="none"/>
              </w:rPr>
              <w:t>采取有效防尘措施</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未按规定处置或覆盖建筑土方、工程渣土、建筑垃圾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占地面积10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以下的，系数0；11－15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的，系数1；16－20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2" w:name="_Toc854219027"/>
            <w:bookmarkStart w:id="123" w:name="_Toc110851475"/>
            <w:bookmarkStart w:id="124" w:name="_Toc1908830208"/>
            <w:r>
              <w:rPr>
                <w:rFonts w:hint="eastAsia" w:ascii="宋体" w:hAnsi="宋体" w:eastAsia="宋体"/>
                <w:color w:val="auto"/>
                <w:sz w:val="21"/>
                <w:szCs w:val="21"/>
                <w:highlight w:val="none"/>
              </w:rPr>
              <w:t>《北京市建设工程施工现场管理办法》案由13项</w:t>
            </w:r>
            <w:bookmarkEnd w:id="122"/>
            <w:bookmarkEnd w:id="123"/>
            <w:bookmarkEnd w:id="1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w:t>
            </w:r>
            <w:r>
              <w:rPr>
                <w:rFonts w:ascii="宋体" w:hAnsi="宋体" w:eastAsia="宋体"/>
                <w:color w:val="auto"/>
                <w:sz w:val="15"/>
                <w:szCs w:val="15"/>
                <w:highlight w:val="none"/>
              </w:rPr>
              <w:t>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w:t>
            </w:r>
            <w:r>
              <w:rPr>
                <w:rFonts w:ascii="宋体" w:hAnsi="宋体" w:eastAsia="宋体"/>
                <w:color w:val="auto"/>
                <w:sz w:val="15"/>
                <w:szCs w:val="15"/>
                <w:highlight w:val="none"/>
              </w:rPr>
              <w:t>16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市政基础设施工程因特殊情况不能进行围挡的未设置警示标志（或未在工程危险部位采取防护措施）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1.违法行为持续时间较长，或者未设置警示标志或者防护措施的长度、面积较大的，发生在人口密集地区的，系数</w:t>
            </w:r>
            <w:r>
              <w:rPr>
                <w:rFonts w:ascii="宋体" w:hAnsi="宋体" w:eastAsia="宋体"/>
                <w:color w:val="auto"/>
                <w:sz w:val="15"/>
                <w:szCs w:val="15"/>
                <w:highlight w:val="none"/>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未按规定对施工现场道路、场地进行硬化、覆盖或者绿化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未硬化、覆盖或者绿化面积</w:t>
            </w:r>
            <w:r>
              <w:rPr>
                <w:rFonts w:ascii="宋体" w:hAnsi="宋体" w:eastAsia="宋体" w:cs="宋体"/>
                <w:color w:val="auto"/>
                <w:kern w:val="0"/>
                <w:sz w:val="15"/>
                <w:szCs w:val="15"/>
                <w:highlight w:val="none"/>
              </w:rPr>
              <w:t>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w:t>
            </w:r>
            <w:r>
              <w:rPr>
                <w:rFonts w:ascii="宋体" w:hAnsi="宋体" w:eastAsia="宋体" w:cs="宋体"/>
                <w:color w:val="auto"/>
                <w:kern w:val="0"/>
                <w:sz w:val="15"/>
                <w:szCs w:val="15"/>
                <w:highlight w:val="none"/>
              </w:rPr>
              <w:t>11</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26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40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固化等措施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w:t>
            </w:r>
            <w:r>
              <w:rPr>
                <w:rFonts w:ascii="宋体" w:hAnsi="宋体" w:eastAsia="宋体"/>
                <w:color w:val="auto"/>
                <w:sz w:val="15"/>
                <w:szCs w:val="15"/>
                <w:highlight w:val="none"/>
              </w:rPr>
              <w:t>2</w:t>
            </w:r>
            <w:r>
              <w:rPr>
                <w:rFonts w:hint="eastAsia" w:ascii="宋体" w:hAnsi="宋体" w:eastAsia="宋体"/>
                <w:color w:val="auto"/>
                <w:sz w:val="15"/>
                <w:szCs w:val="15"/>
                <w:highlight w:val="none"/>
              </w:rPr>
              <w:t>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w:t>
            </w:r>
            <w:r>
              <w:rPr>
                <w:rFonts w:ascii="宋体" w:hAnsi="宋体" w:eastAsia="宋体"/>
                <w:color w:val="auto"/>
                <w:sz w:val="15"/>
                <w:szCs w:val="15"/>
                <w:highlight w:val="none"/>
              </w:rPr>
              <w:t>26</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hint="eastAsia" w:ascii="宋体" w:hAnsi="宋体" w:eastAsia="宋体"/>
                <w:color w:val="auto"/>
                <w:sz w:val="15"/>
                <w:szCs w:val="15"/>
                <w:highlight w:val="none"/>
              </w:rPr>
              <w:t>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1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建设单位</w:t>
            </w:r>
            <w:r>
              <w:rPr>
                <w:rFonts w:hint="eastAsia" w:ascii="宋体" w:hAnsi="宋体" w:eastAsia="宋体" w:cs="宋体"/>
                <w:color w:val="auto"/>
                <w:kern w:val="0"/>
                <w:sz w:val="15"/>
                <w:szCs w:val="15"/>
                <w:highlight w:val="none"/>
              </w:rPr>
              <w:t>未对暂时不开发的空地进行绿化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dstrike/>
                <w:color w:val="auto"/>
                <w:sz w:val="15"/>
                <w:szCs w:val="15"/>
                <w:highlight w:val="none"/>
              </w:rPr>
            </w:pPr>
            <w:r>
              <w:rPr>
                <w:rFonts w:hint="eastAsia" w:ascii="宋体" w:hAnsi="宋体" w:eastAsia="宋体"/>
                <w:color w:val="auto"/>
                <w:sz w:val="15"/>
                <w:szCs w:val="15"/>
                <w:highlight w:val="none"/>
              </w:rPr>
              <w:t>施工现场未采取洒水措施防止扬尘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拆除作业时未采取洒水措施防止扬尘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可能产生扬尘污染的建筑材料未在库房存放或者未严密遮盖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适用于施工现场相关违法行为的查处。</w:t>
            </w:r>
          </w:p>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施工现场存放油料未采取防止泄漏和污染措施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32" w:lineRule="exact"/>
              <w:jc w:val="center"/>
              <w:rPr>
                <w:rFonts w:ascii="宋体" w:hAnsi="宋体" w:eastAsia="宋体"/>
                <w:color w:val="auto"/>
                <w:sz w:val="15"/>
                <w:szCs w:val="15"/>
                <w:highlight w:val="none"/>
              </w:rPr>
            </w:pP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w:t>
            </w:r>
            <w:r>
              <w:rPr>
                <w:rFonts w:ascii="宋体" w:hAnsi="宋体" w:eastAsia="宋体"/>
                <w:color w:val="auto"/>
                <w:sz w:val="15"/>
                <w:szCs w:val="15"/>
                <w:highlight w:val="none"/>
              </w:rPr>
              <w:t>三十七条，</w:t>
            </w:r>
            <w:r>
              <w:rPr>
                <w:rFonts w:hint="eastAsia" w:ascii="宋体" w:hAnsi="宋体" w:eastAsia="宋体"/>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ascii="宋体" w:hAnsi="宋体" w:eastAsia="宋体"/>
                <w:color w:val="auto"/>
                <w:sz w:val="15"/>
                <w:szCs w:val="15"/>
                <w:highlight w:val="none"/>
              </w:rPr>
              <w:t>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未设密闭式垃圾站</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未设置时间持续较长、垃圾堆放量较大，垃圾飘洒、恶臭等环境脏乱严重等情形，</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未搭设密闭式专用垃圾通道或者未采用容器吊运的</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未搭设密闭式专用垃圾通道时间持续较长或不采用容器吊运时间较长的，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96"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25" w:name="_Toc110851476"/>
            <w:bookmarkStart w:id="126" w:name="_Toc1256403622"/>
            <w:bookmarkStart w:id="127" w:name="_Toc1074015519"/>
            <w:r>
              <w:rPr>
                <w:rFonts w:hint="eastAsia" w:ascii="黑体" w:hAnsi="黑体" w:eastAsia="黑体"/>
                <w:b w:val="0"/>
                <w:color w:val="auto"/>
                <w:sz w:val="28"/>
                <w:szCs w:val="28"/>
                <w:highlight w:val="none"/>
              </w:rPr>
              <w:t>停车场管理方面</w:t>
            </w:r>
            <w:bookmarkEnd w:id="125"/>
            <w:bookmarkEnd w:id="126"/>
            <w:bookmarkEnd w:id="1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8" w:name="_Toc509001082"/>
            <w:bookmarkStart w:id="129" w:name="_Toc869123619"/>
            <w:bookmarkStart w:id="130" w:name="_Toc110851477"/>
            <w:r>
              <w:rPr>
                <w:rFonts w:hint="eastAsia" w:ascii="宋体" w:hAnsi="宋体" w:eastAsia="宋体"/>
                <w:color w:val="auto"/>
                <w:sz w:val="21"/>
                <w:szCs w:val="21"/>
                <w:highlight w:val="none"/>
              </w:rPr>
              <w:t>《北京市机动车停车管理办法》案由13项</w:t>
            </w:r>
            <w:bookmarkEnd w:id="128"/>
            <w:bookmarkEnd w:id="129"/>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擅自停止使用机动车停车场</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违反条款第十四条第一款；处罚条款：第三十一条：责令限期改正，恢复原状。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擅自将机动车停车场改作他用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违反条款第十四条第一款；处罚条款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第三十一条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擅自将机动车临时停车场停止使用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违反条款第十四条第二款；处罚条款；第三十一条：责令限期改正，恢复原状。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190" w:lineRule="exact"/>
              <w:contextualSpacing/>
              <w:jc w:val="left"/>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无照经营（机动车停车场）</w:t>
            </w:r>
          </w:p>
        </w:tc>
        <w:tc>
          <w:tcPr>
            <w:tcW w:w="2789" w:type="dxa"/>
            <w:gridSpan w:val="2"/>
            <w:noWrap w:val="0"/>
            <w:vAlign w:val="center"/>
          </w:tcPr>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违反条款：《北京市机动车停车管理办法》第二十条第一款、《无证无照经营查处办法》第二条；</w:t>
            </w:r>
          </w:p>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noWrap w:val="0"/>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3000</w:t>
            </w:r>
          </w:p>
        </w:tc>
        <w:tc>
          <w:tcPr>
            <w:tcW w:w="840" w:type="dxa"/>
            <w:noWrap w:val="0"/>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3426" w:type="dxa"/>
            <w:noWrap w:val="0"/>
            <w:vAlign w:val="center"/>
          </w:tcPr>
          <w:p>
            <w:pPr>
              <w:spacing w:line="190" w:lineRule="exact"/>
              <w:contextualSpacing/>
              <w:jc w:val="left"/>
              <w:rPr>
                <w:rFonts w:hint="eastAsia" w:ascii="宋体" w:hAnsi="宋体" w:eastAsia="宋体" w:cs="宋体"/>
                <w:bCs/>
                <w:color w:val="auto"/>
                <w:kern w:val="0"/>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罚款数额＝3000×（1＋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noWrap w:val="0"/>
            <w:vAlign w:val="center"/>
          </w:tcPr>
          <w:p>
            <w:pPr>
              <w:spacing w:line="190" w:lineRule="exact"/>
              <w:contextualSpacing/>
              <w:rPr>
                <w:rFonts w:hint="eastAsia" w:ascii="宋体" w:hAnsi="宋体" w:eastAsia="宋体" w:cs="宋体"/>
                <w:bCs/>
                <w:color w:val="auto"/>
                <w:kern w:val="0"/>
                <w:sz w:val="15"/>
                <w:szCs w:val="15"/>
                <w:highlight w:val="none"/>
                <w:lang w:eastAsia="zh-CN"/>
              </w:rPr>
            </w:pPr>
            <w:r>
              <w:rPr>
                <w:rFonts w:hint="eastAsia" w:ascii="宋体" w:hAnsi="宋体" w:eastAsia="宋体" w:cs="宋体"/>
                <w:bCs/>
                <w:color w:val="auto"/>
                <w:kern w:val="0"/>
                <w:sz w:val="15"/>
                <w:szCs w:val="15"/>
                <w:highlight w:val="none"/>
                <w:lang w:eastAsia="zh-CN"/>
              </w:rPr>
              <w:t>需要</w:t>
            </w:r>
            <w:r>
              <w:rPr>
                <w:rFonts w:hint="eastAsia" w:ascii="宋体" w:hAnsi="宋体" w:eastAsia="宋体" w:cs="宋体"/>
                <w:bCs/>
                <w:color w:val="auto"/>
                <w:kern w:val="0"/>
                <w:sz w:val="15"/>
                <w:szCs w:val="15"/>
                <w:highlight w:val="none"/>
              </w:rPr>
              <w:t>在3000元以下进行处罚</w:t>
            </w:r>
            <w:r>
              <w:rPr>
                <w:rFonts w:hint="eastAsia" w:ascii="宋体" w:hAnsi="宋体" w:eastAsia="宋体" w:cs="宋体"/>
                <w:bCs/>
                <w:color w:val="auto"/>
                <w:kern w:val="0"/>
                <w:sz w:val="15"/>
                <w:szCs w:val="15"/>
                <w:highlight w:val="none"/>
                <w:lang w:eastAsia="zh-CN"/>
              </w:rPr>
              <w:t>，</w:t>
            </w:r>
            <w:r>
              <w:rPr>
                <w:rFonts w:hint="eastAsia" w:ascii="宋体" w:hAnsi="宋体" w:eastAsia="宋体" w:cs="宋体"/>
                <w:bCs/>
                <w:color w:val="auto"/>
                <w:kern w:val="0"/>
                <w:sz w:val="15"/>
                <w:szCs w:val="15"/>
                <w:highlight w:val="none"/>
              </w:rPr>
              <w:t>报案审会审议</w:t>
            </w:r>
            <w:r>
              <w:rPr>
                <w:rFonts w:hint="eastAsia" w:ascii="宋体" w:hAnsi="宋体" w:eastAsia="宋体" w:cs="宋体"/>
                <w:bCs/>
                <w:color w:val="auto"/>
                <w:kern w:val="0"/>
                <w:sz w:val="15"/>
                <w:szCs w:val="15"/>
                <w:highlight w:val="none"/>
                <w:lang w:eastAsia="zh-CN"/>
              </w:rPr>
              <w:t>决定。</w:t>
            </w:r>
          </w:p>
        </w:tc>
        <w:tc>
          <w:tcPr>
            <w:tcW w:w="897"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未按规定对停车泊位备案</w:t>
            </w:r>
          </w:p>
        </w:tc>
        <w:tc>
          <w:tcPr>
            <w:tcW w:w="2789" w:type="dxa"/>
            <w:gridSpan w:val="2"/>
            <w:noWrap w:val="0"/>
            <w:vAlign w:val="center"/>
          </w:tcPr>
          <w:p>
            <w:pPr>
              <w:spacing w:line="19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违反条款：第二十条第一款；处罚条款：第三十二条第二款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处1万元罚款</w:t>
            </w:r>
            <w:r>
              <w:rPr>
                <w:rFonts w:hint="eastAsia" w:ascii="宋体" w:hAnsi="宋体" w:eastAsia="宋体"/>
                <w:color w:val="auto"/>
                <w:sz w:val="15"/>
                <w:szCs w:val="15"/>
                <w:highlight w:val="none"/>
                <w:lang w:eastAsia="zh-CN"/>
              </w:rPr>
              <w:t>。</w:t>
            </w:r>
          </w:p>
        </w:tc>
        <w:tc>
          <w:tcPr>
            <w:tcW w:w="851" w:type="dxa"/>
            <w:noWrap w:val="0"/>
            <w:vAlign w:val="center"/>
          </w:tcPr>
          <w:p>
            <w:pPr>
              <w:spacing w:line="190" w:lineRule="exact"/>
              <w:rPr>
                <w:rFonts w:ascii="宋体" w:hAnsi="宋体" w:eastAsia="宋体" w:cs="宋体"/>
                <w:color w:val="auto"/>
                <w:kern w:val="0"/>
                <w:sz w:val="15"/>
                <w:szCs w:val="15"/>
                <w:highlight w:val="none"/>
              </w:rPr>
            </w:pP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p>
        </w:tc>
        <w:tc>
          <w:tcPr>
            <w:tcW w:w="3426" w:type="dxa"/>
            <w:noWrap w:val="0"/>
            <w:vAlign w:val="center"/>
          </w:tcPr>
          <w:p>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p>
        </w:tc>
        <w:tc>
          <w:tcPr>
            <w:tcW w:w="1982" w:type="dxa"/>
            <w:gridSpan w:val="2"/>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0"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停车场管理单位未配置完备的停车设施标志标识（或未为停车人进出提供明确的引导或未为残疾人提供必要服务）</w:t>
            </w:r>
          </w:p>
        </w:tc>
        <w:tc>
          <w:tcPr>
            <w:tcW w:w="2789" w:type="dxa"/>
            <w:gridSpan w:val="2"/>
            <w:vMerge w:val="restart"/>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p>
        </w:tc>
        <w:tc>
          <w:tcPr>
            <w:tcW w:w="3426" w:type="dxa"/>
            <w:noWrap w:val="0"/>
            <w:vAlign w:val="center"/>
          </w:tcPr>
          <w:p>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p>
        </w:tc>
        <w:tc>
          <w:tcPr>
            <w:tcW w:w="1982" w:type="dxa"/>
            <w:gridSpan w:val="2"/>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190" w:lineRule="exact"/>
              <w:rPr>
                <w:rFonts w:ascii="宋体" w:hAnsi="宋体" w:eastAsia="宋体"/>
                <w:color w:val="auto"/>
                <w:sz w:val="15"/>
                <w:szCs w:val="15"/>
                <w:highlight w:val="none"/>
              </w:rPr>
            </w:pPr>
          </w:p>
        </w:tc>
        <w:tc>
          <w:tcPr>
            <w:tcW w:w="2789" w:type="dxa"/>
            <w:gridSpan w:val="2"/>
            <w:vMerge w:val="continue"/>
            <w:noWrap w:val="0"/>
            <w:vAlign w:val="center"/>
          </w:tcPr>
          <w:p>
            <w:pPr>
              <w:spacing w:line="190" w:lineRule="exact"/>
              <w:rPr>
                <w:rFonts w:ascii="宋体" w:hAnsi="宋体" w:eastAsia="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同时存在设施标志标识不“完备”“未提供明确引导”“未为残疾人提供必要服务”等2个以上（含2个）违法行为的，系数0.5；同时存在本款2个以上（含2个）违法形态的，系数1。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190"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4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停车场管理单位未指挥车辆按序进出和停放，维护停车秩序</w:t>
            </w:r>
          </w:p>
        </w:tc>
        <w:tc>
          <w:tcPr>
            <w:tcW w:w="2789" w:type="dxa"/>
            <w:gridSpan w:val="2"/>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1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12" w:lineRule="exact"/>
              <w:rPr>
                <w:rFonts w:ascii="宋体" w:hAnsi="宋体" w:eastAsia="宋体" w:cs="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因未有效指挥和维护停车秩序，致使周边交通拥堵或者诱发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停车场管理单位未对停车管理员进行专业培训、考核</w:t>
            </w:r>
          </w:p>
        </w:tc>
        <w:tc>
          <w:tcPr>
            <w:tcW w:w="2789" w:type="dxa"/>
            <w:gridSpan w:val="2"/>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1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12" w:lineRule="exact"/>
              <w:rPr>
                <w:rFonts w:ascii="宋体" w:hAnsi="宋体" w:eastAsia="宋体" w:cs="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经核实，管理单位长达半年以上未对管理员进行培训考核，或者存在3名以上管理员同时未参与培训、考核的情形，系数1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5"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停车场管理单位在停车区域从事影响车辆安全停放的</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经</w:t>
            </w:r>
            <w:r>
              <w:rPr>
                <w:rFonts w:hint="eastAsia" w:ascii="宋体" w:hAnsi="宋体" w:eastAsia="宋体"/>
                <w:color w:val="auto"/>
                <w:sz w:val="15"/>
                <w:szCs w:val="15"/>
                <w:highlight w:val="none"/>
              </w:rPr>
              <w:t>营活动</w:t>
            </w:r>
          </w:p>
        </w:tc>
        <w:tc>
          <w:tcPr>
            <w:tcW w:w="2789" w:type="dxa"/>
            <w:gridSpan w:val="2"/>
            <w:vMerge w:val="restart"/>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4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12" w:lineRule="exact"/>
              <w:rPr>
                <w:rFonts w:ascii="宋体" w:hAnsi="宋体" w:eastAsia="宋体"/>
                <w:color w:val="auto"/>
                <w:sz w:val="15"/>
                <w:szCs w:val="15"/>
                <w:highlight w:val="none"/>
              </w:rPr>
            </w:pPr>
          </w:p>
        </w:tc>
        <w:tc>
          <w:tcPr>
            <w:tcW w:w="2789" w:type="dxa"/>
            <w:gridSpan w:val="2"/>
            <w:vMerge w:val="continue"/>
            <w:noWrap w:val="0"/>
            <w:vAlign w:val="center"/>
          </w:tcPr>
          <w:p>
            <w:pPr>
              <w:spacing w:line="212" w:lineRule="exact"/>
              <w:rPr>
                <w:rFonts w:ascii="宋体" w:hAnsi="宋体" w:eastAsia="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一年内群众投诉3次以上，或者致使周边交通拥堵的，或者因上述原因诱发停车事故或者交通事故的，系数1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停车场管理单位未建立投诉处理制度</w:t>
            </w:r>
          </w:p>
        </w:tc>
        <w:tc>
          <w:tcPr>
            <w:tcW w:w="2789"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3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停车场管理单位未遵守国家和</w:t>
            </w:r>
            <w:r>
              <w:rPr>
                <w:rFonts w:hint="eastAsia" w:ascii="宋体" w:hAnsi="宋体" w:eastAsia="宋体"/>
                <w:color w:val="auto"/>
                <w:sz w:val="15"/>
                <w:szCs w:val="15"/>
                <w:highlight w:val="none"/>
                <w:shd w:val="clear" w:color="auto" w:fill="auto"/>
              </w:rPr>
              <w:t>本市其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相关停车管理服务规范和标准</w:t>
            </w:r>
          </w:p>
        </w:tc>
        <w:tc>
          <w:tcPr>
            <w:tcW w:w="2789"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4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违反条款：第二十一条第二款；处罚条款：第三十四条，责令限期改正，并处5000元以上1万元以下罚款。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适用于中心城范围内向社会开放并收费的停车场；按规定实行限时的临时停车场除外。 </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擅自设置地桩、地锁等障碍物</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违反条款：第二十七条第一款；处罚条款：第三十七条</w:t>
            </w:r>
            <w:r>
              <w:rPr>
                <w:rFonts w:hint="eastAsia" w:ascii="宋体" w:hAnsi="宋体" w:eastAsia="宋体"/>
                <w:color w:val="auto"/>
                <w:sz w:val="15"/>
                <w:szCs w:val="15"/>
                <w:highlight w:val="none"/>
                <w:lang w:eastAsia="zh-CN"/>
              </w:rPr>
              <w:t>第一款</w:t>
            </w:r>
            <w:r>
              <w:rPr>
                <w:rFonts w:hint="eastAsia" w:ascii="宋体" w:hAnsi="宋体" w:eastAsia="宋体"/>
                <w:color w:val="auto"/>
                <w:sz w:val="15"/>
                <w:szCs w:val="15"/>
                <w:highlight w:val="none"/>
              </w:rPr>
              <w:t>，责令停止违法行为，恢复原状，并处500元以上5000元以下罚款。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一年内群众投诉3次以上的，系数1；2.设置地桩、地锁等障碍物数量2个，系数1；3个，系数2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4个，系数3；5个，系数4；6个，系数5；</w:t>
            </w:r>
            <w:r>
              <w:rPr>
                <w:rFonts w:hint="eastAsia" w:ascii="宋体" w:hAnsi="宋体" w:eastAsia="宋体" w:cs="宋体"/>
                <w:color w:val="auto"/>
                <w:kern w:val="0"/>
                <w:sz w:val="15"/>
                <w:szCs w:val="15"/>
                <w:highlight w:val="none"/>
              </w:rPr>
              <w:t>以此</w:t>
            </w:r>
            <w:r>
              <w:rPr>
                <w:rFonts w:hint="eastAsia" w:ascii="宋体" w:hAnsi="宋体" w:eastAsia="宋体" w:cs="宋体"/>
                <w:color w:val="auto"/>
                <w:kern w:val="0"/>
                <w:sz w:val="15"/>
                <w:szCs w:val="15"/>
                <w:highlight w:val="none"/>
                <w:lang w:eastAsia="zh-CN"/>
              </w:rPr>
              <w:t>类推，</w:t>
            </w:r>
            <w:r>
              <w:rPr>
                <w:rFonts w:hint="eastAsia" w:ascii="宋体" w:hAnsi="宋体" w:eastAsia="宋体" w:cs="宋体"/>
                <w:color w:val="auto"/>
                <w:kern w:val="0"/>
                <w:sz w:val="15"/>
                <w:szCs w:val="15"/>
                <w:highlight w:val="none"/>
                <w:lang w:val="en-US" w:eastAsia="zh-CN"/>
              </w:rPr>
              <w:t>10个及以上的，系数9</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严重影响通行和市容秩序、致使公共安全等事件的，系数9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1" w:name="_Toc1557995543"/>
            <w:bookmarkStart w:id="132" w:name="_Toc110851478"/>
            <w:bookmarkStart w:id="133" w:name="_Toc1550756313"/>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机动车停车条例</w:t>
            </w:r>
            <w:r>
              <w:rPr>
                <w:rFonts w:hint="eastAsia" w:ascii="宋体" w:hAnsi="宋体" w:eastAsia="宋体"/>
                <w:color w:val="auto"/>
                <w:sz w:val="21"/>
                <w:szCs w:val="21"/>
                <w:highlight w:val="none"/>
              </w:rPr>
              <w:t>》案由6项</w:t>
            </w:r>
            <w:bookmarkEnd w:id="131"/>
            <w:bookmarkEnd w:id="132"/>
            <w:bookmarkEnd w:id="1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未如实报送停车设施设置情况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处罚条款：第二十一条第三款，责令限期改正；逾期未改正的，处1万元罚款。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先行责令限期改正，当事人在规定期限内改正的，不予处罚；逾期未改正的，处1万元罚款。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未按照规定时限（或未如实）报送停车设施设置情况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处罚条款：第二十二条第二款，责令限期改正；逾期未改正的，处2000元罚款。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先行责令限期改正，当事人在规定期限内改正的，不予处罚；逾期未改正的，处2000元罚款。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公共停车设施未按照标准配建停车诱导设施（进出车辆信息采集及号牌系统、与所在区域停车诱导系统实时对接）</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处罚条款：第二十四条第三款，责令限期改正；逾期未改正的，处1万元罚款。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先行责令限期改正，当事人在规定期限内改正的，不予处罚；逾期未改正的，处1万元罚款。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擅自设置固定或者可移动障碍物</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处罚条款：第二十六条第二款，责令停止违法行为，恢复原状，并处500元以上1000元以下罚款。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该条规定的障碍物包括地桩、地锁等固定式障碍物和废旧桌椅、自行车等可移动障碍物，和《办法》规定的“地桩、地锁等障碍物”有所区别。</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处罚条款：第三十二条第二款，责令限期改正，并处5000元以上1万元以下罚款。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1.仅限于中心城区范围内经营性停车设施；2.《条例》未涉及的停车设施经营单位应遵守的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规定，依据《办法》第二十一条规定执行。</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违反规划将停车设施改作他用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处罚条款：第三十三条第四款，责令限期改正、恢复原状，并处每个泊位1万元罚款。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按照规定执行，处每个泊位1万元罚款。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4" w:name="_Toc1630550818"/>
            <w:bookmarkStart w:id="135" w:name="_Toc67594986"/>
            <w:bookmarkStart w:id="136" w:name="_Toc110851479"/>
            <w:r>
              <w:rPr>
                <w:rFonts w:hint="eastAsia" w:ascii="宋体" w:hAnsi="宋体" w:eastAsia="宋体"/>
                <w:color w:val="auto"/>
                <w:sz w:val="21"/>
                <w:szCs w:val="21"/>
                <w:highlight w:val="none"/>
              </w:rPr>
              <w:t>《北京市非机动车停车管理办法》《北京市</w:t>
            </w:r>
            <w:r>
              <w:rPr>
                <w:rFonts w:ascii="宋体" w:hAnsi="宋体" w:eastAsia="宋体"/>
                <w:color w:val="auto"/>
                <w:sz w:val="21"/>
                <w:szCs w:val="21"/>
                <w:highlight w:val="none"/>
              </w:rPr>
              <w:t>非机动车</w:t>
            </w:r>
            <w:r>
              <w:rPr>
                <w:rFonts w:hint="eastAsia" w:ascii="宋体" w:hAnsi="宋体" w:eastAsia="宋体"/>
                <w:color w:val="auto"/>
                <w:sz w:val="21"/>
                <w:szCs w:val="21"/>
                <w:highlight w:val="none"/>
              </w:rPr>
              <w:t>管理</w:t>
            </w:r>
            <w:r>
              <w:rPr>
                <w:rFonts w:ascii="宋体" w:hAnsi="宋体" w:eastAsia="宋体"/>
                <w:color w:val="auto"/>
                <w:sz w:val="21"/>
                <w:szCs w:val="21"/>
                <w:highlight w:val="none"/>
              </w:rPr>
              <w:t>条例</w:t>
            </w:r>
            <w:r>
              <w:rPr>
                <w:rFonts w:hint="eastAsia" w:ascii="宋体" w:hAnsi="宋体" w:eastAsia="宋体"/>
                <w:color w:val="auto"/>
                <w:sz w:val="21"/>
                <w:szCs w:val="21"/>
                <w:highlight w:val="none"/>
              </w:rPr>
              <w:t>》案由</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项</w:t>
            </w:r>
            <w:bookmarkEnd w:id="134"/>
            <w:bookmarkEnd w:id="135"/>
            <w:bookmark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7" w:hRule="atLeast"/>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非机动车公共停车场未对公众开放</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5" w:hRule="atLeast"/>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w:t>
            </w:r>
          </w:p>
        </w:tc>
        <w:tc>
          <w:tcPr>
            <w:tcW w:w="18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擅自侵占、停止使用非机动车公共停车场或者将其挪作他用</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150" w:firstLineChars="100"/>
              <w:jc w:val="center"/>
              <w:rPr>
                <w:rFonts w:ascii="宋体" w:hAnsi="宋体" w:eastAsia="宋体"/>
                <w:color w:val="auto"/>
                <w:sz w:val="15"/>
                <w:szCs w:val="15"/>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9" w:hRule="atLeast"/>
        </w:trPr>
        <w:tc>
          <w:tcPr>
            <w:tcW w:w="610" w:type="dxa"/>
            <w:vMerge w:val="restart"/>
            <w:tcBorders>
              <w:top w:val="single" w:color="000000" w:sz="4" w:space="0"/>
              <w:left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3</w:t>
            </w:r>
          </w:p>
        </w:tc>
        <w:tc>
          <w:tcPr>
            <w:tcW w:w="1830" w:type="dxa"/>
            <w:gridSpan w:val="3"/>
            <w:vMerge w:val="restart"/>
            <w:tcBorders>
              <w:top w:val="single" w:color="000000" w:sz="4" w:space="0"/>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非机动车公共停车场未按规范设置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restart"/>
            <w:tcBorders>
              <w:top w:val="single" w:color="000000" w:sz="4" w:space="0"/>
              <w:left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适应于非经营性停车场。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restart"/>
            <w:tcBorders>
              <w:top w:val="single" w:color="000000" w:sz="4" w:space="0"/>
              <w:left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7" w:hRule="atLeast"/>
        </w:trPr>
        <w:tc>
          <w:tcPr>
            <w:tcW w:w="610" w:type="dxa"/>
            <w:vMerge w:val="continue"/>
            <w:tcBorders>
              <w:left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tcBorders>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continue"/>
            <w:tcBorders>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continue"/>
            <w:tcBorders>
              <w:left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91" w:hRule="atLeast"/>
        </w:trPr>
        <w:tc>
          <w:tcPr>
            <w:tcW w:w="610" w:type="dxa"/>
            <w:vMerge w:val="continue"/>
            <w:tcBorders>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tcBorders>
              <w:left w:val="single" w:color="000000" w:sz="4" w:space="0"/>
              <w:bottom w:val="single" w:color="auto" w:sz="4" w:space="0"/>
              <w:right w:val="single" w:color="000000" w:sz="4" w:space="0"/>
            </w:tcBorders>
            <w:noWrap w:val="0"/>
            <w:vAlign w:val="center"/>
          </w:tcPr>
          <w:p>
            <w:pPr>
              <w:spacing w:line="232" w:lineRule="exact"/>
              <w:rPr>
                <w:rFonts w:ascii="宋体" w:hAnsi="宋体" w:eastAsia="宋体" w:cs="Arial"/>
                <w:color w:val="auto"/>
                <w:kern w:val="0"/>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2</w:t>
            </w:r>
            <w:r>
              <w:rPr>
                <w:rFonts w:hint="eastAsia" w:ascii="宋体" w:hAnsi="宋体" w:eastAsia="宋体" w:cs="Arial"/>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continue"/>
            <w:tcBorders>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continue"/>
            <w:tcBorders>
              <w:left w:val="single" w:color="000000" w:sz="4" w:space="0"/>
              <w:bottom w:val="single" w:color="auto"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5" w:hRule="atLeast"/>
        </w:trPr>
        <w:tc>
          <w:tcPr>
            <w:tcW w:w="610" w:type="dxa"/>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4</w:t>
            </w:r>
          </w:p>
        </w:tc>
        <w:tc>
          <w:tcPr>
            <w:tcW w:w="1830" w:type="dxa"/>
            <w:gridSpan w:val="3"/>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非机动车公共停车场未建立并落实各项管理和服务制度</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5</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noWrap w:val="0"/>
            <w:vAlign w:val="center"/>
          </w:tcPr>
          <w:p>
            <w:pPr>
              <w:keepNext w:val="0"/>
              <w:keepLines w:val="0"/>
              <w:pageBreakBefore w:val="0"/>
              <w:kinsoku/>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val="en-US" w:eastAsia="zh-CN"/>
              </w:rPr>
              <w:t>2026年5月1日前</w:t>
            </w:r>
            <w:r>
              <w:rPr>
                <w:rFonts w:hint="eastAsia" w:ascii="宋体" w:hAnsi="宋体" w:eastAsia="宋体"/>
                <w:strike w:val="0"/>
                <w:dstrike w:val="0"/>
                <w:color w:val="auto"/>
                <w:sz w:val="15"/>
                <w:szCs w:val="15"/>
                <w:highlight w:val="none"/>
                <w:u w:val="none"/>
              </w:rPr>
              <w:t>按照《北京市非机动车管理条例》进行查处。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4" w:hRule="atLeast"/>
        </w:trPr>
        <w:tc>
          <w:tcPr>
            <w:tcW w:w="610" w:type="dxa"/>
            <w:vMerge w:val="continue"/>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1830" w:type="dxa"/>
            <w:gridSpan w:val="3"/>
            <w:vMerge w:val="continue"/>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10</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both"/>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lang w:val="en-US" w:eastAsia="zh-CN"/>
              </w:rPr>
              <w:t>2026年5月1日起废止</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非机动车公共停车场的经营、管理单位拒绝接受指导和监督检查</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jc w:val="center"/>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1" w:hRule="atLeast"/>
        </w:trPr>
        <w:tc>
          <w:tcPr>
            <w:tcW w:w="610" w:type="dxa"/>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6</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未保证非机动车公共停车场内的停车秩序（环境卫生、停车安全）</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违反条款：《北京市非机动车停车管理办法》第十一条第一款第（五）项；</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190"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适用于查处“未保证良好的环境卫生”行为。</w:t>
            </w:r>
          </w:p>
        </w:tc>
        <w:tc>
          <w:tcPr>
            <w:tcW w:w="897" w:type="dxa"/>
            <w:gridSpan w:val="2"/>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9" w:hRule="atLeast"/>
        </w:trPr>
        <w:tc>
          <w:tcPr>
            <w:tcW w:w="610" w:type="dxa"/>
            <w:vMerge w:val="continue"/>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noWrap w:val="0"/>
            <w:vAlign w:val="center"/>
          </w:tcPr>
          <w:p>
            <w:pPr>
              <w:spacing w:line="204" w:lineRule="exact"/>
              <w:rPr>
                <w:rFonts w:ascii="宋体" w:hAnsi="宋体" w:eastAsia="宋体"/>
                <w:color w:val="auto"/>
                <w:sz w:val="15"/>
                <w:szCs w:val="15"/>
                <w:highlight w:val="none"/>
              </w:rPr>
            </w:pP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违反条款：《北京市非机动车管理条例》第二十三条第（二）项。</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r>
              <w:rPr>
                <w:rFonts w:ascii="宋体" w:hAnsi="宋体" w:eastAsia="宋体" w:cs="Arial"/>
                <w:color w:val="auto"/>
                <w:kern w:val="0"/>
                <w:sz w:val="15"/>
                <w:szCs w:val="15"/>
                <w:highlight w:val="none"/>
              </w:rPr>
              <w:t>000</w:t>
            </w:r>
          </w:p>
        </w:tc>
        <w:tc>
          <w:tcPr>
            <w:tcW w:w="840"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190"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19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适用于查处“未保障停车场内的停车秩序和停车安全”行为。</w:t>
            </w:r>
          </w:p>
          <w:p>
            <w:pPr>
              <w:spacing w:line="190"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Arial"/>
                <w:b/>
                <w:color w:val="auto"/>
                <w:kern w:val="0"/>
                <w:sz w:val="15"/>
                <w:szCs w:val="15"/>
                <w:highlight w:val="none"/>
                <w:lang w:eastAsia="zh-CN"/>
              </w:rPr>
            </w:pPr>
            <w:bookmarkStart w:id="137" w:name="_Toc110851480"/>
            <w:bookmarkStart w:id="138" w:name="_Toc2072679585"/>
            <w:r>
              <w:rPr>
                <w:rFonts w:hint="eastAsia" w:ascii="宋体" w:hAnsi="宋体" w:eastAsia="宋体"/>
                <w:color w:val="auto"/>
                <w:sz w:val="15"/>
                <w:szCs w:val="15"/>
                <w:highlight w:val="none"/>
                <w:lang w:val="en-US" w:eastAsia="zh-CN"/>
              </w:rPr>
              <w:t>7</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非机动车在步行绿道、滨水步道通行</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《北京市非机动车管理条例》第二十七条第一款；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处罚条款：《北京市非机动车管理条例》第四</w:t>
            </w:r>
            <w:r>
              <w:rPr>
                <w:rFonts w:hint="eastAsia" w:ascii="宋体" w:hAnsi="宋体" w:eastAsia="宋体" w:cs="宋体"/>
                <w:color w:val="auto"/>
                <w:sz w:val="15"/>
                <w:szCs w:val="15"/>
                <w:highlight w:val="none"/>
                <w:lang w:eastAsia="zh-CN"/>
              </w:rPr>
              <w:t>十七</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p>
        </w:tc>
        <w:tc>
          <w:tcPr>
            <w:tcW w:w="1982" w:type="dxa"/>
            <w:gridSpan w:val="2"/>
            <w:noWrap w:val="0"/>
            <w:vAlign w:val="center"/>
          </w:tcPr>
          <w:p>
            <w:pP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初次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且拒不改正的，警告；</w:t>
            </w:r>
          </w:p>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再次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的，处以罚款。</w:t>
            </w:r>
          </w:p>
          <w:p>
            <w:pPr>
              <w:pStyle w:val="9"/>
              <w:keepNext w:val="0"/>
              <w:keepLines w:val="0"/>
              <w:pageBreakBefore w:val="0"/>
              <w:kinsoku/>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kern w:val="2"/>
                <w:sz w:val="15"/>
                <w:szCs w:val="15"/>
                <w:highlight w:val="none"/>
                <w:lang w:val="en-US" w:eastAsia="zh-CN" w:bidi="ar-SA"/>
              </w:rPr>
              <w:t>（2026年5月1日开始执行）</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市级、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侵占、擅自停止使用非机动车停车设施或者将停车设施挪作他用</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六</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四十八</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违反本条例第三十条第六款规定，侵占、擅自停止使用非机动车停车设施或者将其挪作他用的，由城市管理综合行政执法部门责令改正，处五百元以上一千元以下罚款。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sz w:val="15"/>
                <w:szCs w:val="15"/>
                <w:highlight w:val="none"/>
                <w:lang w:val="en-US" w:eastAsia="zh-CN"/>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未按要求设置标识</w:t>
            </w:r>
            <w:r>
              <w:rPr>
                <w:rFonts w:hint="eastAsia" w:ascii="宋体" w:hAnsi="宋体" w:cs="宋体"/>
                <w:color w:val="auto"/>
                <w:sz w:val="15"/>
                <w:szCs w:val="15"/>
                <w:highlight w:val="none"/>
                <w:lang w:eastAsia="zh-CN"/>
              </w:rPr>
              <w:t>、标线</w:t>
            </w:r>
            <w:r>
              <w:rPr>
                <w:rFonts w:hint="eastAsia" w:ascii="宋体" w:hAnsi="宋体" w:eastAsia="宋体" w:cs="宋体"/>
                <w:color w:val="auto"/>
                <w:sz w:val="15"/>
                <w:szCs w:val="15"/>
                <w:highlight w:val="none"/>
                <w:lang w:eastAsia="zh-CN"/>
              </w:rPr>
              <w:t>及设施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三十二条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一</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四十九</w:t>
            </w:r>
            <w:r>
              <w:rPr>
                <w:rFonts w:hint="eastAsia" w:ascii="宋体" w:hAnsi="宋体" w:eastAsia="宋体" w:cs="宋体"/>
                <w:color w:val="auto"/>
                <w:sz w:val="15"/>
                <w:szCs w:val="15"/>
                <w:highlight w:val="none"/>
              </w:rPr>
              <w:t>条</w:t>
            </w:r>
            <w:r>
              <w:rPr>
                <w:rFonts w:hint="eastAsia" w:ascii="宋体" w:hAnsi="宋体" w:eastAsia="宋体" w:cs="宋体"/>
                <w:color w:val="auto"/>
                <w:sz w:val="15"/>
                <w:szCs w:val="15"/>
                <w:highlight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eastAsia="zh-CN"/>
              </w:rPr>
              <w:t>1000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default" w:ascii="宋体" w:hAnsi="宋体" w:eastAsia="宋体" w:cs="Arial"/>
                <w:b/>
                <w:color w:val="auto"/>
                <w:kern w:val="0"/>
                <w:sz w:val="15"/>
                <w:szCs w:val="15"/>
                <w:highlight w:val="none"/>
                <w:lang w:val="en-US"/>
              </w:rPr>
            </w:pPr>
            <w:r>
              <w:rPr>
                <w:rFonts w:hint="eastAsia" w:ascii="宋体" w:hAnsi="宋体" w:eastAsia="宋体"/>
                <w:strike w:val="0"/>
                <w:dstrike w:val="0"/>
                <w:color w:val="auto"/>
                <w:sz w:val="15"/>
                <w:szCs w:val="15"/>
                <w:highlight w:val="none"/>
                <w:u w:val="none"/>
                <w:lang w:val="en-US" w:eastAsia="zh-CN"/>
              </w:rPr>
              <w:t>10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lang w:eastAsia="zh-CN"/>
              </w:rPr>
              <w:t>未按要求设置收费价格公示牌或未安排专人负责服务和管理</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trike w:val="0"/>
                <w:dstrike w:val="0"/>
                <w:color w:val="auto"/>
                <w:sz w:val="15"/>
                <w:szCs w:val="15"/>
                <w:highlight w:val="none"/>
                <w:u w:val="none"/>
              </w:rPr>
            </w:pPr>
            <w:r>
              <w:rPr>
                <w:rFonts w:hint="eastAsia" w:ascii="宋体" w:hAnsi="宋体" w:eastAsia="宋体" w:cs="宋体"/>
                <w:strike w:val="0"/>
                <w:dstrike w:val="0"/>
                <w:color w:val="auto"/>
                <w:sz w:val="15"/>
                <w:szCs w:val="15"/>
                <w:highlight w:val="none"/>
                <w:u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三十二条</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二</w:t>
            </w:r>
            <w:r>
              <w:rPr>
                <w:rFonts w:hint="eastAsia" w:ascii="宋体" w:hAnsi="宋体" w:eastAsia="宋体" w:cs="宋体"/>
                <w:strike w:val="0"/>
                <w:dstrike w:val="0"/>
                <w:color w:val="auto"/>
                <w:sz w:val="15"/>
                <w:szCs w:val="15"/>
                <w:highlight w:val="none"/>
                <w:u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四十九</w:t>
            </w:r>
            <w:r>
              <w:rPr>
                <w:rFonts w:hint="eastAsia" w:ascii="宋体" w:hAnsi="宋体" w:eastAsia="宋体" w:cs="宋体"/>
                <w:strike w:val="0"/>
                <w:dstrike w:val="0"/>
                <w:color w:val="auto"/>
                <w:sz w:val="15"/>
                <w:szCs w:val="15"/>
                <w:highlight w:val="none"/>
                <w:u w:val="none"/>
              </w:rPr>
              <w:t>条</w:t>
            </w:r>
            <w:r>
              <w:rPr>
                <w:rFonts w:hint="eastAsia" w:ascii="宋体" w:hAnsi="宋体" w:eastAsia="宋体" w:cs="宋体"/>
                <w:strike w:val="0"/>
                <w:dstrike w:val="0"/>
                <w:color w:val="auto"/>
                <w:sz w:val="15"/>
                <w:szCs w:val="15"/>
                <w:highlight w:val="none"/>
                <w:u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strike w:val="0"/>
                <w:dstrike w:val="0"/>
                <w:color w:val="auto"/>
                <w:sz w:val="15"/>
                <w:szCs w:val="15"/>
                <w:highlight w:val="none"/>
                <w:u w:val="none"/>
                <w:lang w:val="en-US" w:eastAsia="zh-CN"/>
              </w:rPr>
              <w:t>1000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strike w:val="0"/>
                <w:dstrike w:val="0"/>
                <w:color w:val="auto"/>
                <w:kern w:val="0"/>
                <w:sz w:val="15"/>
                <w:szCs w:val="15"/>
                <w:highlight w:val="none"/>
                <w:u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trike w:val="0"/>
                <w:dstrike w:val="0"/>
                <w:color w:val="auto"/>
                <w:sz w:val="15"/>
                <w:szCs w:val="15"/>
                <w:highlight w:val="none"/>
                <w:u w:val="none"/>
                <w:lang w:val="en-US" w:eastAsia="zh-CN"/>
              </w:rPr>
            </w:pPr>
            <w:r>
              <w:rPr>
                <w:rFonts w:hint="default" w:ascii="宋体" w:hAnsi="宋体" w:eastAsia="宋体" w:cs="宋体"/>
                <w:strike w:val="0"/>
                <w:dstrike w:val="0"/>
                <w:color w:val="auto"/>
                <w:sz w:val="15"/>
                <w:szCs w:val="15"/>
                <w:highlight w:val="none"/>
                <w:u w:val="none"/>
                <w:lang w:val="en-US" w:eastAsia="zh-CN"/>
              </w:rPr>
              <w:t>存在基准2.1.3规定情形的，系数按照相关规定确定</w:t>
            </w:r>
            <w:r>
              <w:rPr>
                <w:rFonts w:hint="eastAsia" w:ascii="宋体" w:hAnsi="宋体" w:eastAsia="宋体" w:cs="宋体"/>
                <w:strike w:val="0"/>
                <w:dstrike w:val="0"/>
                <w:color w:val="auto"/>
                <w:sz w:val="15"/>
                <w:szCs w:val="15"/>
                <w:highlight w:val="none"/>
                <w:u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罚款数额＝</w:t>
            </w:r>
            <w:r>
              <w:rPr>
                <w:rFonts w:hint="eastAsia" w:ascii="宋体" w:hAnsi="宋体" w:eastAsia="宋体" w:cs="宋体"/>
                <w:strike w:val="0"/>
                <w:dstrike w:val="0"/>
                <w:color w:val="auto"/>
                <w:sz w:val="15"/>
                <w:szCs w:val="15"/>
                <w:highlight w:val="none"/>
                <w:u w:val="none"/>
                <w:lang w:val="en-US" w:eastAsia="zh-CN"/>
              </w:rPr>
              <w:t>10</w:t>
            </w:r>
            <w:r>
              <w:rPr>
                <w:rFonts w:hint="eastAsia" w:ascii="宋体" w:hAnsi="宋体" w:eastAsia="宋体" w:cs="宋体"/>
                <w:strike w:val="0"/>
                <w:dstrike w:val="0"/>
                <w:color w:val="auto"/>
                <w:sz w:val="15"/>
                <w:szCs w:val="15"/>
                <w:highlight w:val="none"/>
                <w:u w:val="none"/>
              </w:rPr>
              <w:t>00×（1＋</w:t>
            </w:r>
            <w:r>
              <w:rPr>
                <w:rFonts w:hint="eastAsia" w:ascii="宋体" w:hAnsi="宋体" w:eastAsia="宋体" w:cs="宋体"/>
                <w:strike w:val="0"/>
                <w:dstrike w:val="0"/>
                <w:color w:val="auto"/>
                <w:sz w:val="15"/>
                <w:szCs w:val="15"/>
                <w:highlight w:val="none"/>
                <w:u w:val="none"/>
                <w:lang w:eastAsia="zh-CN"/>
              </w:rPr>
              <w:t>情节系数</w:t>
            </w:r>
            <w:r>
              <w:rPr>
                <w:rFonts w:hint="eastAsia" w:ascii="宋体" w:hAnsi="宋体" w:eastAsia="宋体" w:cs="宋体"/>
                <w:strike w:val="0"/>
                <w:dstrike w:val="0"/>
                <w:color w:val="auto"/>
                <w:sz w:val="15"/>
                <w:szCs w:val="15"/>
                <w:highlight w:val="none"/>
                <w:u w:val="none"/>
              </w:rPr>
              <w:t>）</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strike w:val="0"/>
                <w:dstrike w:val="0"/>
                <w:color w:val="auto"/>
                <w:sz w:val="15"/>
                <w:szCs w:val="15"/>
                <w:highlight w:val="none"/>
                <w:u w:val="none"/>
                <w:lang w:eastAsia="zh-CN"/>
              </w:rPr>
              <w:t>（</w:t>
            </w:r>
            <w:r>
              <w:rPr>
                <w:rFonts w:hint="eastAsia" w:ascii="宋体" w:hAnsi="宋体" w:eastAsia="宋体" w:cs="宋体"/>
                <w:strike w:val="0"/>
                <w:dstrike w:val="0"/>
                <w:color w:val="auto"/>
                <w:sz w:val="15"/>
                <w:szCs w:val="15"/>
                <w:highlight w:val="none"/>
                <w:u w:val="none"/>
                <w:lang w:val="en-US" w:eastAsia="zh-CN"/>
              </w:rPr>
              <w:t>2026年5月1日开始执行</w:t>
            </w:r>
            <w:r>
              <w:rPr>
                <w:rFonts w:hint="eastAsia" w:ascii="宋体" w:hAnsi="宋体" w:eastAsia="宋体" w:cs="宋体"/>
                <w:strike w:val="0"/>
                <w:dstrike w:val="0"/>
                <w:color w:val="auto"/>
                <w:sz w:val="15"/>
                <w:szCs w:val="15"/>
                <w:highlight w:val="none"/>
                <w:u w:val="none"/>
                <w:lang w:eastAsia="zh-CN"/>
              </w:rPr>
              <w:t>）</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3"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39" w:name="_Toc82787358"/>
            <w:r>
              <w:rPr>
                <w:rFonts w:hint="eastAsia" w:ascii="黑体" w:hAnsi="黑体" w:eastAsia="黑体"/>
                <w:b w:val="0"/>
                <w:color w:val="auto"/>
                <w:sz w:val="28"/>
                <w:szCs w:val="28"/>
                <w:highlight w:val="none"/>
              </w:rPr>
              <w:t>交通运输管理方面</w:t>
            </w:r>
            <w:bookmarkEnd w:id="137"/>
            <w:bookmarkEnd w:id="138"/>
            <w:bookmarkEnd w:id="1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5"/>
                <w:szCs w:val="15"/>
                <w:highlight w:val="none"/>
              </w:rPr>
            </w:pPr>
            <w:bookmarkStart w:id="140" w:name="_Toc1833599949"/>
            <w:bookmarkStart w:id="141" w:name="_Toc110851481"/>
            <w:bookmarkStart w:id="142" w:name="_Toc1765710580"/>
            <w:r>
              <w:rPr>
                <w:rFonts w:hint="eastAsia" w:ascii="宋体" w:hAnsi="宋体" w:eastAsia="宋体"/>
                <w:b/>
                <w:bCs/>
                <w:strike w:val="0"/>
                <w:dstrike w:val="0"/>
                <w:color w:val="auto"/>
                <w:sz w:val="21"/>
                <w:szCs w:val="21"/>
                <w:highlight w:val="none"/>
              </w:rPr>
              <w:t>《巡游出租汽车经营服务管理规定》案由1项</w:t>
            </w:r>
            <w:bookmarkEnd w:id="140"/>
            <w:bookmarkEnd w:id="141"/>
            <w:bookmarkEnd w:id="1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3" w:hRule="atLeast"/>
        </w:trPr>
        <w:tc>
          <w:tcPr>
            <w:tcW w:w="610" w:type="dxa"/>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830" w:type="dxa"/>
            <w:gridSpan w:val="3"/>
            <w:noWrap w:val="0"/>
            <w:vAlign w:val="center"/>
          </w:tcPr>
          <w:p>
            <w:pPr>
              <w:spacing w:line="204"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无证经营出租汽车</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5000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strike w:val="0"/>
                <w:dstrike w:val="0"/>
                <w:color w:val="auto"/>
                <w:sz w:val="15"/>
                <w:szCs w:val="15"/>
                <w:highlight w:val="none"/>
              </w:rPr>
            </w:pPr>
            <w:r>
              <w:rPr>
                <w:rFonts w:hint="eastAsia" w:ascii="宋体" w:hAnsi="宋体" w:eastAsia="宋体" w:cs="宋体"/>
                <w:strike w:val="0"/>
                <w:dstrike w:val="0"/>
                <w:color w:val="auto"/>
                <w:sz w:val="15"/>
                <w:szCs w:val="15"/>
                <w:highlight w:val="none"/>
              </w:rPr>
              <w:t>罚款数额＝5000×</w:t>
            </w:r>
            <w:r>
              <w:rPr>
                <w:rFonts w:hint="eastAsia" w:ascii="宋体" w:hAnsi="宋体" w:eastAsia="宋体" w:cs="宋体"/>
                <w:bCs/>
                <w:strike w:val="0"/>
                <w:dstrike w:val="0"/>
                <w:color w:val="auto"/>
                <w:sz w:val="15"/>
                <w:szCs w:val="15"/>
                <w:highlight w:val="none"/>
              </w:rPr>
              <w:t>（1＋</w:t>
            </w:r>
            <w:r>
              <w:rPr>
                <w:rFonts w:hint="eastAsia" w:ascii="宋体" w:hAnsi="宋体" w:eastAsia="宋体" w:cs="宋体"/>
                <w:bCs/>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897" w:type="dxa"/>
            <w:gridSpan w:val="2"/>
            <w:noWrap w:val="0"/>
            <w:vAlign w:val="center"/>
          </w:tcPr>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街道</w:t>
            </w:r>
          </w:p>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3"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43" w:name="_Toc110851482"/>
            <w:bookmarkStart w:id="144" w:name="_Toc121789162"/>
            <w:bookmarkStart w:id="145" w:name="_Toc1659440034"/>
            <w:r>
              <w:rPr>
                <w:rFonts w:hint="eastAsia" w:ascii="宋体" w:hAnsi="宋体" w:eastAsia="宋体"/>
                <w:color w:val="auto"/>
                <w:sz w:val="21"/>
                <w:szCs w:val="21"/>
                <w:highlight w:val="none"/>
              </w:rPr>
              <w:t>《北京市查处非法客运若干规定》案由2项</w:t>
            </w:r>
            <w:bookmarkEnd w:id="143"/>
            <w:bookmarkEnd w:id="144"/>
            <w:bookmarkEnd w:id="1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92"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未经许可擅自（或组织）从事巡游出租汽车客运经营</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没有违法所得或者违法所得不足2万元的，基数为10000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10000×（1＋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违法所得2万元以上的，基数为违法所得。</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违法所得×2×（1＋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9"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利用摩托车、三轮车、残疾人机动轮椅车等车辆从事客运经营</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违反条款：第八条第一款。 </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处罚条款：第八条第二款，没收车辆，没收违法所得，并可处500元以上2000元以下罚款。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造成秩序混乱或者较大社会影响的，系数1-3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w:t>
            </w:r>
            <w:r>
              <w:rPr>
                <w:rFonts w:hint="eastAsia" w:ascii="宋体" w:hAnsi="宋体" w:eastAsia="宋体" w:cs="宋体"/>
                <w:bCs/>
                <w:color w:val="auto"/>
                <w:sz w:val="15"/>
                <w:szCs w:val="15"/>
                <w:highlight w:val="none"/>
              </w:rPr>
              <w:t>（1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bCs/>
                <w:color w:val="auto"/>
                <w:sz w:val="15"/>
                <w:szCs w:val="15"/>
                <w:highlight w:val="none"/>
              </w:rPr>
              <w:t>）</w:t>
            </w:r>
          </w:p>
        </w:tc>
        <w:tc>
          <w:tcPr>
            <w:tcW w:w="1982" w:type="dxa"/>
            <w:gridSpan w:val="2"/>
            <w:noWrap w:val="0"/>
            <w:vAlign w:val="center"/>
          </w:tcPr>
          <w:p>
            <w:pPr>
              <w:spacing w:line="232" w:lineRule="exact"/>
              <w:jc w:val="left"/>
              <w:rPr>
                <w:rFonts w:ascii="宋体" w:hAnsi="宋体" w:eastAsia="宋体"/>
                <w:color w:val="auto"/>
                <w:sz w:val="15"/>
                <w:szCs w:val="15"/>
                <w:highlight w:val="none"/>
              </w:rPr>
            </w:pP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74"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46" w:name="_Toc360901343"/>
            <w:bookmarkStart w:id="147" w:name="_Toc110851483"/>
            <w:bookmarkStart w:id="148" w:name="_Toc862611265"/>
            <w:r>
              <w:rPr>
                <w:rFonts w:hint="eastAsia" w:ascii="黑体" w:hAnsi="黑体" w:eastAsia="黑体"/>
                <w:b w:val="0"/>
                <w:color w:val="auto"/>
                <w:sz w:val="28"/>
                <w:szCs w:val="28"/>
                <w:highlight w:val="none"/>
              </w:rPr>
              <w:t>市场监督管理（流动无照经营）方面</w:t>
            </w:r>
            <w:bookmarkEnd w:id="146"/>
            <w:bookmarkEnd w:id="147"/>
            <w:bookmarkEnd w:id="1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49" w:name="_Toc110851484"/>
            <w:bookmarkStart w:id="150" w:name="_Toc704954681"/>
            <w:bookmarkStart w:id="151" w:name="_Toc55793052"/>
            <w:r>
              <w:rPr>
                <w:rFonts w:hint="eastAsia" w:ascii="宋体" w:hAnsi="宋体" w:eastAsia="宋体"/>
                <w:color w:val="auto"/>
                <w:sz w:val="21"/>
                <w:szCs w:val="21"/>
                <w:highlight w:val="none"/>
              </w:rPr>
              <w:t>《无证</w:t>
            </w:r>
            <w:r>
              <w:rPr>
                <w:rFonts w:ascii="宋体" w:hAnsi="宋体" w:eastAsia="宋体"/>
                <w:color w:val="auto"/>
                <w:sz w:val="21"/>
                <w:szCs w:val="21"/>
                <w:highlight w:val="none"/>
              </w:rPr>
              <w:t>无照经营查处办法</w:t>
            </w:r>
            <w:r>
              <w:rPr>
                <w:rFonts w:hint="eastAsia" w:ascii="宋体" w:hAnsi="宋体" w:eastAsia="宋体"/>
                <w:color w:val="auto"/>
                <w:sz w:val="21"/>
                <w:szCs w:val="21"/>
                <w:highlight w:val="none"/>
              </w:rPr>
              <w:t>》案由3项</w:t>
            </w:r>
            <w:bookmarkEnd w:id="149"/>
            <w:bookmarkEnd w:id="150"/>
            <w:bookmarkEnd w:id="1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452" w:hRule="atLeast"/>
        </w:trPr>
        <w:tc>
          <w:tcPr>
            <w:tcW w:w="610"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1830" w:type="dxa"/>
            <w:gridSpan w:val="3"/>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w:t>
            </w:r>
          </w:p>
        </w:tc>
        <w:tc>
          <w:tcPr>
            <w:tcW w:w="2789"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违反条款：第二条；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处罚条款：第十三条，责令停止违法行为，没收违法所得，并处1万元以下的罚款。</w:t>
            </w:r>
          </w:p>
        </w:tc>
        <w:tc>
          <w:tcPr>
            <w:tcW w:w="851"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100</w:t>
            </w:r>
          </w:p>
        </w:tc>
        <w:tc>
          <w:tcPr>
            <w:tcW w:w="840" w:type="dxa"/>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contextualSpacing/>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罚款数额＝100×（1＋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1.适用于一般无照经营情形；2.占用无障碍设施或者机动车道；占用过街桥、地下过街通道；使用畜力车、农用运输车及</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机动车、电动车为经营工具；经营违禁品；占用非机动车道或者</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公共场所面积较大；或者造成通行秩序、市容秩序混乱等无照经营情形，原则按照“摆摊设点”案由查处；需要给予500元以下较轻罚款的，说明理由，报案审会决定按照“无照经营”案由查处。</w:t>
            </w:r>
          </w:p>
        </w:tc>
        <w:tc>
          <w:tcPr>
            <w:tcW w:w="897"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2" w:hRule="atLeast"/>
        </w:trPr>
        <w:tc>
          <w:tcPr>
            <w:tcW w:w="610"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2</w:t>
            </w:r>
          </w:p>
        </w:tc>
        <w:tc>
          <w:tcPr>
            <w:tcW w:w="1830" w:type="dxa"/>
            <w:gridSpan w:val="3"/>
            <w:noWrap w:val="0"/>
            <w:vAlign w:val="center"/>
          </w:tcPr>
          <w:p>
            <w:pPr>
              <w:spacing w:line="232" w:lineRule="exact"/>
              <w:contextualSpacing/>
              <w:rPr>
                <w:rFonts w:ascii="宋体" w:hAnsi="宋体" w:eastAsia="宋体" w:cs="宋体"/>
                <w:bCs/>
                <w:color w:val="auto"/>
                <w:kern w:val="0"/>
                <w:sz w:val="15"/>
                <w:szCs w:val="15"/>
                <w:highlight w:val="none"/>
              </w:rPr>
            </w:pPr>
            <w:r>
              <w:rPr>
                <w:rFonts w:ascii="宋体" w:hAnsi="宋体" w:eastAsia="宋体" w:cs="宋体"/>
                <w:bCs/>
                <w:color w:val="auto"/>
                <w:kern w:val="0"/>
                <w:sz w:val="15"/>
                <w:szCs w:val="15"/>
                <w:highlight w:val="none"/>
              </w:rPr>
              <w:t>为无照经营者提供</w:t>
            </w:r>
            <w:r>
              <w:rPr>
                <w:rFonts w:hint="eastAsia" w:ascii="宋体" w:hAnsi="宋体" w:eastAsia="宋体" w:cs="宋体"/>
                <w:bCs/>
                <w:color w:val="auto"/>
                <w:kern w:val="0"/>
                <w:sz w:val="15"/>
                <w:szCs w:val="15"/>
                <w:highlight w:val="none"/>
              </w:rPr>
              <w:t>场所或者条件</w:t>
            </w:r>
          </w:p>
        </w:tc>
        <w:tc>
          <w:tcPr>
            <w:tcW w:w="2789"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违反条款：第十四条；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处罚条款：第十四条，责令停止违法行为，没收违法所得，并处</w:t>
            </w:r>
            <w:r>
              <w:rPr>
                <w:rFonts w:ascii="宋体" w:hAnsi="宋体" w:eastAsia="宋体" w:cs="宋体"/>
                <w:bCs/>
                <w:color w:val="auto"/>
                <w:kern w:val="0"/>
                <w:sz w:val="15"/>
                <w:szCs w:val="15"/>
                <w:highlight w:val="none"/>
              </w:rPr>
              <w:t>5000</w:t>
            </w:r>
            <w:r>
              <w:rPr>
                <w:rFonts w:hint="eastAsia" w:ascii="宋体" w:hAnsi="宋体" w:eastAsia="宋体" w:cs="宋体"/>
                <w:bCs/>
                <w:color w:val="auto"/>
                <w:kern w:val="0"/>
                <w:sz w:val="15"/>
                <w:szCs w:val="15"/>
                <w:highlight w:val="none"/>
              </w:rPr>
              <w:t>元以下的罚款。</w:t>
            </w:r>
          </w:p>
        </w:tc>
        <w:tc>
          <w:tcPr>
            <w:tcW w:w="851"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500</w:t>
            </w:r>
          </w:p>
        </w:tc>
        <w:tc>
          <w:tcPr>
            <w:tcW w:w="840" w:type="dxa"/>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contextualSpacing/>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严重</w:t>
            </w:r>
            <w:r>
              <w:rPr>
                <w:rFonts w:hint="eastAsia" w:ascii="宋体" w:hAnsi="宋体" w:eastAsia="宋体"/>
                <w:color w:val="auto"/>
                <w:sz w:val="15"/>
                <w:szCs w:val="15"/>
                <w:highlight w:val="none"/>
              </w:rPr>
              <w:t>影响的，系数</w:t>
            </w:r>
            <w:r>
              <w:rPr>
                <w:rFonts w:hint="eastAsia" w:ascii="宋体" w:hAnsi="宋体" w:eastAsia="宋体"/>
                <w:color w:val="auto"/>
                <w:sz w:val="15"/>
                <w:szCs w:val="15"/>
                <w:highlight w:val="none"/>
                <w:lang w:val="en-US" w:eastAsia="zh-CN"/>
              </w:rPr>
              <w:t>5-9</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ascii="宋体" w:hAnsi="宋体" w:eastAsia="宋体" w:cs="宋体"/>
                <w:bCs/>
                <w:color w:val="auto"/>
                <w:kern w:val="0"/>
                <w:sz w:val="15"/>
                <w:szCs w:val="15"/>
                <w:highlight w:val="none"/>
              </w:rPr>
            </w:pPr>
          </w:p>
        </w:tc>
        <w:tc>
          <w:tcPr>
            <w:tcW w:w="897"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4" w:hRule="atLeast"/>
        </w:trPr>
        <w:tc>
          <w:tcPr>
            <w:tcW w:w="610"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ascii="宋体" w:hAnsi="宋体" w:eastAsia="宋体" w:cs="宋体"/>
                <w:bCs/>
                <w:strike w:val="0"/>
                <w:dstrike w:val="0"/>
                <w:color w:val="auto"/>
                <w:kern w:val="0"/>
                <w:sz w:val="15"/>
                <w:szCs w:val="15"/>
                <w:highlight w:val="none"/>
              </w:rPr>
              <w:t>3</w:t>
            </w:r>
          </w:p>
        </w:tc>
        <w:tc>
          <w:tcPr>
            <w:tcW w:w="1830" w:type="dxa"/>
            <w:gridSpan w:val="3"/>
            <w:noWrap w:val="0"/>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无照经营（人力三轮车等业务）</w:t>
            </w:r>
          </w:p>
        </w:tc>
        <w:tc>
          <w:tcPr>
            <w:tcW w:w="2789" w:type="dxa"/>
            <w:gridSpan w:val="2"/>
            <w:noWrap w:val="0"/>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违反条款：第二条；</w:t>
            </w:r>
          </w:p>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处罚条款：第十三条，责令停止违法行为，没收违法所得，并处1万元以下的罚款。</w:t>
            </w:r>
          </w:p>
        </w:tc>
        <w:tc>
          <w:tcPr>
            <w:tcW w:w="851"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500</w:t>
            </w:r>
          </w:p>
        </w:tc>
        <w:tc>
          <w:tcPr>
            <w:tcW w:w="840"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1</w:t>
            </w:r>
          </w:p>
        </w:tc>
        <w:tc>
          <w:tcPr>
            <w:tcW w:w="3426" w:type="dxa"/>
            <w:noWrap w:val="0"/>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罚款数额＝500×</w:t>
            </w:r>
            <w:r>
              <w:rPr>
                <w:rFonts w:hint="eastAsia" w:ascii="宋体" w:hAnsi="宋体" w:eastAsia="宋体" w:cs="宋体"/>
                <w:bCs/>
                <w:strike w:val="0"/>
                <w:dstrike w:val="0"/>
                <w:color w:val="auto"/>
                <w:sz w:val="15"/>
                <w:szCs w:val="15"/>
                <w:highlight w:val="none"/>
              </w:rPr>
              <w:t>（1</w:t>
            </w:r>
            <w:r>
              <w:rPr>
                <w:rFonts w:hint="eastAsia" w:ascii="宋体" w:hAnsi="宋体" w:eastAsia="宋体"/>
                <w:strike w:val="0"/>
                <w:dstrike w:val="0"/>
                <w:color w:val="auto"/>
                <w:sz w:val="15"/>
                <w:szCs w:val="15"/>
                <w:highlight w:val="none"/>
              </w:rPr>
              <w:t>＋</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1982" w:type="dxa"/>
            <w:gridSpan w:val="2"/>
            <w:noWrap w:val="0"/>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hint="eastAsia" w:ascii="宋体" w:hAnsi="宋体" w:eastAsia="宋体"/>
                <w:strike w:val="0"/>
                <w:dstrike w:val="0"/>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2" w:hRule="atLeast"/>
        </w:trPr>
        <w:tc>
          <w:tcPr>
            <w:tcW w:w="15100" w:type="dxa"/>
            <w:gridSpan w:val="15"/>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2" w:name="_Toc1160691890"/>
            <w:bookmarkStart w:id="153" w:name="_Toc110851485"/>
            <w:bookmarkStart w:id="154" w:name="_Toc204115016"/>
            <w:r>
              <w:rPr>
                <w:rFonts w:hint="eastAsia" w:ascii="黑体" w:hAnsi="黑体" w:eastAsia="黑体"/>
                <w:b w:val="0"/>
                <w:color w:val="auto"/>
                <w:sz w:val="28"/>
                <w:szCs w:val="28"/>
                <w:highlight w:val="none"/>
              </w:rPr>
              <w:t>城</w:t>
            </w:r>
            <w:r>
              <w:rPr>
                <w:rFonts w:hint="eastAsia" w:ascii="黑体" w:hAnsi="黑体" w:eastAsia="黑体"/>
                <w:b w:val="0"/>
                <w:color w:val="auto"/>
                <w:sz w:val="28"/>
                <w:szCs w:val="28"/>
                <w:highlight w:val="none"/>
                <w:lang w:eastAsia="zh-CN"/>
              </w:rPr>
              <w:t>乡</w:t>
            </w:r>
            <w:r>
              <w:rPr>
                <w:rFonts w:hint="eastAsia" w:ascii="黑体" w:hAnsi="黑体" w:eastAsia="黑体"/>
                <w:b w:val="0"/>
                <w:color w:val="auto"/>
                <w:sz w:val="28"/>
                <w:szCs w:val="28"/>
                <w:highlight w:val="none"/>
              </w:rPr>
              <w:t>规划管理方面</w:t>
            </w:r>
            <w:bookmarkEnd w:id="152"/>
            <w:bookmarkEnd w:id="153"/>
            <w:bookmarkEnd w:id="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宋体" w:hAnsi="宋体" w:eastAsia="宋体"/>
                <w:color w:val="auto"/>
                <w:sz w:val="15"/>
                <w:szCs w:val="15"/>
                <w:highlight w:val="none"/>
              </w:rPr>
            </w:pPr>
            <w:bookmarkStart w:id="155" w:name="_Toc663011399"/>
            <w:bookmarkStart w:id="156" w:name="_Toc187041735"/>
            <w:bookmarkStart w:id="157" w:name="_Toc110851486"/>
            <w:r>
              <w:rPr>
                <w:rFonts w:hint="eastAsia" w:ascii="宋体" w:hAnsi="宋体" w:eastAsia="宋体"/>
                <w:color w:val="auto"/>
                <w:sz w:val="21"/>
                <w:szCs w:val="21"/>
                <w:highlight w:val="none"/>
              </w:rPr>
              <w:t>《中华人民共和国城乡规划法》《北京市城乡规划条例》</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案由2项</w:t>
            </w:r>
            <w:bookmarkEnd w:id="155"/>
            <w:bookmarkEnd w:id="156"/>
            <w:bookmarkEnd w:id="1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9781"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新生违法建设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r>
              <w:rPr>
                <w:rFonts w:hint="eastAsia" w:ascii="宋体" w:hAnsi="宋体" w:eastAsia="宋体" w:cs="宋体"/>
                <w:color w:val="auto"/>
                <w:kern w:val="0"/>
                <w:sz w:val="15"/>
                <w:szCs w:val="15"/>
                <w:highlight w:val="none"/>
              </w:rPr>
              <w:br w:type="textWrapping"/>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44" w:hRule="atLeast"/>
        </w:trPr>
        <w:tc>
          <w:tcPr>
            <w:tcW w:w="610" w:type="dxa"/>
            <w:vMerge w:val="continue"/>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bottom w:val="single" w:color="auto" w:sz="4" w:space="0"/>
            </w:tcBorders>
            <w:noWrap w:val="0"/>
            <w:vAlign w:val="center"/>
          </w:tcPr>
          <w:p>
            <w:pPr>
              <w:spacing w:line="232" w:lineRule="exact"/>
              <w:jc w:val="left"/>
              <w:rPr>
                <w:rFonts w:ascii="宋体" w:hAnsi="宋体" w:eastAsia="宋体" w:cs="宋体"/>
                <w:color w:val="auto"/>
                <w:kern w:val="0"/>
                <w:sz w:val="15"/>
                <w:szCs w:val="15"/>
                <w:highlight w:val="none"/>
              </w:rPr>
            </w:pPr>
          </w:p>
        </w:tc>
        <w:tc>
          <w:tcPr>
            <w:tcW w:w="9781" w:type="dxa"/>
            <w:gridSpan w:val="7"/>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已建成违法建设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拆除条款：（限期拆除）</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（强制拆除）</w:t>
            </w:r>
            <w:r>
              <w:rPr>
                <w:rFonts w:hint="eastAsia" w:ascii="宋体" w:hAnsi="宋体" w:eastAsia="宋体" w:cs="宋体"/>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s="宋体"/>
                <w:b/>
                <w:color w:val="auto"/>
                <w:kern w:val="0"/>
                <w:sz w:val="15"/>
                <w:szCs w:val="15"/>
                <w:highlight w:val="none"/>
              </w:rPr>
              <w:t>（无主公告）</w:t>
            </w:r>
            <w:r>
              <w:rPr>
                <w:rFonts w:hint="eastAsia" w:ascii="宋体" w:hAnsi="宋体" w:eastAsia="宋体" w:cs="宋体"/>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tcBorders>
              <w:bottom w:val="single" w:color="auto" w:sz="4" w:space="0"/>
            </w:tcBorders>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897" w:type="dxa"/>
            <w:gridSpan w:val="2"/>
            <w:tcBorders>
              <w:bottom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noWrap w:val="0"/>
            <w:vAlign w:val="center"/>
          </w:tcPr>
          <w:p>
            <w:pPr>
              <w:spacing w:line="232" w:lineRule="exact"/>
              <w:jc w:val="left"/>
              <w:rPr>
                <w:rFonts w:ascii="宋体" w:hAnsi="宋体" w:eastAsia="宋体" w:cs="宋体"/>
                <w:color w:val="auto"/>
                <w:kern w:val="0"/>
                <w:sz w:val="15"/>
                <w:szCs w:val="15"/>
                <w:highlight w:val="none"/>
              </w:rPr>
            </w:pPr>
          </w:p>
        </w:tc>
        <w:tc>
          <w:tcPr>
            <w:tcW w:w="9781" w:type="dxa"/>
            <w:gridSpan w:val="7"/>
            <w:noWrap w:val="0"/>
            <w:vAlign w:val="top"/>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城镇临时建设工程未取得临时建设工程规划许可证违法建设</w:t>
            </w:r>
            <w:r>
              <w:rPr>
                <w:rFonts w:ascii="宋体" w:hAnsi="宋体" w:eastAsia="宋体" w:cs="宋体"/>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color w:val="auto"/>
                <w:kern w:val="0"/>
                <w:sz w:val="15"/>
                <w:szCs w:val="15"/>
                <w:highlight w:val="none"/>
                <w:lang w:val="en"/>
              </w:rPr>
            </w:pP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《北京市城乡规划条例》第七十六条。</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2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未按照规定在施工现场对外公示建设工程规划许可证（含临时）及附件、附图</w:t>
            </w:r>
          </w:p>
        </w:tc>
        <w:tc>
          <w:tcPr>
            <w:tcW w:w="2789"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《北京市城乡规划条例》第六十四条；</w:t>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《北京市城乡规划条例》第八十五条，责令限期改正，可以并处</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元以上</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该项案由执法区域范畴与查处违法建设分工区域范畴相同</w:t>
            </w:r>
            <w:r>
              <w:rPr>
                <w:rFonts w:hint="eastAsia" w:ascii="宋体" w:hAnsi="宋体" w:eastAsia="宋体" w:cs="宋体"/>
                <w:strike w:val="0"/>
                <w:dstrike w:val="0"/>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2"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58" w:name="_Toc250975437"/>
            <w:bookmarkStart w:id="159" w:name="_Toc110851487"/>
            <w:bookmarkStart w:id="160" w:name="_Toc1649337653"/>
            <w:r>
              <w:rPr>
                <w:rFonts w:hint="eastAsia" w:ascii="黑体" w:hAnsi="黑体" w:eastAsia="黑体"/>
                <w:b w:val="0"/>
                <w:color w:val="auto"/>
                <w:sz w:val="28"/>
                <w:szCs w:val="28"/>
                <w:highlight w:val="none"/>
              </w:rPr>
              <w:t>旅游管理（黑导游）方面</w:t>
            </w:r>
            <w:bookmarkEnd w:id="158"/>
            <w:bookmarkEnd w:id="159"/>
            <w:bookmarkEnd w:id="1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1" w:name="_Toc110851488"/>
            <w:bookmarkStart w:id="162" w:name="_Toc363033362"/>
            <w:bookmarkStart w:id="163" w:name="_Toc2041712476"/>
            <w:r>
              <w:rPr>
                <w:rFonts w:hint="eastAsia" w:ascii="宋体" w:hAnsi="宋体" w:eastAsia="宋体"/>
                <w:color w:val="auto"/>
                <w:sz w:val="21"/>
                <w:szCs w:val="21"/>
                <w:highlight w:val="none"/>
              </w:rPr>
              <w:t>《中华人民共和国旅游法》案由1项</w:t>
            </w:r>
            <w:bookmarkEnd w:id="161"/>
            <w:bookmarkEnd w:id="162"/>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无导游证进行导游活动</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违反、处罚条款：第一百零二条第一款，责令改正，没收违法所得，并处1千元以上1万元以下罚款，予以公告。</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1-3；2.存在基准2.1.3规定情形的，系数按照相关规定确定（基准2.1.3.5不适用）。</w:t>
            </w:r>
          </w:p>
        </w:tc>
        <w:tc>
          <w:tcPr>
            <w:tcW w:w="1875" w:type="dxa"/>
            <w:gridSpan w:val="2"/>
            <w:noWrap w:val="0"/>
            <w:vAlign w:val="center"/>
          </w:tcPr>
          <w:p>
            <w:pPr>
              <w:spacing w:line="220"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5" w:hRule="atLeast"/>
        </w:trPr>
        <w:tc>
          <w:tcPr>
            <w:tcW w:w="15100" w:type="dxa"/>
            <w:gridSpan w:val="15"/>
            <w:noWrap w:val="0"/>
            <w:vAlign w:val="center"/>
          </w:tcPr>
          <w:p>
            <w:pPr>
              <w:pStyle w:val="2"/>
              <w:keepNext w:val="0"/>
              <w:keepLines w:val="0"/>
              <w:rPr>
                <w:rFonts w:ascii="黑体" w:hAnsi="黑体" w:eastAsia="黑体"/>
                <w:b w:val="0"/>
                <w:color w:val="auto"/>
                <w:sz w:val="36"/>
                <w:szCs w:val="36"/>
                <w:highlight w:val="none"/>
              </w:rPr>
            </w:pPr>
            <w:bookmarkStart w:id="164" w:name="_Toc110851489"/>
            <w:bookmarkStart w:id="165" w:name="_Toc8089072"/>
            <w:bookmarkStart w:id="166" w:name="_Toc1162155735"/>
            <w:r>
              <w:rPr>
                <w:rFonts w:hint="eastAsia" w:ascii="黑体" w:hAnsi="黑体" w:eastAsia="黑体"/>
                <w:b w:val="0"/>
                <w:color w:val="auto"/>
                <w:sz w:val="28"/>
                <w:szCs w:val="28"/>
                <w:highlight w:val="none"/>
              </w:rPr>
              <w:t>食品安全管理方面</w:t>
            </w:r>
            <w:bookmarkEnd w:id="164"/>
            <w:bookmarkEnd w:id="165"/>
            <w:bookmarkEnd w:id="1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7" w:name="_Toc110851490"/>
            <w:bookmarkStart w:id="168" w:name="_Toc719343067"/>
            <w:bookmarkStart w:id="169" w:name="_Toc948913247"/>
            <w:r>
              <w:rPr>
                <w:rFonts w:hint="eastAsia" w:ascii="宋体" w:hAnsi="宋体" w:eastAsia="宋体"/>
                <w:color w:val="auto"/>
                <w:sz w:val="21"/>
                <w:szCs w:val="21"/>
                <w:highlight w:val="none"/>
              </w:rPr>
              <w:t>《北京市小规模食品生产经营管理规定》案由23项</w:t>
            </w:r>
            <w:bookmarkEnd w:id="167"/>
            <w:bookmarkEnd w:id="168"/>
            <w:bookmarkEnd w:id="1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食品摊贩以欺骗、贿赂等不正当手段取得备案</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处罚条款：第二十三条，对食品摊贩处2000元以上5000元以下罚款。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食品摊贩超出备案载明的经营区域、经营时段从事食品生产经营活动</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违反条款：第八条第二款和《北京市市容环境卫生条例》第三十五条第一款；</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1.超出</w:t>
            </w:r>
            <w:r>
              <w:rPr>
                <w:rFonts w:ascii="宋体" w:hAnsi="宋体" w:eastAsia="宋体" w:cs="宋体"/>
                <w:color w:val="auto"/>
                <w:kern w:val="0"/>
                <w:sz w:val="15"/>
                <w:szCs w:val="15"/>
                <w:highlight w:val="none"/>
              </w:rPr>
              <w:t>备案载明的经营区域或经营时段的，</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；2.同时</w:t>
            </w:r>
            <w:r>
              <w:rPr>
                <w:rFonts w:ascii="宋体" w:hAnsi="宋体" w:eastAsia="宋体" w:cs="宋体"/>
                <w:color w:val="auto"/>
                <w:kern w:val="0"/>
                <w:sz w:val="15"/>
                <w:szCs w:val="15"/>
                <w:highlight w:val="none"/>
              </w:rPr>
              <w:t>超出</w:t>
            </w:r>
            <w:r>
              <w:rPr>
                <w:rFonts w:hint="eastAsia" w:ascii="宋体" w:hAnsi="宋体" w:eastAsia="宋体" w:cs="宋体"/>
                <w:color w:val="auto"/>
                <w:kern w:val="0"/>
                <w:sz w:val="15"/>
                <w:szCs w:val="15"/>
                <w:highlight w:val="none"/>
              </w:rPr>
              <w:t>备</w:t>
            </w:r>
            <w:r>
              <w:rPr>
                <w:rFonts w:ascii="宋体" w:hAnsi="宋体" w:eastAsia="宋体" w:cs="宋体"/>
                <w:color w:val="auto"/>
                <w:kern w:val="0"/>
                <w:sz w:val="15"/>
                <w:szCs w:val="15"/>
                <w:highlight w:val="none"/>
              </w:rPr>
              <w:t>案载明的经营区域</w:t>
            </w:r>
            <w:r>
              <w:rPr>
                <w:rFonts w:hint="eastAsia" w:ascii="宋体" w:hAnsi="宋体" w:eastAsia="宋体" w:cs="宋体"/>
                <w:color w:val="auto"/>
                <w:kern w:val="0"/>
                <w:sz w:val="15"/>
                <w:szCs w:val="15"/>
                <w:highlight w:val="none"/>
              </w:rPr>
              <w:t>和</w:t>
            </w:r>
            <w:r>
              <w:rPr>
                <w:rFonts w:ascii="宋体" w:hAnsi="宋体" w:eastAsia="宋体" w:cs="宋体"/>
                <w:color w:val="auto"/>
                <w:kern w:val="0"/>
                <w:sz w:val="15"/>
                <w:szCs w:val="15"/>
                <w:highlight w:val="none"/>
              </w:rPr>
              <w:t>经营时段的</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食品摊贩用非食品原料生产制作食品（在食品中添加食品添加剂以外的化学物质和</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可能危害人体健康的物质、用回收食品作为原料生产加工食品）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违反条款：第十三条第一项；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4" w:lineRule="exact"/>
              <w:rPr>
                <w:rFonts w:ascii="宋体" w:hAnsi="宋体" w:eastAsia="宋体"/>
                <w:color w:val="auto"/>
                <w:sz w:val="15"/>
                <w:szCs w:val="15"/>
                <w:highlight w:val="none"/>
              </w:rPr>
            </w:pPr>
          </w:p>
        </w:tc>
        <w:tc>
          <w:tcPr>
            <w:tcW w:w="2789" w:type="dxa"/>
            <w:gridSpan w:val="2"/>
            <w:vMerge w:val="continue"/>
            <w:noWrap w:val="0"/>
            <w:vAlign w:val="center"/>
          </w:tcPr>
          <w:p>
            <w:pPr>
              <w:spacing w:line="204"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食品摊贩经营病死、毒死或者死因不明的禽、畜、兽、水产动物肉类或者生产经营其制品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违反条款：第十三条第二项；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食品摊贩经营未按规定进行检疫或者检疫不合格的肉类（未经检验或者检验不合格的肉类制品）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违反条款：第十三条第三项；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4" w:lineRule="exact"/>
              <w:rPr>
                <w:rFonts w:ascii="宋体" w:hAnsi="宋体" w:eastAsia="宋体"/>
                <w:color w:val="auto"/>
                <w:sz w:val="15"/>
                <w:szCs w:val="15"/>
                <w:highlight w:val="none"/>
              </w:rPr>
            </w:pPr>
          </w:p>
        </w:tc>
        <w:tc>
          <w:tcPr>
            <w:tcW w:w="2789" w:type="dxa"/>
            <w:gridSpan w:val="2"/>
            <w:vMerge w:val="continue"/>
            <w:noWrap w:val="0"/>
            <w:vAlign w:val="center"/>
          </w:tcPr>
          <w:p>
            <w:pPr>
              <w:spacing w:line="204"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食品摊贩生产经营国家为防病等特殊需要明令禁止生产经营的食品；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违反条款：第十三条第四项；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食品摊贩违反国家规定在食品中添加药品</w:t>
            </w:r>
          </w:p>
        </w:tc>
        <w:tc>
          <w:tcPr>
            <w:tcW w:w="2789" w:type="dxa"/>
            <w:gridSpan w:val="2"/>
            <w:vMerge w:val="restart"/>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违反条款：第十三条第五项；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20" w:lineRule="exact"/>
              <w:rPr>
                <w:rFonts w:ascii="宋体" w:hAnsi="宋体" w:eastAsia="宋体"/>
                <w:color w:val="auto"/>
                <w:sz w:val="15"/>
                <w:szCs w:val="15"/>
                <w:highlight w:val="none"/>
              </w:rPr>
            </w:pPr>
          </w:p>
        </w:tc>
        <w:tc>
          <w:tcPr>
            <w:tcW w:w="2789" w:type="dxa"/>
            <w:gridSpan w:val="2"/>
            <w:vMerge w:val="continue"/>
            <w:noWrap w:val="0"/>
            <w:vAlign w:val="center"/>
          </w:tcPr>
          <w:p>
            <w:pPr>
              <w:spacing w:line="220"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食品摊贩生产制作致病性微生物，农药残留、兽药残留、生物毒素、重金属等污染物质以及</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危害人体健康的物质含量超过食品安全标准限量的食品</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违反条款：第十三条第六项；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食品摊贩超范围、超限量使用食品添加剂生产制作食品（用超过保质期的食品原料、食品添加剂生产制作食品）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违反条款：第十三条第七项；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食品摊贩生产经营腐败变质、油脂酸败、霉变生虫、污秽不洁、混有异物、掺假掺杂或者感官性状异常的食品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违反条款：第十三条第八项；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食品摊贩标注虚假生产日期、保质期（销售超过保质期的食品）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违反条款：第十三条第九项；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不符合食品安全标准的食品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1.经营</w:t>
            </w:r>
            <w:r>
              <w:rPr>
                <w:rFonts w:ascii="宋体" w:hAnsi="宋体" w:eastAsia="宋体" w:cs="宋体"/>
                <w:color w:val="auto"/>
                <w:kern w:val="0"/>
                <w:sz w:val="15"/>
                <w:szCs w:val="15"/>
                <w:highlight w:val="none"/>
              </w:rPr>
              <w:t>冷荤</w:t>
            </w:r>
            <w:r>
              <w:rPr>
                <w:rFonts w:hint="eastAsia" w:ascii="宋体" w:hAnsi="宋体" w:eastAsia="宋体" w:cs="宋体"/>
                <w:color w:val="auto"/>
                <w:kern w:val="0"/>
                <w:sz w:val="15"/>
                <w:szCs w:val="15"/>
                <w:highlight w:val="none"/>
              </w:rPr>
              <w:t>凉菜</w:t>
            </w:r>
            <w:r>
              <w:rPr>
                <w:rFonts w:ascii="宋体" w:hAnsi="宋体" w:eastAsia="宋体" w:cs="宋体"/>
                <w:color w:val="auto"/>
                <w:kern w:val="0"/>
                <w:sz w:val="15"/>
                <w:szCs w:val="15"/>
                <w:highlight w:val="none"/>
              </w:rPr>
              <w:t>、</w:t>
            </w:r>
            <w:r>
              <w:rPr>
                <w:rFonts w:hint="eastAsia" w:ascii="宋体" w:hAnsi="宋体" w:eastAsia="宋体"/>
                <w:color w:val="auto"/>
                <w:sz w:val="15"/>
                <w:szCs w:val="15"/>
                <w:highlight w:val="none"/>
              </w:rPr>
              <w:t>生食水产品、裱花蛋糕、散装熟食、散装酒的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0.5；</w:t>
            </w:r>
            <w:r>
              <w:rPr>
                <w:rFonts w:ascii="宋体" w:hAnsi="宋体" w:eastAsia="宋体"/>
                <w:color w:val="auto"/>
                <w:sz w:val="15"/>
                <w:szCs w:val="15"/>
                <w:highlight w:val="none"/>
              </w:rPr>
              <w:t>2.</w:t>
            </w:r>
            <w:r>
              <w:rPr>
                <w:rFonts w:hint="eastAsia" w:ascii="宋体" w:hAnsi="宋体" w:eastAsia="宋体"/>
                <w:color w:val="auto"/>
                <w:sz w:val="15"/>
                <w:szCs w:val="15"/>
                <w:highlight w:val="none"/>
              </w:rPr>
              <w:t>经营保健食品、婴幼儿配方食品和特殊医学用途配方食品等特殊食品的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1；3.经营</w:t>
            </w:r>
            <w:r>
              <w:rPr>
                <w:rFonts w:ascii="宋体" w:hAnsi="宋体" w:eastAsia="宋体"/>
                <w:color w:val="auto"/>
                <w:sz w:val="15"/>
                <w:szCs w:val="15"/>
                <w:highlight w:val="none"/>
              </w:rPr>
              <w:t>区人民政府确定的不得经营的类别的，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食品摊贩生产经营被包装材料、容器、运输工具等污染的食品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食品摊贩购进、存放、使用亚硝酸盐等易滥用的食品添加剂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食品摊贩生产经营无标签的预包装食品（标签不符合法律、法规规定的食品）</w:t>
            </w:r>
          </w:p>
        </w:tc>
        <w:tc>
          <w:tcPr>
            <w:tcW w:w="2789"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违反条款：第十三条第十四项；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1.无</w:t>
            </w:r>
            <w:r>
              <w:rPr>
                <w:rFonts w:ascii="宋体" w:hAnsi="宋体" w:eastAsia="宋体" w:cs="宋体"/>
                <w:color w:val="auto"/>
                <w:kern w:val="0"/>
                <w:sz w:val="15"/>
                <w:szCs w:val="15"/>
                <w:highlight w:val="none"/>
              </w:rPr>
              <w:t>标签的预包装食品，</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；2.标签</w:t>
            </w:r>
            <w:r>
              <w:rPr>
                <w:rFonts w:ascii="宋体" w:hAnsi="宋体" w:eastAsia="宋体" w:cs="宋体"/>
                <w:color w:val="auto"/>
                <w:kern w:val="0"/>
                <w:sz w:val="15"/>
                <w:szCs w:val="15"/>
                <w:highlight w:val="none"/>
              </w:rPr>
              <w:t>不符合法律、法规规定的食品，</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0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食品摊贩在生产经营条件发生变化，不再符合法律、法规规定要求的情况下继续生产经营</w:t>
            </w:r>
          </w:p>
        </w:tc>
        <w:tc>
          <w:tcPr>
            <w:tcW w:w="2789"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违反条款：第十三条第十五项；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食品摊贩安排未取得健康证明或者患有国务院卫生健康行政部门规定的有碍食品安全疾病的人员从事接触直接入口食品的工作</w:t>
            </w:r>
          </w:p>
        </w:tc>
        <w:tc>
          <w:tcPr>
            <w:tcW w:w="2789"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违反条款：第十三条第十六项；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7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食品摊贩采购食品、食品原料、食品添加剂、食品相关产品时查验、记录不规范</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5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食品摊贩未对食品添加剂实行专区(柜)存放或没有专用的称量器具</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食品摊贩未在生产经营场所显著位置公示备案证明、从业人员健康证明</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食品摊贩使用食品添加剂的记录、公示不规范</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pPr>
              <w:pStyle w:val="2"/>
              <w:keepNext w:val="0"/>
              <w:keepLines w:val="0"/>
              <w:rPr>
                <w:rFonts w:ascii="黑体" w:hAnsi="黑体" w:eastAsia="黑体"/>
                <w:b w:val="0"/>
                <w:color w:val="auto"/>
                <w:sz w:val="24"/>
                <w:szCs w:val="24"/>
                <w:highlight w:val="none"/>
              </w:rPr>
            </w:pPr>
            <w:bookmarkStart w:id="170" w:name="_Toc110851491"/>
            <w:bookmarkStart w:id="171" w:name="_Toc41635676"/>
            <w:bookmarkStart w:id="172" w:name="_Toc1504621845"/>
            <w:r>
              <w:rPr>
                <w:rFonts w:hint="eastAsia" w:ascii="黑体" w:hAnsi="黑体" w:eastAsia="黑体"/>
                <w:b w:val="0"/>
                <w:color w:val="auto"/>
                <w:sz w:val="28"/>
                <w:szCs w:val="28"/>
                <w:highlight w:val="none"/>
              </w:rPr>
              <w:t>能源运行管理方面</w:t>
            </w:r>
            <w:bookmarkEnd w:id="170"/>
            <w:bookmarkEnd w:id="171"/>
            <w:bookmarkEnd w:id="1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390" w:hRule="atLeast"/>
        </w:trPr>
        <w:tc>
          <w:tcPr>
            <w:tcW w:w="15100" w:type="dxa"/>
            <w:gridSpan w:val="15"/>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煤炭经营管理类案由3</w:t>
            </w:r>
            <w:r>
              <w:rPr>
                <w:rFonts w:ascii="宋体" w:hAnsi="宋体" w:eastAsia="宋体"/>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3" w:name="_Toc110851492"/>
            <w:bookmarkStart w:id="174" w:name="_Toc1482088652"/>
            <w:bookmarkStart w:id="175" w:name="_Toc1348461716"/>
            <w:r>
              <w:rPr>
                <w:rFonts w:hint="eastAsia" w:ascii="宋体" w:hAnsi="宋体" w:eastAsia="宋体"/>
                <w:color w:val="auto"/>
                <w:sz w:val="21"/>
                <w:szCs w:val="21"/>
                <w:highlight w:val="none"/>
              </w:rPr>
              <w:t>《中华人民共和国煤炭法》案由</w:t>
            </w:r>
            <w:r>
              <w:rPr>
                <w:rFonts w:ascii="宋体" w:hAnsi="宋体" w:eastAsia="宋体"/>
                <w:color w:val="auto"/>
                <w:sz w:val="21"/>
                <w:szCs w:val="21"/>
                <w:highlight w:val="none"/>
              </w:rPr>
              <w:t>3</w:t>
            </w:r>
            <w:r>
              <w:rPr>
                <w:rFonts w:hint="eastAsia" w:ascii="宋体" w:hAnsi="宋体" w:eastAsia="宋体"/>
                <w:color w:val="auto"/>
                <w:sz w:val="21"/>
                <w:szCs w:val="21"/>
                <w:highlight w:val="none"/>
              </w:rPr>
              <w:t>项</w:t>
            </w:r>
            <w:bookmarkEnd w:id="173"/>
            <w:bookmarkEnd w:id="174"/>
            <w:bookmarkEnd w:id="1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18"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擅自开采保安煤柱或者采用危及相邻煤矿生产安全的危险方法采矿作业</w:t>
            </w:r>
          </w:p>
        </w:tc>
        <w:tc>
          <w:tcPr>
            <w:tcW w:w="2789" w:type="dxa"/>
            <w:gridSpan w:val="2"/>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897" w:type="dxa"/>
            <w:gridSpan w:val="2"/>
            <w:shd w:val="clear" w:color="auto" w:fill="FFFFFF"/>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66"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未经批准或者未采取安全措施在煤矿采区范围内进行危及煤矿安全的作业</w:t>
            </w:r>
          </w:p>
        </w:tc>
        <w:tc>
          <w:tcPr>
            <w:tcW w:w="2789" w:type="dxa"/>
            <w:gridSpan w:val="2"/>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额度处罚的</w:t>
            </w:r>
            <w:r>
              <w:rPr>
                <w:rFonts w:hint="eastAsia" w:ascii="宋体" w:hAnsi="宋体" w:eastAsia="宋体" w:cs="宋体"/>
                <w:color w:val="auto"/>
                <w:kern w:val="0"/>
                <w:sz w:val="15"/>
                <w:szCs w:val="15"/>
                <w:highlight w:val="none"/>
              </w:rPr>
              <w:t>，报案审会讨论决定。</w:t>
            </w:r>
          </w:p>
        </w:tc>
        <w:tc>
          <w:tcPr>
            <w:tcW w:w="897" w:type="dxa"/>
            <w:gridSpan w:val="2"/>
            <w:shd w:val="clear" w:color="auto" w:fill="FFFFFF"/>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065"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在煤炭产品中掺杂、掺假，以次充好</w:t>
            </w:r>
          </w:p>
        </w:tc>
        <w:tc>
          <w:tcPr>
            <w:tcW w:w="2789" w:type="dxa"/>
            <w:gridSpan w:val="2"/>
            <w:shd w:val="clear" w:color="auto" w:fill="FFFFFF"/>
            <w:noWrap w:val="0"/>
            <w:vAlign w:val="center"/>
          </w:tcPr>
          <w:p>
            <w:pPr>
              <w:spacing w:line="232" w:lineRule="exact"/>
              <w:ind w:right="315" w:rightChars="150"/>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造成严重后果或者社会恶劣影响的，系数4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23" w:hRule="atLeast"/>
        </w:trPr>
        <w:tc>
          <w:tcPr>
            <w:tcW w:w="15100" w:type="dxa"/>
            <w:gridSpan w:val="15"/>
            <w:tcBorders>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tcBorders>
              <w:bottom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6" w:name="_Toc1932982768"/>
            <w:bookmarkStart w:id="177" w:name="_Toc110851493"/>
            <w:bookmarkStart w:id="178" w:name="_Toc1648962120"/>
            <w:r>
              <w:rPr>
                <w:rFonts w:hint="eastAsia" w:ascii="宋体" w:hAnsi="宋体" w:eastAsia="宋体"/>
                <w:color w:val="auto"/>
                <w:sz w:val="21"/>
                <w:szCs w:val="21"/>
                <w:highlight w:val="none"/>
              </w:rPr>
              <w:t>《中华人民共和国可再生能源法》案由2项</w:t>
            </w:r>
            <w:bookmarkEnd w:id="176"/>
            <w:bookmarkEnd w:id="177"/>
            <w:bookmarkEnd w:id="1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92"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经营燃气管网、热力管网的企业不准许符合入网技术标准的燃气、热力入网</w:t>
            </w:r>
          </w:p>
        </w:tc>
        <w:tc>
          <w:tcPr>
            <w:tcW w:w="2789" w:type="dxa"/>
            <w:gridSpan w:val="2"/>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93"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石油销售企业未按照规定将符合国家标准的生物液体燃料纳入其燃料销售体系</w:t>
            </w:r>
          </w:p>
        </w:tc>
        <w:tc>
          <w:tcPr>
            <w:tcW w:w="2789" w:type="dxa"/>
            <w:gridSpan w:val="2"/>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358" w:hRule="atLeast"/>
        </w:trPr>
        <w:tc>
          <w:tcPr>
            <w:tcW w:w="15100" w:type="dxa"/>
            <w:gridSpan w:val="15"/>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21"/>
                <w:szCs w:val="21"/>
                <w:highlight w:val="none"/>
              </w:rPr>
            </w:pPr>
            <w:bookmarkStart w:id="179" w:name="_Toc1927206402"/>
            <w:bookmarkStart w:id="180" w:name="_Toc2142516953"/>
            <w:bookmarkStart w:id="181" w:name="_Toc110851494"/>
            <w:r>
              <w:rPr>
                <w:rFonts w:hint="eastAsia" w:ascii="宋体" w:hAnsi="宋体" w:eastAsia="宋体"/>
                <w:color w:val="auto"/>
                <w:sz w:val="21"/>
                <w:szCs w:val="21"/>
                <w:highlight w:val="none"/>
              </w:rPr>
              <w:t>《中华人民共和国电力法》《电力供应与使用条例》案由</w:t>
            </w:r>
            <w:r>
              <w:rPr>
                <w:rFonts w:ascii="宋体" w:hAnsi="宋体" w:eastAsia="宋体"/>
                <w:color w:val="auto"/>
                <w:sz w:val="21"/>
                <w:szCs w:val="21"/>
                <w:highlight w:val="none"/>
              </w:rPr>
              <w:t>6</w:t>
            </w:r>
            <w:r>
              <w:rPr>
                <w:rFonts w:hint="eastAsia" w:ascii="宋体" w:hAnsi="宋体" w:eastAsia="宋体"/>
                <w:color w:val="auto"/>
                <w:sz w:val="21"/>
                <w:szCs w:val="21"/>
                <w:highlight w:val="none"/>
              </w:rPr>
              <w:t>项</w:t>
            </w:r>
            <w:bookmarkEnd w:id="179"/>
            <w:bookmarkEnd w:id="180"/>
            <w:bookmarkEnd w:id="1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01" w:hRule="atLeast"/>
        </w:trPr>
        <w:tc>
          <w:tcPr>
            <w:tcW w:w="610" w:type="dxa"/>
            <w:vMerge w:val="restart"/>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电力建设项目使用国家明令淘汰的电力设备和技术</w:t>
            </w:r>
          </w:p>
        </w:tc>
        <w:tc>
          <w:tcPr>
            <w:tcW w:w="2789"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FFFFFF"/>
            <w:noWrap w:val="0"/>
            <w:vAlign w:val="center"/>
          </w:tcPr>
          <w:p>
            <w:pPr>
              <w:autoSpaceDE w:val="0"/>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1.存在较大安全隐患的，系数2-3；2.发生安全事故的，系数4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w:t>
            </w: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，报案审会讨论决定。</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546" w:hRule="atLeast"/>
        </w:trPr>
        <w:tc>
          <w:tcPr>
            <w:tcW w:w="610" w:type="dxa"/>
            <w:vMerge w:val="continue"/>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830" w:type="dxa"/>
            <w:gridSpan w:val="3"/>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FFFFFF"/>
            <w:noWrap w:val="0"/>
            <w:vAlign w:val="center"/>
          </w:tcPr>
          <w:p>
            <w:pPr>
              <w:spacing w:line="232" w:lineRule="exact"/>
              <w:ind w:left="6" w:hanging="21"/>
              <w:rPr>
                <w:rFonts w:hint="eastAsia" w:ascii="宋体" w:hAnsi="宋体" w:eastAsia="宋体" w:cs="宋体"/>
                <w:strike/>
                <w:dstrike w:val="0"/>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依据应急管理部门的裁量权基准执行。</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对违法行为，适用《中华人民共和国电力法》处罚。逾期未改正的，应另行立案，适用《中华人民共和国安全生产法》“逾期未改正”情形处罚。</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40" w:hRule="atLeast"/>
        </w:trPr>
        <w:tc>
          <w:tcPr>
            <w:tcW w:w="610"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未经许可从事供电或者变更供电营业区</w:t>
            </w:r>
          </w:p>
        </w:tc>
        <w:tc>
          <w:tcPr>
            <w:tcW w:w="2789"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noWrap w:val="0"/>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shd w:val="clear" w:color="auto" w:fill="FFFFFF"/>
            <w:noWrap w:val="0"/>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未经许可从事电力供应业务，系数2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79"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供电营业机构拒绝供电</w:t>
            </w:r>
          </w:p>
        </w:tc>
        <w:tc>
          <w:tcPr>
            <w:tcW w:w="2789" w:type="dxa"/>
            <w:gridSpan w:val="2"/>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违反条款：《中华人民共和国电力法》第二十六条第一款；处罚条款：第六十四条，责令改正，给予警告。</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90"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供电企业中断供电</w:t>
            </w:r>
          </w:p>
        </w:tc>
        <w:tc>
          <w:tcPr>
            <w:tcW w:w="2789" w:type="dxa"/>
            <w:gridSpan w:val="2"/>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违反条款：《中华人民共和国电力法》第二十九条第一款；处罚条款：第六十四条，责令改正，给予警告。</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390"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用户危害供电用电安全或者扰乱供电用电秩序</w:t>
            </w:r>
          </w:p>
        </w:tc>
        <w:tc>
          <w:tcPr>
            <w:tcW w:w="2789" w:type="dxa"/>
            <w:gridSpan w:val="2"/>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w:t>
            </w:r>
          </w:p>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可参照《供用电监督管理办法》第</w:t>
            </w:r>
            <w:r>
              <w:rPr>
                <w:rFonts w:hint="eastAsia" w:ascii="宋体" w:hAnsi="宋体" w:eastAsia="宋体"/>
                <w:color w:val="auto"/>
                <w:sz w:val="15"/>
                <w:szCs w:val="15"/>
                <w:highlight w:val="none"/>
                <w:lang w:eastAsia="zh-CN"/>
              </w:rPr>
              <w:t>十九</w:t>
            </w:r>
            <w:r>
              <w:rPr>
                <w:rFonts w:hint="eastAsia" w:ascii="宋体" w:hAnsi="宋体" w:eastAsia="宋体"/>
                <w:color w:val="auto"/>
                <w:sz w:val="15"/>
                <w:szCs w:val="15"/>
                <w:highlight w:val="none"/>
              </w:rPr>
              <w:t>条相关规定。</w:t>
            </w:r>
          </w:p>
        </w:tc>
        <w:tc>
          <w:tcPr>
            <w:tcW w:w="897"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47" w:hRule="atLeast"/>
        </w:trPr>
        <w:tc>
          <w:tcPr>
            <w:tcW w:w="610" w:type="dxa"/>
            <w:vMerge w:val="restart"/>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830" w:type="dxa"/>
            <w:gridSpan w:val="3"/>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盗窃电能</w:t>
            </w:r>
          </w:p>
        </w:tc>
        <w:tc>
          <w:tcPr>
            <w:tcW w:w="2789"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应交电费</w:t>
            </w:r>
          </w:p>
        </w:tc>
        <w:tc>
          <w:tcPr>
            <w:tcW w:w="840" w:type="dxa"/>
            <w:vMerge w:val="restart"/>
            <w:shd w:val="clear" w:color="auto" w:fill="FFFFFF"/>
            <w:noWrap w:val="0"/>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1.造成电能损失较大或者供电设施、用电计量装置等损坏的，系数2-3；2.造成电能损失严重或者供用电事故的，系数4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罚款数额＝应交电费×（1＋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罚款数额不超过应交电费五倍。</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构成犯罪的，依法追究刑事责任。</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72" w:hRule="atLeast"/>
        </w:trPr>
        <w:tc>
          <w:tcPr>
            <w:tcW w:w="610" w:type="dxa"/>
            <w:vMerge w:val="continue"/>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830" w:type="dxa"/>
            <w:gridSpan w:val="3"/>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2789" w:type="dxa"/>
            <w:gridSpan w:val="2"/>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违反条款：《电力供应与使用条例》第三十一条第（一）（二）（三）（四）（五）（六）项；处罚条款：第四十一条，责令停止违法行为，追缴电费并处应交电费</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倍以下的罚款。</w:t>
            </w:r>
          </w:p>
        </w:tc>
        <w:tc>
          <w:tcPr>
            <w:tcW w:w="851" w:type="dxa"/>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840" w:type="dxa"/>
            <w:vMerge w:val="continue"/>
            <w:shd w:val="clear" w:color="auto" w:fill="FFFFFF"/>
            <w:noWrap w:val="0"/>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p>
        </w:tc>
        <w:tc>
          <w:tcPr>
            <w:tcW w:w="3426" w:type="dxa"/>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875" w:type="dxa"/>
            <w:gridSpan w:val="2"/>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982" w:type="dxa"/>
            <w:gridSpan w:val="2"/>
            <w:vMerge w:val="continue"/>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p>
        </w:tc>
        <w:tc>
          <w:tcPr>
            <w:tcW w:w="897"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12" w:hRule="atLeast"/>
        </w:trPr>
        <w:tc>
          <w:tcPr>
            <w:tcW w:w="15100" w:type="dxa"/>
            <w:gridSpan w:val="15"/>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15"/>
                <w:szCs w:val="15"/>
                <w:highlight w:val="none"/>
              </w:rPr>
            </w:pPr>
            <w:bookmarkStart w:id="182" w:name="_Toc409668775"/>
            <w:bookmarkStart w:id="183" w:name="_Toc110851495"/>
            <w:bookmarkStart w:id="184" w:name="_Toc1957387123"/>
            <w:r>
              <w:rPr>
                <w:rFonts w:hint="eastAsia" w:ascii="宋体" w:hAnsi="宋体" w:eastAsia="宋体"/>
                <w:color w:val="auto"/>
                <w:sz w:val="21"/>
                <w:szCs w:val="21"/>
                <w:highlight w:val="none"/>
              </w:rPr>
              <w:t>《电力设施保护条例》《电力设施保护条例实施细则》案由5项</w:t>
            </w:r>
            <w:bookmarkEnd w:id="182"/>
            <w:bookmarkEnd w:id="183"/>
            <w:bookmarkEnd w:id="1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90"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p>
        </w:tc>
        <w:tc>
          <w:tcPr>
            <w:tcW w:w="1830" w:type="dxa"/>
            <w:gridSpan w:val="3"/>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危害发电设施、变电设施</w:t>
            </w:r>
          </w:p>
        </w:tc>
        <w:tc>
          <w:tcPr>
            <w:tcW w:w="2789"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违反条款：《电力设施保护条例》第十三条第（一）（二）（三）（四）（五）项；</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万元以下的罚款。</w:t>
            </w:r>
          </w:p>
        </w:tc>
        <w:tc>
          <w:tcPr>
            <w:tcW w:w="851" w:type="dxa"/>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49"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p>
        </w:tc>
        <w:tc>
          <w:tcPr>
            <w:tcW w:w="1830" w:type="dxa"/>
            <w:gridSpan w:val="3"/>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危害电力线路设施</w:t>
            </w:r>
          </w:p>
        </w:tc>
        <w:tc>
          <w:tcPr>
            <w:tcW w:w="2789"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违反条款：《电力设施保护条例》第十四条第（一）（二）（三）（四）（五）（六）（七）（八）（九）（十）（十一）项；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处罚条款：第二十七条，责令改正；拒不改正的，处1万元以下的罚款。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restart"/>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pStyle w:val="22"/>
              <w:ind w:left="0" w:leftChars="0" w:firstLine="0" w:firstLineChars="0"/>
              <w:rPr>
                <w:color w:val="auto"/>
                <w:highlight w:val="none"/>
              </w:rPr>
            </w:pP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99"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3</w:t>
            </w:r>
          </w:p>
        </w:tc>
        <w:tc>
          <w:tcPr>
            <w:tcW w:w="1830" w:type="dxa"/>
            <w:gridSpan w:val="3"/>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损坏使用中的杆塔基础</w:t>
            </w:r>
          </w:p>
        </w:tc>
        <w:tc>
          <w:tcPr>
            <w:tcW w:w="2789"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1.造成电能损失较大或者设施损坏的，系数2-3；2.造成事故的，系数4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continue"/>
            <w:shd w:val="clear" w:color="auto" w:fill="FFFFFF"/>
            <w:noWrap w:val="0"/>
            <w:vAlign w:val="center"/>
          </w:tcPr>
          <w:p>
            <w:pPr>
              <w:autoSpaceDE w:val="0"/>
              <w:spacing w:line="232" w:lineRule="exact"/>
              <w:rPr>
                <w:rFonts w:ascii="宋体" w:hAnsi="宋体" w:eastAsia="宋体"/>
                <w:color w:val="auto"/>
                <w:sz w:val="15"/>
                <w:szCs w:val="15"/>
                <w:highlight w:val="none"/>
              </w:rPr>
            </w:pP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43"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4</w:t>
            </w:r>
          </w:p>
        </w:tc>
        <w:tc>
          <w:tcPr>
            <w:tcW w:w="1830" w:type="dxa"/>
            <w:gridSpan w:val="3"/>
            <w:tcBorders>
              <w:bottom w:val="single" w:color="auto" w:sz="4" w:space="0"/>
            </w:tcBorders>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损坏、拆卸、盗窃使用中或备用塔材、导线等电力设施</w:t>
            </w:r>
          </w:p>
        </w:tc>
        <w:tc>
          <w:tcPr>
            <w:tcW w:w="2789"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bottom w:val="single" w:color="auto" w:sz="4" w:space="0"/>
            </w:tcBorders>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1.损坏、拆卸、盗窃使用中的塔材、导线等电力设施或者造成电能损失较大的，系数2-3；2.造成事故的，系数4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continue"/>
            <w:shd w:val="clear" w:color="auto" w:fill="FFFFFF"/>
            <w:noWrap w:val="0"/>
            <w:vAlign w:val="center"/>
          </w:tcPr>
          <w:p>
            <w:pPr>
              <w:autoSpaceDE w:val="0"/>
              <w:spacing w:line="232" w:lineRule="exact"/>
              <w:rPr>
                <w:rFonts w:ascii="宋体" w:hAnsi="宋体" w:eastAsia="宋体"/>
                <w:color w:val="auto"/>
                <w:sz w:val="15"/>
                <w:szCs w:val="15"/>
                <w:highlight w:val="none"/>
              </w:rPr>
            </w:pP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91"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5</w:t>
            </w:r>
          </w:p>
        </w:tc>
        <w:tc>
          <w:tcPr>
            <w:tcW w:w="1830" w:type="dxa"/>
            <w:gridSpan w:val="3"/>
            <w:tcBorders>
              <w:bottom w:val="single" w:color="auto" w:sz="4" w:space="0"/>
            </w:tcBorders>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拆卸、盗窃使用中或备用变压器等电力设备</w:t>
            </w:r>
          </w:p>
        </w:tc>
        <w:tc>
          <w:tcPr>
            <w:tcW w:w="2789" w:type="dxa"/>
            <w:gridSpan w:val="2"/>
            <w:tcBorders>
              <w:bottom w:val="single" w:color="auto" w:sz="4" w:space="0"/>
            </w:tcBorders>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bottom w:val="single" w:color="auto" w:sz="4" w:space="0"/>
            </w:tcBorders>
            <w:shd w:val="clear" w:color="auto" w:fill="FFFFFF"/>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1.拆卸、盗窃使用中变压器等电力设备或者造成电能损失较大的，系数2-3；2.造成事故的，系数4。</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bottom w:val="single" w:color="auto" w:sz="4" w:space="0"/>
            </w:tcBorders>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tcBorders>
              <w:bottom w:val="single" w:color="auto" w:sz="4" w:space="0"/>
            </w:tcBorders>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76" w:hRule="atLeast"/>
        </w:trPr>
        <w:tc>
          <w:tcPr>
            <w:tcW w:w="15100" w:type="dxa"/>
            <w:gridSpan w:val="15"/>
            <w:tcBorders>
              <w:bottom w:val="single" w:color="auto" w:sz="4" w:space="0"/>
            </w:tcBorders>
            <w:shd w:val="clear" w:color="auto" w:fill="FFFFFF"/>
            <w:noWrap w:val="0"/>
            <w:vAlign w:val="center"/>
          </w:tcPr>
          <w:p>
            <w:pPr>
              <w:pStyle w:val="3"/>
              <w:bidi w:val="0"/>
              <w:jc w:val="center"/>
              <w:rPr>
                <w:rFonts w:hint="default"/>
                <w:color w:val="auto"/>
                <w:highlight w:val="none"/>
                <w:lang w:val="en-US" w:eastAsia="zh-CN"/>
              </w:rPr>
            </w:pPr>
            <w:bookmarkStart w:id="185" w:name="_Toc446730806"/>
            <w:r>
              <w:rPr>
                <w:rFonts w:hint="eastAsia"/>
                <w:color w:val="auto"/>
                <w:sz w:val="21"/>
                <w:szCs w:val="21"/>
                <w:highlight w:val="none"/>
                <w:lang w:val="en-US" w:eastAsia="zh-CN"/>
              </w:rPr>
              <w:t>《北京市优化营商环境条例》案由1项</w:t>
            </w:r>
            <w:bookmarkEnd w:id="1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198" w:hRule="atLeast"/>
        </w:trPr>
        <w:tc>
          <w:tcPr>
            <w:tcW w:w="610" w:type="dxa"/>
            <w:tcBorders>
              <w:bottom w:val="single" w:color="auto" w:sz="4" w:space="0"/>
            </w:tcBorders>
            <w:shd w:val="clear" w:color="auto" w:fill="FFFFFF"/>
            <w:noWrap w:val="0"/>
            <w:vAlign w:val="center"/>
          </w:tcPr>
          <w:p>
            <w:pPr>
              <w:pStyle w:val="8"/>
              <w:jc w:val="center"/>
              <w:rPr>
                <w:rFonts w:hint="eastAsia" w:eastAsia="仿宋_GB2312"/>
                <w:color w:val="auto"/>
                <w:sz w:val="15"/>
                <w:szCs w:val="15"/>
                <w:highlight w:val="none"/>
                <w:lang w:val="en-US" w:eastAsia="zh-CN"/>
              </w:rPr>
            </w:pPr>
            <w:r>
              <w:rPr>
                <w:rFonts w:hint="eastAsia"/>
                <w:color w:val="auto"/>
                <w:sz w:val="15"/>
                <w:szCs w:val="15"/>
                <w:highlight w:val="none"/>
                <w:lang w:val="en-US" w:eastAsia="zh-CN"/>
              </w:rPr>
              <w:t>1</w:t>
            </w:r>
          </w:p>
        </w:tc>
        <w:tc>
          <w:tcPr>
            <w:tcW w:w="1830" w:type="dxa"/>
            <w:gridSpan w:val="3"/>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供电企业年供电可靠率低于国家有关规定</w:t>
            </w:r>
          </w:p>
        </w:tc>
        <w:tc>
          <w:tcPr>
            <w:tcW w:w="2789" w:type="dxa"/>
            <w:gridSpan w:val="2"/>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w:t>
            </w:r>
            <w:r>
              <w:rPr>
                <w:rStyle w:val="62"/>
                <w:rFonts w:hint="eastAsia" w:ascii="宋体" w:hAnsi="宋体" w:eastAsia="宋体" w:cs="宋体"/>
                <w:color w:val="auto"/>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851" w:type="dxa"/>
            <w:tcBorders>
              <w:bottom w:val="single" w:color="auto" w:sz="4" w:space="0"/>
            </w:tcBorders>
            <w:shd w:val="clear" w:color="auto" w:fill="FFFFFF"/>
            <w:noWrap w:val="0"/>
            <w:vAlign w:val="center"/>
          </w:tcPr>
          <w:p>
            <w:pPr>
              <w:spacing w:line="232" w:lineRule="exact"/>
              <w:jc w:val="center"/>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s="宋体"/>
                <w:strike w:val="0"/>
                <w:dstrike w:val="0"/>
                <w:color w:val="auto"/>
                <w:sz w:val="15"/>
                <w:szCs w:val="15"/>
                <w:highlight w:val="none"/>
                <w:lang w:val="en-US" w:eastAsia="zh-CN"/>
              </w:rPr>
              <w:t>50000</w:t>
            </w:r>
          </w:p>
        </w:tc>
        <w:tc>
          <w:tcPr>
            <w:tcW w:w="840" w:type="dxa"/>
            <w:tcBorders>
              <w:bottom w:val="single" w:color="auto" w:sz="4" w:space="0"/>
            </w:tcBorders>
            <w:shd w:val="clear" w:color="auto" w:fill="FFFFFF"/>
            <w:noWrap w:val="0"/>
            <w:vAlign w:val="center"/>
          </w:tcPr>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3426" w:type="dxa"/>
            <w:tcBorders>
              <w:bottom w:val="single" w:color="auto" w:sz="4" w:space="0"/>
            </w:tcBorders>
            <w:shd w:val="clear" w:color="auto" w:fill="FFFFFF"/>
            <w:noWrap w:val="0"/>
            <w:vAlign w:val="center"/>
          </w:tcPr>
          <w:p>
            <w:pPr>
              <w:numPr>
                <w:ilvl w:val="0"/>
                <w:numId w:val="0"/>
              </w:numPr>
              <w:spacing w:line="232" w:lineRule="exact"/>
              <w:rPr>
                <w:rFonts w:hint="default" w:ascii="宋体" w:hAnsi="宋体" w:eastAsia="宋体" w:cs="宋体"/>
                <w:strike w:val="0"/>
                <w:dstrike w:val="0"/>
                <w:color w:val="auto"/>
                <w:sz w:val="15"/>
                <w:szCs w:val="15"/>
                <w:highlight w:val="none"/>
                <w:lang w:val="en-US" w:eastAsia="zh-CN"/>
              </w:rPr>
            </w:pPr>
            <w:r>
              <w:rPr>
                <w:rFonts w:hint="default" w:ascii="宋体" w:hAnsi="宋体" w:eastAsia="宋体" w:cs="宋体"/>
                <w:strike w:val="0"/>
                <w:dstrike w:val="0"/>
                <w:color w:val="auto"/>
                <w:sz w:val="15"/>
                <w:szCs w:val="15"/>
                <w:highlight w:val="none"/>
                <w:lang w:val="en-US"/>
              </w:rPr>
              <w:t>1.</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在</w:t>
            </w:r>
            <w:r>
              <w:rPr>
                <w:rFonts w:hint="eastAsia" w:ascii="宋体" w:hAnsi="宋体" w:eastAsia="宋体" w:cs="宋体"/>
                <w:strike w:val="0"/>
                <w:dstrike w:val="0"/>
                <w:color w:val="auto"/>
                <w:sz w:val="15"/>
                <w:szCs w:val="15"/>
                <w:highlight w:val="none"/>
                <w:lang w:val="en-US" w:eastAsia="zh-CN"/>
              </w:rPr>
              <w:t>99%-98.8%（不含99%）的，系数0；98.8%-98.6%（不含98.8%）的，系数1；98.6%-98.4%（不含98.6%）的，系数2；98.4%-98.2%（不含98.4%）的，系数3；98.2%-98%（不含98.2%）的，系数4；98%-97.8%（不含98%）的，系数5；以此类推，</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低于</w:t>
            </w:r>
            <w:r>
              <w:rPr>
                <w:rFonts w:hint="eastAsia" w:ascii="宋体" w:hAnsi="宋体" w:eastAsia="宋体" w:cs="宋体"/>
                <w:strike w:val="0"/>
                <w:dstrike w:val="0"/>
                <w:color w:val="auto"/>
                <w:sz w:val="15"/>
                <w:szCs w:val="15"/>
                <w:highlight w:val="none"/>
                <w:lang w:val="en-US" w:eastAsia="zh-CN"/>
              </w:rPr>
              <w:t>97.2%的，系数9。</w:t>
            </w:r>
          </w:p>
          <w:p>
            <w:pPr>
              <w:spacing w:line="232" w:lineRule="exact"/>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1875" w:type="dxa"/>
            <w:gridSpan w:val="2"/>
            <w:tcBorders>
              <w:bottom w:val="single" w:color="auto" w:sz="4" w:space="0"/>
            </w:tcBorders>
            <w:shd w:val="clear" w:color="auto" w:fill="FFFFFF"/>
            <w:noWrap w:val="0"/>
            <w:vAlign w:val="center"/>
          </w:tcPr>
          <w:p>
            <w:pPr>
              <w:spacing w:line="232" w:lineRule="exact"/>
              <w:rPr>
                <w:rFonts w:hint="eastAsia"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bottom w:val="single" w:color="auto" w:sz="4" w:space="0"/>
            </w:tcBorders>
            <w:shd w:val="clear" w:color="auto" w:fill="FFFFFF"/>
            <w:noWrap w:val="0"/>
            <w:vAlign w:val="center"/>
          </w:tcPr>
          <w:p>
            <w:pPr>
              <w:keepNext w:val="0"/>
              <w:keepLines w:val="0"/>
              <w:pageBreakBefore w:val="0"/>
              <w:kinsoku/>
              <w:wordWrap/>
              <w:overflowPunct/>
              <w:topLinePunct w:val="0"/>
              <w:autoSpaceDE w:val="0"/>
              <w:autoSpaceDN/>
              <w:bidi w:val="0"/>
              <w:adjustRightInd/>
              <w:snapToGrid/>
              <w:spacing w:line="0" w:lineRule="atLeast"/>
              <w:textAlignment w:val="auto"/>
              <w:rPr>
                <w:rFonts w:hint="eastAsia" w:ascii="宋体" w:hAnsi="宋体" w:eastAsia="宋体"/>
                <w:color w:val="auto"/>
                <w:sz w:val="15"/>
                <w:szCs w:val="15"/>
                <w:highlight w:val="none"/>
              </w:rPr>
            </w:pPr>
          </w:p>
        </w:tc>
        <w:tc>
          <w:tcPr>
            <w:tcW w:w="897" w:type="dxa"/>
            <w:gridSpan w:val="2"/>
            <w:tcBorders>
              <w:bottom w:val="single" w:color="auto" w:sz="4" w:space="0"/>
            </w:tcBorders>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eastAsia="宋体"/>
                <w:b/>
                <w:strike w:val="0"/>
                <w:dstrike w:val="0"/>
                <w:color w:val="auto"/>
                <w:kern w:val="0"/>
                <w:sz w:val="21"/>
                <w:szCs w:val="21"/>
                <w:highlight w:val="none"/>
              </w:rPr>
            </w:pPr>
            <w:r>
              <w:rPr>
                <w:rFonts w:hint="eastAsia" w:ascii="宋体" w:hAnsi="宋体" w:eastAsia="宋体"/>
                <w:b/>
                <w:strike w:val="0"/>
                <w:dstrike w:val="0"/>
                <w:color w:val="auto"/>
                <w:kern w:val="0"/>
                <w:sz w:val="21"/>
                <w:szCs w:val="21"/>
                <w:highlight w:val="none"/>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宋体" w:hAnsi="宋体" w:eastAsia="宋体"/>
                <w:strike w:val="0"/>
                <w:dstrike w:val="0"/>
                <w:color w:val="auto"/>
                <w:sz w:val="21"/>
                <w:szCs w:val="21"/>
                <w:highlight w:val="none"/>
              </w:rPr>
            </w:pPr>
            <w:bookmarkStart w:id="186" w:name="_Toc110851497"/>
            <w:bookmarkStart w:id="187" w:name="_Toc1490732698"/>
            <w:r>
              <w:rPr>
                <w:rFonts w:hint="eastAsia" w:ascii="宋体" w:hAnsi="宋体" w:eastAsia="宋体"/>
                <w:strike w:val="0"/>
                <w:dstrike w:val="0"/>
                <w:color w:val="auto"/>
                <w:sz w:val="21"/>
                <w:szCs w:val="21"/>
                <w:highlight w:val="none"/>
              </w:rPr>
              <w:t>《中华人民共和国石油天然气管道保护法》</w:t>
            </w:r>
            <w:bookmarkEnd w:id="186"/>
            <w:bookmarkEnd w:id="187"/>
            <w:bookmarkStart w:id="188" w:name="_Toc110851498"/>
            <w:bookmarkStart w:id="189" w:name="_Toc63324556"/>
            <w:r>
              <w:rPr>
                <w:rFonts w:hint="eastAsia" w:ascii="宋体" w:hAnsi="宋体" w:eastAsia="宋体"/>
                <w:strike w:val="0"/>
                <w:dstrike w:val="0"/>
                <w:color w:val="auto"/>
                <w:sz w:val="21"/>
                <w:szCs w:val="21"/>
                <w:highlight w:val="none"/>
              </w:rPr>
              <w:t>案由22项</w:t>
            </w:r>
            <w:bookmarkEnd w:id="188"/>
            <w:bookmarkEnd w:id="189"/>
            <w:r>
              <w:rPr>
                <w:rFonts w:hint="eastAsia" w:ascii="宋体" w:hAnsi="宋体" w:eastAsia="宋体"/>
                <w:strike w:val="0"/>
                <w:dstrike w:val="0"/>
                <w:color w:val="auto"/>
                <w:sz w:val="21"/>
                <w:szCs w:val="21"/>
                <w:highlight w:val="none"/>
                <w:lang w:val="en-US" w:eastAsia="zh-CN"/>
              </w:rPr>
              <w:t xml:space="preserve">                                             </w:t>
            </w:r>
            <w:r>
              <w:rPr>
                <w:rFonts w:hint="eastAsia" w:ascii="宋体" w:hAnsi="宋体" w:eastAsia="宋体"/>
                <w:strike w:val="0"/>
                <w:dstrike w:val="0"/>
                <w:color w:val="auto"/>
                <w:sz w:val="21"/>
                <w:szCs w:val="21"/>
                <w:highlight w:val="none"/>
              </w:rPr>
              <w:t>（注：不含东城、西城</w:t>
            </w:r>
            <w:r>
              <w:rPr>
                <w:rFonts w:hint="eastAsia" w:ascii="宋体" w:hAnsi="宋体" w:eastAsia="宋体"/>
                <w:strike w:val="0"/>
                <w:dstrike w:val="0"/>
                <w:color w:val="auto"/>
                <w:sz w:val="21"/>
                <w:szCs w:val="21"/>
                <w:highlight w:val="none"/>
                <w:lang w:eastAsia="zh-CN"/>
              </w:rPr>
              <w:t>、朝阳</w:t>
            </w:r>
            <w:r>
              <w:rPr>
                <w:rFonts w:hint="eastAsia" w:ascii="宋体" w:hAnsi="宋体" w:eastAsia="宋体"/>
                <w:strike w:val="0"/>
                <w:dstrike w:val="0"/>
                <w:color w:val="auto"/>
                <w:sz w:val="21"/>
                <w:szCs w:val="21"/>
                <w:highlight w:val="none"/>
              </w:rPr>
              <w:t>、天安门</w:t>
            </w:r>
            <w:r>
              <w:rPr>
                <w:rFonts w:hint="eastAsia" w:ascii="宋体" w:hAnsi="宋体" w:eastAsia="宋体"/>
                <w:strike w:val="0"/>
                <w:dstrike w:val="0"/>
                <w:color w:val="auto"/>
                <w:sz w:val="21"/>
                <w:szCs w:val="21"/>
                <w:highlight w:val="none"/>
                <w:lang w:eastAsia="zh-CN"/>
              </w:rPr>
              <w:t>、重点站区</w:t>
            </w:r>
            <w:r>
              <w:rPr>
                <w:rFonts w:hint="eastAsia" w:ascii="宋体" w:hAnsi="宋体" w:eastAsia="宋体"/>
                <w:strike w:val="0"/>
                <w:dstrike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891" w:hRule="atLeast"/>
        </w:trPr>
        <w:tc>
          <w:tcPr>
            <w:tcW w:w="610" w:type="dxa"/>
            <w:shd w:val="clear" w:color="auto" w:fill="FFFFFF"/>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830" w:type="dxa"/>
            <w:gridSpan w:val="3"/>
            <w:shd w:val="clear" w:color="auto" w:fill="FFFFFF"/>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未依法对管道进行巡护、检测和维修</w:t>
            </w:r>
          </w:p>
        </w:tc>
        <w:tc>
          <w:tcPr>
            <w:tcW w:w="2789" w:type="dxa"/>
            <w:gridSpan w:val="2"/>
            <w:shd w:val="clear" w:color="auto" w:fill="auto"/>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20000</w:t>
            </w:r>
          </w:p>
        </w:tc>
        <w:tc>
          <w:tcPr>
            <w:tcW w:w="840" w:type="dxa"/>
            <w:shd w:val="clear" w:color="auto" w:fill="auto"/>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3426" w:type="dxa"/>
            <w:shd w:val="clear" w:color="auto" w:fill="auto"/>
            <w:noWrap w:val="0"/>
            <w:vAlign w:val="center"/>
          </w:tcPr>
          <w:p>
            <w:pPr>
              <w:spacing w:line="232"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1.未建立巡护制度的，系数2；2.未配备专人进行日常巡护的，系数2；3.未定期对管道风险比较大的区段和场所进行重点监测采取有效措施的，系数2；4.造成事故或者</w:t>
            </w:r>
            <w:r>
              <w:rPr>
                <w:rFonts w:hint="eastAsia" w:ascii="宋体" w:hAnsi="宋体" w:eastAsia="宋体" w:cs="宋体"/>
                <w:strike w:val="0"/>
                <w:dstrike w:val="0"/>
                <w:color w:val="auto"/>
                <w:kern w:val="0"/>
                <w:sz w:val="15"/>
                <w:szCs w:val="15"/>
                <w:highlight w:val="none"/>
                <w:lang w:eastAsia="zh-CN"/>
              </w:rPr>
              <w:t>其他</w:t>
            </w:r>
            <w:r>
              <w:rPr>
                <w:rFonts w:hint="eastAsia" w:ascii="宋体" w:hAnsi="宋体" w:eastAsia="宋体" w:cs="宋体"/>
                <w:strike w:val="0"/>
                <w:dstrike w:val="0"/>
                <w:color w:val="auto"/>
                <w:kern w:val="0"/>
                <w:sz w:val="15"/>
                <w:szCs w:val="15"/>
                <w:highlight w:val="none"/>
              </w:rPr>
              <w:t>严重后果的，系数4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罚款数额＝20000×（1＋</w:t>
            </w:r>
            <w:r>
              <w:rPr>
                <w:rFonts w:hint="eastAsia" w:ascii="宋体" w:hAnsi="宋体" w:eastAsia="宋体" w:cs="宋体"/>
                <w:strike w:val="0"/>
                <w:dstrike w:val="0"/>
                <w:color w:val="auto"/>
                <w:kern w:val="0"/>
                <w:sz w:val="15"/>
                <w:szCs w:val="15"/>
                <w:highlight w:val="none"/>
                <w:lang w:eastAsia="zh-CN"/>
              </w:rPr>
              <w:t>情节</w:t>
            </w:r>
            <w:r>
              <w:rPr>
                <w:rFonts w:hint="eastAsia" w:ascii="宋体" w:hAnsi="宋体" w:eastAsia="宋体" w:cs="宋体"/>
                <w:strike w:val="0"/>
                <w:dstrike w:val="0"/>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需要作出</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额度处罚的，报案审会讨论决定。</w:t>
            </w:r>
          </w:p>
        </w:tc>
        <w:tc>
          <w:tcPr>
            <w:tcW w:w="897" w:type="dxa"/>
            <w:gridSpan w:val="2"/>
            <w:shd w:val="clear" w:color="auto" w:fill="auto"/>
            <w:noWrap w:val="0"/>
            <w:vAlign w:val="center"/>
          </w:tcPr>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市级</w:t>
            </w:r>
          </w:p>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20"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不符合安全使用条件的管道未及时更新、改造或者停止使用</w:t>
            </w:r>
          </w:p>
        </w:tc>
        <w:tc>
          <w:tcPr>
            <w:tcW w:w="2789"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1.未采取任何措施继续使用，存在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的，系数2-3；2.造成事故或者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30"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未按规定设置、修复或者更新管道标志</w:t>
            </w:r>
          </w:p>
        </w:tc>
        <w:tc>
          <w:tcPr>
            <w:tcW w:w="2789"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hint="eastAsia" w:ascii="宋体" w:hAnsi="宋体" w:eastAsia="宋体" w:cs="宋体"/>
                <w:color w:val="auto"/>
                <w:spacing w:val="-3"/>
                <w:kern w:val="0"/>
                <w:sz w:val="15"/>
                <w:szCs w:val="15"/>
                <w:highlight w:val="none"/>
                <w:lang w:eastAsia="zh-CN"/>
              </w:rPr>
            </w:pPr>
            <w:r>
              <w:rPr>
                <w:rFonts w:hint="eastAsia" w:ascii="宋体" w:hAnsi="宋体" w:eastAsia="宋体" w:cs="宋体"/>
                <w:color w:val="auto"/>
                <w:spacing w:val="-3"/>
                <w:kern w:val="0"/>
                <w:sz w:val="15"/>
                <w:szCs w:val="15"/>
                <w:highlight w:val="none"/>
              </w:rPr>
              <w:t>1.未依法设置或者未修复更新，</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w:t>
            </w:r>
            <w:r>
              <w:rPr>
                <w:rFonts w:hint="eastAsia" w:ascii="宋体" w:hAnsi="宋体" w:eastAsia="宋体" w:cs="宋体"/>
                <w:color w:val="auto"/>
                <w:spacing w:val="-3"/>
                <w:kern w:val="0"/>
                <w:sz w:val="15"/>
                <w:szCs w:val="15"/>
                <w:highlight w:val="none"/>
              </w:rPr>
              <w:t>，系数1-3；2.造成事故或者</w:t>
            </w:r>
            <w:r>
              <w:rPr>
                <w:rFonts w:hint="eastAsia" w:ascii="宋体" w:hAnsi="宋体" w:eastAsia="宋体" w:cs="宋体"/>
                <w:color w:val="auto"/>
                <w:spacing w:val="-3"/>
                <w:kern w:val="0"/>
                <w:sz w:val="15"/>
                <w:szCs w:val="15"/>
                <w:highlight w:val="none"/>
                <w:lang w:eastAsia="zh-CN"/>
              </w:rPr>
              <w:t>其他</w:t>
            </w:r>
            <w:r>
              <w:rPr>
                <w:rFonts w:hint="eastAsia" w:ascii="宋体" w:hAnsi="宋体" w:eastAsia="宋体" w:cs="宋体"/>
                <w:color w:val="auto"/>
                <w:spacing w:val="-3"/>
                <w:kern w:val="0"/>
                <w:sz w:val="15"/>
                <w:szCs w:val="15"/>
                <w:highlight w:val="none"/>
              </w:rPr>
              <w:t>严重后果的，系数4</w:t>
            </w:r>
            <w:r>
              <w:rPr>
                <w:rFonts w:hint="eastAsia" w:ascii="宋体" w:hAnsi="宋体" w:eastAsia="宋体" w:cs="宋体"/>
                <w:color w:val="auto"/>
                <w:spacing w:val="-3"/>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355"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未按规定将管道竣工测量图报送备案</w:t>
            </w:r>
          </w:p>
        </w:tc>
        <w:tc>
          <w:tcPr>
            <w:tcW w:w="2789"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1.未报送备案，逾期6-10日，系数1，逾期11-15日，系数2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日，系数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21日及以上的</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0"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未制定管道事故应急预案或者未将应急预案报送备案</w:t>
            </w:r>
          </w:p>
        </w:tc>
        <w:tc>
          <w:tcPr>
            <w:tcW w:w="2789" w:type="dxa"/>
            <w:gridSpan w:val="2"/>
            <w:shd w:val="clear" w:color="auto" w:fill="auto"/>
            <w:noWrap w:val="0"/>
            <w:vAlign w:val="center"/>
          </w:tcPr>
          <w:p>
            <w:pPr>
              <w:spacing w:line="24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1.未制定预案的，系数2；2.造成事故或者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55" w:hRule="atLeast"/>
        </w:trPr>
        <w:tc>
          <w:tcPr>
            <w:tcW w:w="610"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shd w:val="clear" w:color="auto" w:fill="FFFFFF"/>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未采取有效措施消除或者减轻管道事故危害</w:t>
            </w:r>
          </w:p>
        </w:tc>
        <w:tc>
          <w:tcPr>
            <w:tcW w:w="2789"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1.启动应急预案迟缓的，系数2；2.措施明显失当的，</w:t>
            </w:r>
            <w:r>
              <w:rPr>
                <w:rFonts w:hint="eastAsia" w:ascii="宋体" w:hAnsi="宋体" w:eastAsia="宋体" w:cs="宋体"/>
                <w:color w:val="auto"/>
                <w:kern w:val="0"/>
                <w:sz w:val="15"/>
                <w:szCs w:val="15"/>
                <w:highlight w:val="none"/>
                <w:lang w:val="en-US" w:eastAsia="zh-CN"/>
              </w:rPr>
              <w:t>系数3</w:t>
            </w:r>
            <w:r>
              <w:rPr>
                <w:rFonts w:hint="eastAsia" w:ascii="宋体" w:hAnsi="宋体" w:eastAsia="宋体" w:cs="宋体"/>
                <w:color w:val="auto"/>
                <w:kern w:val="0"/>
                <w:sz w:val="15"/>
                <w:szCs w:val="15"/>
                <w:highlight w:val="none"/>
              </w:rPr>
              <w:t>；3.造成事故危害扩大的，系数4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70" w:hRule="atLeast"/>
        </w:trPr>
        <w:tc>
          <w:tcPr>
            <w:tcW w:w="610"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shd w:val="clear" w:color="auto" w:fill="FFFFFF"/>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未对停止运行、封存、报废的管道采取必要的安全防护措施</w:t>
            </w:r>
          </w:p>
        </w:tc>
        <w:tc>
          <w:tcPr>
            <w:tcW w:w="2789"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1.未采取任何安全防护措施的，系数2；2.致使事故或者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77" w:hRule="atLeast"/>
        </w:trPr>
        <w:tc>
          <w:tcPr>
            <w:tcW w:w="610"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gridSpan w:val="2"/>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190" w:lineRule="exact"/>
              <w:ind w:left="15"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p>
            <w:pPr>
              <w:autoSpaceDE w:val="0"/>
              <w:spacing w:line="190" w:lineRule="exact"/>
              <w:rPr>
                <w:rFonts w:ascii="宋体" w:hAnsi="宋体" w:eastAsia="宋体" w:cs="宋体"/>
                <w:color w:val="auto"/>
                <w:kern w:val="0"/>
                <w:sz w:val="15"/>
                <w:szCs w:val="15"/>
                <w:highlight w:val="none"/>
              </w:rPr>
            </w:pPr>
          </w:p>
        </w:tc>
        <w:tc>
          <w:tcPr>
            <w:tcW w:w="897"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09" w:hRule="atLeast"/>
        </w:trPr>
        <w:tc>
          <w:tcPr>
            <w:tcW w:w="610"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pStyle w:val="20"/>
              <w:widowControl w:val="0"/>
              <w:shd w:val="clear" w:color="auto" w:fill="FFFFFF"/>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11" w:hRule="atLeast"/>
        </w:trPr>
        <w:tc>
          <w:tcPr>
            <w:tcW w:w="610"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在管道线路中心线两侧各五米地域范围内种植可能损坏管道防腐层的深根植物</w:t>
            </w:r>
          </w:p>
        </w:tc>
        <w:tc>
          <w:tcPr>
            <w:tcW w:w="2789" w:type="dxa"/>
            <w:gridSpan w:val="2"/>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39" w:hRule="atLeast"/>
        </w:trPr>
        <w:tc>
          <w:tcPr>
            <w:tcW w:w="610"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97" w:type="dxa"/>
            <w:gridSpan w:val="2"/>
            <w:vMerge w:val="continue"/>
            <w:shd w:val="clear" w:color="auto" w:fill="auto"/>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39" w:hRule="atLeast"/>
        </w:trPr>
        <w:tc>
          <w:tcPr>
            <w:tcW w:w="610"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在管道线路中心线两侧各五米地域范围内取土、采石、用火、堆放重物、排放腐蚀性物质、使用机械工具进行挖掘施工</w:t>
            </w:r>
          </w:p>
        </w:tc>
        <w:tc>
          <w:tcPr>
            <w:tcW w:w="2789" w:type="dxa"/>
            <w:gridSpan w:val="2"/>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10" w:hRule="atLeast"/>
        </w:trPr>
        <w:tc>
          <w:tcPr>
            <w:tcW w:w="610"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97" w:type="dxa"/>
            <w:gridSpan w:val="2"/>
            <w:vMerge w:val="continue"/>
            <w:shd w:val="clear" w:color="auto" w:fill="auto"/>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98" w:hRule="atLeast"/>
        </w:trPr>
        <w:tc>
          <w:tcPr>
            <w:tcW w:w="610"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在管道线路中心线两侧各五米地域范围内挖塘、修渠、修晒场、修建水产养殖场、建温室、建家畜棚圈、建房以及修建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建筑物、构筑物</w:t>
            </w:r>
          </w:p>
        </w:tc>
        <w:tc>
          <w:tcPr>
            <w:tcW w:w="2789" w:type="dxa"/>
            <w:gridSpan w:val="2"/>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80" w:hRule="atLeast"/>
        </w:trPr>
        <w:tc>
          <w:tcPr>
            <w:tcW w:w="610"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67" w:hRule="atLeast"/>
        </w:trPr>
        <w:tc>
          <w:tcPr>
            <w:tcW w:w="610"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在穿越河流的管道线路中心线两侧各五百米地域范围内抛锚、拖锚、挖砂、挖泥、采石、水下爆破</w:t>
            </w:r>
          </w:p>
        </w:tc>
        <w:tc>
          <w:tcPr>
            <w:tcW w:w="2789" w:type="dxa"/>
            <w:gridSpan w:val="2"/>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52" w:hRule="atLeast"/>
        </w:trPr>
        <w:tc>
          <w:tcPr>
            <w:tcW w:w="610"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13" w:hRule="atLeast"/>
        </w:trPr>
        <w:tc>
          <w:tcPr>
            <w:tcW w:w="610"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在管道专用隧道中心线两侧各一千米地域范围内采石、采矿、爆破</w:t>
            </w:r>
          </w:p>
        </w:tc>
        <w:tc>
          <w:tcPr>
            <w:tcW w:w="2789" w:type="dxa"/>
            <w:gridSpan w:val="2"/>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696" w:hRule="atLeast"/>
        </w:trPr>
        <w:tc>
          <w:tcPr>
            <w:tcW w:w="610"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583"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035" w:hRule="atLeast"/>
        </w:trPr>
        <w:tc>
          <w:tcPr>
            <w:tcW w:w="610" w:type="dxa"/>
            <w:tcBorders>
              <w:bottom w:val="single" w:color="auto" w:sz="4" w:space="0"/>
            </w:tcBorders>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gridSpan w:val="2"/>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bottom w:val="single" w:color="auto" w:sz="4" w:space="0"/>
            </w:tcBorders>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28"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未经批准进行穿跨越管道的施工作业</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87"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07"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擅自开启、关闭管道阀门</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89"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移动、毁损、涂改管道标志</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57"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在埋地管道上方巡查便道上行驶重型车辆</w:t>
            </w:r>
          </w:p>
        </w:tc>
        <w:tc>
          <w:tcPr>
            <w:tcW w:w="2789"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56"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在地面管道线路、架空管道线路和管桥上行走或者放置重物</w:t>
            </w:r>
          </w:p>
        </w:tc>
        <w:tc>
          <w:tcPr>
            <w:tcW w:w="2789"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88"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阻碍依法进行的管道建设</w:t>
            </w:r>
          </w:p>
        </w:tc>
        <w:tc>
          <w:tcPr>
            <w:tcW w:w="2789"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631" w:hRule="atLeast"/>
        </w:trPr>
        <w:tc>
          <w:tcPr>
            <w:tcW w:w="15100" w:type="dxa"/>
            <w:gridSpan w:val="15"/>
            <w:shd w:val="clear" w:color="auto" w:fill="FFFFFF"/>
            <w:noWrap w:val="0"/>
            <w:vAlign w:val="center"/>
          </w:tcPr>
          <w:p>
            <w:pPr>
              <w:pStyle w:val="2"/>
              <w:keepNext w:val="0"/>
              <w:keepLines w:val="0"/>
              <w:rPr>
                <w:rFonts w:hint="eastAsia" w:ascii="宋体" w:hAnsi="宋体" w:eastAsia="宋体"/>
                <w:color w:val="auto"/>
                <w:szCs w:val="15"/>
                <w:highlight w:val="none"/>
              </w:rPr>
            </w:pPr>
            <w:bookmarkStart w:id="190" w:name="_Toc438802227"/>
            <w:r>
              <w:rPr>
                <w:rFonts w:hint="eastAsia" w:ascii="黑体" w:hAnsi="黑体" w:eastAsia="黑体"/>
                <w:b w:val="0"/>
                <w:color w:val="auto"/>
                <w:sz w:val="28"/>
                <w:szCs w:val="28"/>
                <w:highlight w:val="none"/>
              </w:rPr>
              <w:t>国际交往语言环境建设方面</w:t>
            </w:r>
            <w:bookmarkEnd w:id="1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533" w:hRule="atLeast"/>
        </w:trPr>
        <w:tc>
          <w:tcPr>
            <w:tcW w:w="15100" w:type="dxa"/>
            <w:gridSpan w:val="15"/>
            <w:shd w:val="clear" w:color="auto" w:fill="auto"/>
            <w:noWrap w:val="0"/>
            <w:vAlign w:val="center"/>
          </w:tcPr>
          <w:p>
            <w:pPr>
              <w:pStyle w:val="3"/>
              <w:bidi w:val="0"/>
              <w:jc w:val="center"/>
              <w:rPr>
                <w:rFonts w:hint="eastAsia" w:ascii="宋体" w:hAnsi="宋体" w:eastAsia="宋体"/>
                <w:color w:val="auto"/>
                <w:szCs w:val="15"/>
                <w:highlight w:val="none"/>
              </w:rPr>
            </w:pPr>
            <w:bookmarkStart w:id="191" w:name="_Toc1758493395"/>
            <w:r>
              <w:rPr>
                <w:rFonts w:hint="eastAsia"/>
                <w:color w:val="auto"/>
                <w:sz w:val="21"/>
                <w:szCs w:val="21"/>
                <w:highlight w:val="none"/>
              </w:rPr>
              <w:t>《</w:t>
            </w:r>
            <w:r>
              <w:rPr>
                <w:rFonts w:hint="eastAsia"/>
                <w:color w:val="auto"/>
                <w:sz w:val="21"/>
                <w:szCs w:val="21"/>
                <w:highlight w:val="none"/>
                <w:lang w:val="zh-CN"/>
              </w:rPr>
              <w:t>北京市国际交往语言环境建设条例</w:t>
            </w:r>
            <w:r>
              <w:rPr>
                <w:rFonts w:hint="eastAsia"/>
                <w:color w:val="auto"/>
                <w:sz w:val="21"/>
                <w:szCs w:val="21"/>
                <w:highlight w:val="none"/>
              </w:rPr>
              <w:t>》案由</w:t>
            </w:r>
            <w:r>
              <w:rPr>
                <w:rFonts w:hint="eastAsia"/>
                <w:b w:val="0"/>
                <w:bCs w:val="0"/>
                <w:color w:val="auto"/>
                <w:sz w:val="21"/>
                <w:szCs w:val="21"/>
                <w:highlight w:val="none"/>
              </w:rPr>
              <w:t>4</w:t>
            </w:r>
            <w:r>
              <w:rPr>
                <w:rFonts w:hint="eastAsia"/>
                <w:color w:val="auto"/>
                <w:sz w:val="21"/>
                <w:szCs w:val="21"/>
                <w:highlight w:val="none"/>
              </w:rPr>
              <w:t>项</w:t>
            </w:r>
            <w:bookmarkEnd w:id="1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公共场所标识单独使用外语拒不改正</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5000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w:t>
            </w:r>
            <w:r>
              <w:rPr>
                <w:rFonts w:hint="eastAsia" w:ascii="宋体" w:hAnsi="宋体" w:eastAsia="宋体" w:cs="仿宋_GB2312"/>
                <w:color w:val="auto"/>
                <w:kern w:val="0"/>
                <w:sz w:val="15"/>
                <w:szCs w:val="15"/>
                <w:highlight w:val="none"/>
                <w:lang w:bidi="ar"/>
              </w:rPr>
              <w:t>第十七条第一款应当设置、使用外语标识的公共场所的，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5</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应当设置、使用公共场所外语标识而未设置、使用拒不改正</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ascii="宋体" w:hAnsi="宋体" w:eastAsia="宋体"/>
                <w:color w:val="auto"/>
                <w:sz w:val="15"/>
                <w:szCs w:val="15"/>
                <w:highlight w:val="none"/>
                <w:lang w:val="en"/>
              </w:rPr>
            </w:pPr>
            <w:r>
              <w:rPr>
                <w:rFonts w:hint="eastAsia" w:ascii="宋体" w:hAnsi="宋体" w:eastAsia="宋体" w:cs="仿宋_GB2312"/>
                <w:color w:val="auto"/>
                <w:sz w:val="15"/>
                <w:szCs w:val="15"/>
                <w:highlight w:val="none"/>
                <w:lang w:val="en"/>
              </w:rPr>
              <w:t>区级</w:t>
            </w:r>
          </w:p>
          <w:p>
            <w:pPr>
              <w:spacing w:line="232" w:lineRule="exact"/>
              <w:ind w:firstLine="333" w:firstLineChars="0"/>
              <w:jc w:val="center"/>
              <w:rPr>
                <w:rFonts w:hint="eastAsia" w:ascii="宋体" w:hAnsi="宋体" w:eastAsia="宋体" w:cs="Times New Roman"/>
                <w:color w:val="auto"/>
                <w:kern w:val="2"/>
                <w:sz w:val="15"/>
                <w:szCs w:val="15"/>
                <w:highlight w:val="none"/>
                <w:lang w:val="e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91" w:hRule="atLeast"/>
        </w:trPr>
        <w:tc>
          <w:tcPr>
            <w:tcW w:w="610"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3</w:t>
            </w:r>
          </w:p>
        </w:tc>
        <w:tc>
          <w:tcPr>
            <w:tcW w:w="1830" w:type="dxa"/>
            <w:gridSpan w:val="3"/>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公共场所外语标识含有禁止性内容</w:t>
            </w:r>
          </w:p>
        </w:tc>
        <w:tc>
          <w:tcPr>
            <w:tcW w:w="2789" w:type="dxa"/>
            <w:gridSpan w:val="2"/>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spacing w:val="-4"/>
                <w:kern w:val="2"/>
                <w:sz w:val="15"/>
                <w:szCs w:val="15"/>
                <w:highlight w:val="none"/>
                <w:lang w:val="en-US" w:eastAsia="zh-CN" w:bidi="ar-SA"/>
              </w:rPr>
            </w:pPr>
            <w:r>
              <w:rPr>
                <w:rFonts w:hint="eastAsia" w:ascii="宋体" w:hAnsi="宋体" w:eastAsia="宋体" w:cs="仿宋_GB2312"/>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5000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同时存在两项及以上禁止性内容的，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罚款数额＝5000×（1＋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color w:val="auto"/>
                <w:kern w:val="2"/>
                <w:sz w:val="15"/>
                <w:szCs w:val="15"/>
                <w:highlight w:val="none"/>
                <w:lang w:val="en-US" w:eastAsia="zh-CN" w:bidi="ar-SA"/>
              </w:rPr>
            </w:pPr>
          </w:p>
        </w:tc>
        <w:tc>
          <w:tcPr>
            <w:tcW w:w="897" w:type="dxa"/>
            <w:gridSpan w:val="2"/>
            <w:vMerge w:val="restart"/>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vMerge w:val="continue"/>
            <w:shd w:val="clear" w:color="auto" w:fill="FFFFFF"/>
            <w:noWrap w:val="0"/>
            <w:vAlign w:val="center"/>
          </w:tcPr>
          <w:p>
            <w:pPr>
              <w:autoSpaceDE w:val="0"/>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pPr>
              <w:autoSpaceDE w:val="0"/>
              <w:spacing w:line="190" w:lineRule="exact"/>
              <w:rPr>
                <w:rFonts w:hint="eastAsia"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autoSpaceDE w:val="0"/>
              <w:spacing w:line="190" w:lineRule="exact"/>
              <w:rPr>
                <w:rFonts w:hint="eastAsia" w:ascii="宋体" w:hAnsi="宋体" w:eastAsia="宋体" w:cs="宋体"/>
                <w:color w:val="auto"/>
                <w:kern w:val="0"/>
                <w:sz w:val="15"/>
                <w:szCs w:val="15"/>
                <w:highlight w:val="none"/>
              </w:rPr>
            </w:pP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1；同时存在三项以上禁止性内容的，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2</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罚款数额＝10000×（1＋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拒不改正或两次及以上违法的，或者被市级以上媒体曝光，或者造成</w:t>
            </w:r>
            <w:r>
              <w:rPr>
                <w:rFonts w:hint="eastAsia" w:ascii="宋体" w:hAnsi="宋体" w:eastAsia="宋体" w:cs="仿宋_GB2312"/>
                <w:color w:val="auto"/>
                <w:sz w:val="15"/>
                <w:szCs w:val="15"/>
                <w:highlight w:val="none"/>
                <w:lang w:val="en" w:eastAsia="zh-CN"/>
              </w:rPr>
              <w:t>其他</w:t>
            </w:r>
            <w:r>
              <w:rPr>
                <w:rFonts w:hint="eastAsia" w:ascii="宋体" w:hAnsi="宋体" w:eastAsia="宋体" w:cs="仿宋_GB2312"/>
                <w:color w:val="auto"/>
                <w:sz w:val="15"/>
                <w:szCs w:val="15"/>
                <w:highlight w:val="none"/>
                <w:lang w:val="en"/>
              </w:rPr>
              <w:t>恶劣影响的，视为“情节严重、造成恶劣影响”。</w:t>
            </w:r>
          </w:p>
          <w:p>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宋体" w:hAnsi="宋体" w:eastAsia="宋体" w:cs="Times New Roman"/>
                <w:color w:val="auto"/>
                <w:kern w:val="2"/>
                <w:sz w:val="15"/>
                <w:szCs w:val="15"/>
                <w:highlight w:val="none"/>
                <w:lang w:val="en-US" w:eastAsia="zh-CN" w:bidi="ar-SA"/>
              </w:rPr>
            </w:pPr>
            <w:r>
              <w:rPr>
                <w:rFonts w:hint="eastAsia" w:ascii="宋体" w:hAnsi="宋体" w:eastAsia="宋体" w:cs="仿宋_GB2312"/>
                <w:strike w:val="0"/>
                <w:dstrike w:val="0"/>
                <w:color w:val="auto"/>
                <w:kern w:val="2"/>
                <w:sz w:val="15"/>
                <w:szCs w:val="15"/>
                <w:highlight w:val="none"/>
                <w:lang w:val="en" w:eastAsia="zh-CN" w:bidi="ar-SA"/>
              </w:rPr>
              <w:t>拒不改正或两次及以上违法的，不重复计入本项情节系数。</w:t>
            </w:r>
          </w:p>
        </w:tc>
        <w:tc>
          <w:tcPr>
            <w:tcW w:w="897" w:type="dxa"/>
            <w:gridSpan w:val="2"/>
            <w:vMerge w:val="continue"/>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4</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公共场所外语标识译写错误或者明显不当拒不改正</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属于第十七条第一款应当设置、使用外语标识的公共场所的，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被媒体曝光的，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3.</w:t>
            </w:r>
            <w:r>
              <w:rPr>
                <w:rFonts w:hint="eastAsia" w:ascii="宋体" w:hAnsi="宋体" w:eastAsia="宋体" w:cs="仿宋_GB2312"/>
                <w:color w:val="auto"/>
                <w:kern w:val="0"/>
                <w:sz w:val="15"/>
                <w:szCs w:val="15"/>
                <w:highlight w:val="none"/>
                <w:lang w:bidi="ar"/>
              </w:rPr>
              <w:t>造成恶劣影响的，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2</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4.</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2</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04" w:hRule="atLeast"/>
        </w:trPr>
        <w:tc>
          <w:tcPr>
            <w:tcW w:w="15100" w:type="dxa"/>
            <w:gridSpan w:val="15"/>
            <w:noWrap w:val="0"/>
            <w:vAlign w:val="center"/>
          </w:tcPr>
          <w:p>
            <w:pPr>
              <w:pStyle w:val="2"/>
              <w:keepNext w:val="0"/>
              <w:keepLines w:val="0"/>
              <w:rPr>
                <w:rFonts w:hint="eastAsia" w:ascii="宋体" w:hAnsi="宋体" w:eastAsia="宋体"/>
                <w:color w:val="auto"/>
                <w:sz w:val="21"/>
                <w:szCs w:val="21"/>
                <w:highlight w:val="none"/>
                <w:lang w:val="en-US" w:eastAsia="zh-CN"/>
              </w:rPr>
            </w:pPr>
            <w:bookmarkStart w:id="192" w:name="_Toc1832920776"/>
            <w:r>
              <w:rPr>
                <w:rFonts w:hint="eastAsia" w:ascii="黑体" w:hAnsi="黑体" w:eastAsia="黑体"/>
                <w:b w:val="0"/>
                <w:color w:val="auto"/>
                <w:sz w:val="28"/>
                <w:szCs w:val="28"/>
                <w:highlight w:val="none"/>
                <w:lang w:val="en-US" w:eastAsia="zh-CN"/>
              </w:rPr>
              <w:t>安全生产管理方面</w:t>
            </w:r>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1" w:hRule="atLeast"/>
        </w:trPr>
        <w:tc>
          <w:tcPr>
            <w:tcW w:w="15100" w:type="dxa"/>
            <w:gridSpan w:val="15"/>
            <w:noWrap w:val="0"/>
            <w:vAlign w:val="center"/>
          </w:tcPr>
          <w:p>
            <w:pPr>
              <w:pStyle w:val="3"/>
              <w:bidi w:val="0"/>
              <w:jc w:val="center"/>
              <w:rPr>
                <w:rFonts w:hint="eastAsia" w:ascii="宋体" w:hAnsi="宋体" w:eastAsia="宋体" w:cs="宋体"/>
                <w:color w:val="auto"/>
                <w:highlight w:val="none"/>
                <w:lang w:eastAsia="zh-Hans"/>
              </w:rPr>
            </w:pPr>
            <w:bookmarkStart w:id="193" w:name="_Toc1972091026"/>
            <w:r>
              <w:rPr>
                <w:rFonts w:hint="eastAsia" w:ascii="宋体" w:hAnsi="宋体" w:eastAsia="宋体" w:cs="宋体"/>
                <w:color w:val="auto"/>
                <w:sz w:val="21"/>
                <w:szCs w:val="21"/>
                <w:highlight w:val="none"/>
                <w:lang w:eastAsia="zh-Hans"/>
              </w:rPr>
              <w:t>《中华人民共和国安全生产法》</w:t>
            </w:r>
            <w:r>
              <w:rPr>
                <w:rFonts w:hint="eastAsia" w:ascii="宋体" w:hAnsi="宋体" w:eastAsia="宋体" w:cs="宋体"/>
                <w:color w:val="auto"/>
                <w:sz w:val="21"/>
                <w:szCs w:val="21"/>
                <w:highlight w:val="none"/>
              </w:rPr>
              <w:t>《北京市安全生产条例》</w:t>
            </w:r>
            <w:r>
              <w:rPr>
                <w:rFonts w:hint="eastAsia" w:ascii="宋体" w:hAnsi="宋体" w:eastAsia="宋体" w:cs="宋体"/>
                <w:color w:val="auto"/>
                <w:sz w:val="21"/>
                <w:szCs w:val="21"/>
                <w:highlight w:val="none"/>
                <w:lang w:eastAsia="zh-Hans"/>
              </w:rPr>
              <w:t>案由</w:t>
            </w:r>
            <w:r>
              <w:rPr>
                <w:rFonts w:hint="eastAsia" w:ascii="宋体" w:hAnsi="宋体" w:eastAsia="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3</w:t>
            </w:r>
            <w:r>
              <w:rPr>
                <w:rFonts w:hint="eastAsia" w:ascii="宋体" w:hAnsi="宋体" w:eastAsia="宋体" w:cs="宋体"/>
                <w:color w:val="auto"/>
                <w:sz w:val="21"/>
                <w:szCs w:val="21"/>
                <w:highlight w:val="none"/>
                <w:lang w:eastAsia="zh-Hans"/>
              </w:rPr>
              <w:t>项</w:t>
            </w:r>
            <w:bookmarkEnd w:id="1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7" w:hRule="atLeast"/>
        </w:trPr>
        <w:tc>
          <w:tcPr>
            <w:tcW w:w="610"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主要负责人未履行安全生产管理职责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《中华人民共和国安全生产法》第二十一条第（一）项至第（七）项（根据实际选择）</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w:t>
            </w:r>
            <w:r>
              <w:rPr>
                <w:rFonts w:hint="eastAsia" w:ascii="宋体" w:hAnsi="宋体" w:eastAsia="宋体"/>
                <w:color w:val="auto"/>
                <w:spacing w:val="-4"/>
                <w:sz w:val="15"/>
                <w:szCs w:val="15"/>
                <w:highlight w:val="none"/>
              </w:rPr>
              <w:t>罚条款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第九十四条第一款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责令限期改正，处二万元以上五万元以下的罚款；逾期未改正的，处五万元以上十万元以下的罚款，责令生产经营单位停产停业整顿。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85"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违反条款：《北京市生产经营单位安全生产主体责任规定》第四条第（五）项、第（七）项（根据实际选择）；</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处罚条款：第三十四条第一款，责令改正；拒不改正的，责令停产停业整顿，并处2万元以上5万元以下罚款。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restart"/>
            <w:noWrap w:val="0"/>
            <w:vAlign w:val="center"/>
          </w:tcPr>
          <w:p>
            <w:pPr>
              <w:spacing w:line="232" w:lineRule="exact"/>
              <w:ind w:left="6" w:leftChars="0" w:hanging="21" w:firstLineChars="0"/>
              <w:jc w:val="center"/>
              <w:rPr>
                <w:rFonts w:hint="default" w:ascii="宋体" w:hAnsi="宋体" w:eastAsia="宋体"/>
                <w:color w:val="auto"/>
                <w:sz w:val="15"/>
                <w:szCs w:val="15"/>
                <w:highlight w:val="none"/>
                <w:lang w:val="en-US"/>
              </w:rPr>
            </w:pPr>
            <w:r>
              <w:rPr>
                <w:rFonts w:hint="default" w:ascii="宋体" w:hAnsi="宋体" w:eastAsia="宋体"/>
                <w:color w:val="auto"/>
                <w:sz w:val="15"/>
                <w:szCs w:val="15"/>
                <w:highlight w:val="none"/>
                <w:lang w:val="en-US"/>
              </w:rPr>
              <w:t>2</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生产经营单位的决策机构、主要负责人或者个人经营的投资人未保证安全生产所必需的资金投入，致使生产经营单位不具备安全生产条件的且逾期未改正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违反条款：《中华人民共和国安全生产法》第二十三条第一款；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continue"/>
            <w:noWrap w:val="0"/>
            <w:vAlign w:val="center"/>
          </w:tcPr>
          <w:p>
            <w:pPr>
              <w:spacing w:line="232" w:lineRule="exact"/>
              <w:ind w:left="6" w:leftChars="0" w:hanging="21" w:firstLineChars="0"/>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违反条款：《北京市生产经营单位安全生产主体责任规定》第九条；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五条第一款：生产经营单位未履行安全生产资金投入责任，致使生产经营单位不具备安全生产条件的，由负有安全生产监督管理职责的部门责令改正，提供必需的资金；拒不改正的，责令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default" w:ascii="宋体" w:hAnsi="宋体" w:eastAsia="宋体"/>
                <w:color w:val="auto"/>
                <w:sz w:val="15"/>
                <w:szCs w:val="15"/>
                <w:highlight w:val="none"/>
                <w:lang w:val="en-US"/>
              </w:rPr>
              <w:t>3</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生产经营单位未按照规定设置安全生产管理机构或者配备安全生产管理人员</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highlight w:val="none"/>
              </w:rPr>
            </w:pPr>
            <w:r>
              <w:rPr>
                <w:rFonts w:hint="eastAsia" w:ascii="宋体" w:hAnsi="宋体" w:eastAsia="宋体"/>
                <w:color w:val="auto"/>
                <w:sz w:val="15"/>
                <w:szCs w:val="15"/>
                <w:highlight w:val="none"/>
              </w:rPr>
              <w:t>违反条款：《中华人民共和国安全生产法》第二十四条第二款；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strike/>
                <w:dstrike w:val="0"/>
                <w:color w:val="auto"/>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58"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违反条款：《北京市安全生产条例》第二十条；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7"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生产经营单位其他负责人和安全生产管理人员未履行本法规定的安全生产管理职责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违反条款：《中华人民共和国安全生产法》第二十五条第一款第（一）项至第（七）项（根据实际选择）；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处罚条款：第九十六条，责令限期改正，处一万元以上三万元以下的罚款；…构成犯罪的，依照刑法有关规定追究刑事责任。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lang w:val="en-US" w:eastAsia="zh-CN" w:bidi="ar-SA"/>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7"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生产经营单位危险物品的生产、经营、储存单位以及建筑施工单位的主要负责人和安全生产管理人员未按照规定经考核合格</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二）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2" w:hRule="atLeast"/>
        </w:trPr>
        <w:tc>
          <w:tcPr>
            <w:tcW w:w="610"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6</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未按照规定对从业人员、被派遣劳动者、实习学生进行安全生产教育和培训</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违反条款：《中华人民共和国安全生产法》第二十八条第一款、第二款、第三款、第二十九条（根据实际选择）；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41"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b/>
                <w:bCs/>
                <w:color w:val="auto"/>
                <w:sz w:val="15"/>
                <w:szCs w:val="15"/>
                <w:highlight w:val="none"/>
              </w:rPr>
            </w:pPr>
            <w:r>
              <w:rPr>
                <w:rFonts w:hint="eastAsia" w:ascii="宋体" w:hAnsi="宋体" w:eastAsia="宋体"/>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违反条款：《北京市安全生产条例》</w:t>
            </w:r>
            <w:r>
              <w:rPr>
                <w:rFonts w:hint="eastAsia" w:ascii="宋体" w:hAnsi="宋体" w:eastAsia="宋体"/>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处罚条款：第五十八条第（二）</w:t>
            </w:r>
            <w:r>
              <w:rPr>
                <w:rFonts w:hint="eastAsia" w:ascii="宋体" w:hAnsi="宋体" w:eastAsia="宋体"/>
                <w:color w:val="auto"/>
                <w:sz w:val="15"/>
                <w:szCs w:val="15"/>
                <w:highlight w:val="none"/>
                <w:lang w:eastAsia="zh-CN"/>
              </w:rPr>
              <w:t>项</w:t>
            </w:r>
            <w:r>
              <w:rPr>
                <w:rFonts w:hint="eastAsia" w:ascii="宋体" w:hAnsi="宋体" w:eastAsia="宋体"/>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7"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7</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未如实记录安全生产教育和培训情况</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违反条款：《中华人民共和国安全生产法》第二十八条第四款；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生产经营单位特种作业人员未按照规定经专门的安全作业培训并取得相应资格，上岗作业</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七）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用于生产、储存、装卸危险物品的建设项目安全设施设计未按照规定报经有关部门审查同意</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违反条款：《中华人民共和国安全生产法》第三十三条第二款；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二）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用于生产、储存、装卸危险物品的建设项目竣工投入生产或者使用前，安全设施未经验收合格</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违反条款：《中华人民共和国安全生产法》第三十四条第二款；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四）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生产经营单位未在有较大危险因素的生产经营场所和有关设施、设备上设置明显的安全警示标志</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生产经营单位安全设备的安装、使用、检测、改造和报废不符合国家标准或者行业标准</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二）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生产经营单位未对安全设备进行经常性维护、保养和定期检测</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三）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生产经营单位关闭、破坏直接关系生产安全的监控、报警、防护、救生设备、设施，或者篡改、隐瞒、销毁其相关数据、信息</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四）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生产经营单位使用的危险物品的容器未经具有专业资质的机构检测、检验合格，取得安全使用证或者安全标志，投入使用</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违反条款：《中华人民共和国安全生产法》第三十七条；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六）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16</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生产经营单位使用应当淘汰的危及生产安全的工艺、设备</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违反条款：《中华人民共和国安全生产法》第三十八条第三款；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17</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未经依法批准，擅自生产、经营、储存危险物品</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条，未经依法批准，擅自生产、经营、运输、储存、使用危险物品或者处置废弃危险物品的，依照有关危险物品安全管理的法律、行政法规的规定予以处罚；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生产经营单位生产、经营、运输、储存、使用危险物品或者处置废弃危险物品，未建立专门安全管理制度、未采取可靠的安全措施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一）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生产经营单位对重大危险源未登记建档，或者未进行评估、监控，或者未制定应急预案</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二）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生产经营单位未建立安全风险分级管控制度或者未按照安全风险分级采取相应管控措施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四）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生产经营单位未建立事故隐患排查治理制度，或者重大事故隐患排查治理情况未按照规定报告</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违反条款：《中华人民共和国安全生产法》第四十一条第二款；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9"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生产经营单位未将事故隐患排查治理情况如实记录或者未向从业人员通报</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 </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9"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生产经营单位未采取措施消除事故隐患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违反条款：《中华人民共和国安全生产法》第四十一条第二款；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处罚条款：第一百零二条，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生产、经营、储存、使用危险物品的车间、商店、仓库与员工宿舍在同一座建筑内，或者与员工宿舍的距离不符合安全要求</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一）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9"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生产经营场所和员工宿舍未设有符合紧急疏散需要、标志明显、保持畅通的出口，或者封闭、堵塞生产经营场所或者员工宿舍出口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二）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9"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26</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生产经营单位进行危险作业未安排专门管理人员进行现场安全管理</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违反条款：《中华人民共和国安全生产法》第四十三条；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三）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74"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27</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生产经营单位未按照规定向从业人员如实告知有关的安全生产事项</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违反条款：《中华人民共和国安全生产法》第四十四条第一款；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88"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违反条款：《北京市安全生产条例》第三十七条第一款</w:t>
            </w:r>
            <w:r>
              <w:rPr>
                <w:rFonts w:hint="eastAsia" w:ascii="宋体" w:hAnsi="宋体" w:eastAsia="宋体"/>
                <w:color w:val="auto"/>
                <w:sz w:val="15"/>
                <w:szCs w:val="15"/>
                <w:highlight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生产经营单位未为从业人员提供符合国家标准或者行业标准的劳动防护用品</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违反条款：《中华人民共和国安全生产法》第四十五条；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五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两个以上生产经营单位在同一作业区域内进行可能危及对方安全生产的生产经营活动，未签订安全生产管理协议或者未指定专职安全生产管理人员进行安全检查与协调</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违反条款：《中华人民共和国安全生产法》第四十八条；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处罚条款：第一百零四条，责令限期改正，处五万元以下的罚款，对其直接负责的主管人员和其他直接责任人员处一万元以下的罚款；逾期未改正的，责令停产停业。</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871"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30</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生产经营单位将生产经营项目、场所、设备发包或者出租给不具备安全生产条件或者相应资质的单位或者个人</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处罚条款：第一百零三条第一款，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违反条款：《建设工程安全生产管理条例》第十一条第一款：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处罚条款：第五十五条第（三）项，责令限期改正，处20万元以上50万元以下的罚款；造成重大安全事故，构成犯罪的，对直接责任人员，依照刑法有关规定追究刑事责任；造成损失的，依法承担赔偿责任。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7"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生产经营单位未与承包单位、承租单位签订专门的安全生产管理协议或者未在承包合同、租赁合同中明确各自的安全生产管理职责，或者未对承包单位、承租单位的安全生产统一协调、管理</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处罚条款：第一百零三条第二款，责令限期改正，处五万元以下的罚款，对其直接负责的主管人员和其他直接责任人员处一万元以下的罚款；逾期未改正的，责令停产停业整顿。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用于生产、储存、装卸危险物品的建设项目的施工单位未按照规定对施工项目进行安全管理的或者倒卖、出租、出借、挂靠或者以其他形式非法转让施工资质</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33</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高危行业、领域的生产经营单位未按照国家规定投保安全生产责任保险</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违反条款：《中华人民共和国安全生产法》第五十一条第二款；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处罚条款：第一百零九条，责令限期改正，处五万元以上十万元以下的罚款；逾期未改正的，处十万元以上二十万元以下的罚款。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处罚条款：第五十九条，责令限期改正，处五万元以上十万元以下的罚款；逾期未改正的，处十万元以上二十万元以下的罚款。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生产经营单位与从业人员订立协议，免除或者减轻其对从业人员因生产安全事故伤亡依法应承担的责任</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处罚条款：第一百零六条，该协议无效；对生产经营单位的主要负责人、个人经营的投资人处二万元以上十万元以下的罚款。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生产经营单位拒绝、阻碍负有安全生产监督管理职责的部门依法实施监督检查的，责令改正；拒不改正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违反条款：《中华人民共和国安全生产法》第六十六条；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36</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承担安全评价、认证、检测、检验职责的机构租借资质、挂靠、出具虚假报告</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违反条款：</w:t>
            </w:r>
            <w:r>
              <w:rPr>
                <w:rFonts w:hint="eastAsia" w:ascii="宋体" w:hAnsi="宋体" w:eastAsia="宋体"/>
                <w:color w:val="auto"/>
                <w:sz w:val="15"/>
                <w:szCs w:val="15"/>
                <w:highlight w:val="none"/>
              </w:rPr>
              <w:t>《中华人民共和国安全生产法》第七十二条第二款：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九十二条第二款，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37</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生产经营单位未按照规定制定生产安全事故应急救援预案或者未定期组织演练</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违反条款：《中华人民共和国安全生产法》第八十一条；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条第（六）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违反条款：《生产安全事故应急条例》第五条第二款、第八条第二款；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承担安全评价、认证、检测、检验职责的机构出具失实报告</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违反条款：《中华人民共和国安全生产法》第七十二条第一款；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处罚条款：第九十二条第一款，责令停业整顿，并处三万元以上十万元以下的罚款；给他人造成损害的，依法承担赔偿责任。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生产经营单位存在重大事故隐患，一百八十日内三次或者一年内四次受到《中华人民共和国安全生产法》规定的行政处罚</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违反条款：《中华人民共和国安全生产法》第一百一十三条第（一）项；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一十三条第（一）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生产经营单位经停产停业整顿，仍不具备法律、行政法规和国家标准或者行业标准规定的安全生产条件</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违反条款：《中华人民共和国安全生产法》第一百一十三条第二项；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二）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生产经营单位拒不执行负有安全生产监督管理职责的部门作出的停产停业整顿决定</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违反条款：《中华人民共和国安全生产法》第一百一十三条第四项；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四）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生产经营单位未执行专项安全生产管理措施逾期未改正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违反条款：《北京市安全生产条例》第四十四条第一款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 xml:space="preserve"> </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处罚条款：第六十一条，责令限期改正；逾期未改正的，责令停止生产经营活动。</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生产经营单位开展危险化学品生产经营活动，未执行本市危险化学品禁止、限制、控制措施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违反条款：《北京市安全生产条例》第四十七条第二款；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处罚条款：第六十二条，责令改正；拒不改正的，处二万元以上十万元以下的罚款。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87" w:hRule="atLeast"/>
        </w:trPr>
        <w:tc>
          <w:tcPr>
            <w:tcW w:w="15100" w:type="dxa"/>
            <w:gridSpan w:val="15"/>
            <w:noWrap w:val="0"/>
            <w:vAlign w:val="center"/>
          </w:tcPr>
          <w:p>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94" w:name="_Toc865563829"/>
            <w:r>
              <w:rPr>
                <w:rFonts w:hint="eastAsia" w:ascii="宋体" w:hAnsi="宋体" w:eastAsia="宋体" w:cs="宋体"/>
                <w:color w:val="auto"/>
                <w:sz w:val="21"/>
                <w:szCs w:val="21"/>
                <w:highlight w:val="none"/>
              </w:rPr>
              <w:t>《北京市生产安全事故隐患排查治理办法》</w:t>
            </w:r>
            <w:r>
              <w:rPr>
                <w:rFonts w:hint="eastAsia" w:ascii="宋体" w:hAnsi="宋体" w:eastAsia="宋体" w:cs="宋体"/>
                <w:color w:val="auto"/>
                <w:sz w:val="21"/>
                <w:szCs w:val="21"/>
                <w:highlight w:val="none"/>
                <w:lang w:eastAsia="zh-Hans"/>
              </w:rPr>
              <w:t>案由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项</w:t>
            </w:r>
            <w:bookmarkEnd w:id="1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生产经营单位主要负责人未履行规定的事故隐患排查治理职责且逾期不改正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Hans"/>
              </w:rPr>
              <w:t>第</w:t>
            </w:r>
            <w:r>
              <w:rPr>
                <w:rFonts w:hint="eastAsia" w:ascii="宋体" w:hAnsi="宋体" w:eastAsia="宋体"/>
                <w:color w:val="auto"/>
                <w:sz w:val="15"/>
                <w:szCs w:val="15"/>
                <w:highlight w:val="none"/>
              </w:rPr>
              <w:t>七条；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处罚条款：第二十六条，责令限期改正；逾期未改正的，处2万元以上5万元以下罚款。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trike/>
                <w:dstrike w:val="0"/>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生产经营单位未定期通报事故隐患排查治理情况，或者未公示重大事故隐患的危害程度、影响范围和应急措施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违反条款：第十一条；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处罚条款：第二十八条，责令限期改正，可以处5万元以下罚款；逾期未改正的，责令停产停业整顿，并处5万元以上10万元以下罚款。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33" w:hRule="atLeast"/>
        </w:trPr>
        <w:tc>
          <w:tcPr>
            <w:tcW w:w="610" w:type="dxa"/>
            <w:noWrap w:val="0"/>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生产经营单位未将无法及时消除并可能危及公共安全的事故隐患，向所在地负有安全生产监督管理职责的部门报告</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违反条款：第十二条第一款第一项：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处罚条款：第二十九条，处5万元以下罚款。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8" w:hRule="atLeast"/>
        </w:trPr>
        <w:tc>
          <w:tcPr>
            <w:tcW w:w="610" w:type="dxa"/>
            <w:noWrap w:val="0"/>
            <w:vAlign w:val="center"/>
          </w:tcPr>
          <w:p>
            <w:pPr>
              <w:spacing w:line="232" w:lineRule="exact"/>
              <w:ind w:left="6" w:hanging="21"/>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生产经营单位未按照要求使用生产安全事故隐患排查治理信息系统，如实记录隐患排查治理情况</w:t>
            </w:r>
          </w:p>
        </w:tc>
        <w:tc>
          <w:tcPr>
            <w:tcW w:w="2789" w:type="dxa"/>
            <w:gridSpan w:val="2"/>
            <w:noWrap w:val="0"/>
            <w:vAlign w:val="top"/>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违反条款：第十六条；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处罚条款：第三十条， 责令限期改正，可以处5万元以下罚款；逾期未改正的，责令停产停业整顿，并处5万元以上10万元以下罚款。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5" w:hRule="atLeast"/>
        </w:trPr>
        <w:tc>
          <w:tcPr>
            <w:tcW w:w="15100" w:type="dxa"/>
            <w:gridSpan w:val="15"/>
            <w:noWrap w:val="0"/>
            <w:vAlign w:val="center"/>
          </w:tcPr>
          <w:p>
            <w:pPr>
              <w:pStyle w:val="3"/>
              <w:bidi w:val="0"/>
              <w:jc w:val="center"/>
              <w:rPr>
                <w:rFonts w:hint="default" w:ascii="宋体" w:hAnsi="宋体" w:eastAsia="宋体" w:cs="宋体"/>
                <w:color w:val="auto"/>
                <w:kern w:val="0"/>
                <w:sz w:val="15"/>
                <w:szCs w:val="15"/>
                <w:highlight w:val="none"/>
                <w:lang w:val="en-US"/>
              </w:rPr>
            </w:pPr>
            <w:bookmarkStart w:id="195" w:name="_Toc631020995"/>
            <w:r>
              <w:rPr>
                <w:rFonts w:hint="eastAsia" w:ascii="宋体" w:hAnsi="宋体" w:eastAsia="宋体" w:cs="宋体"/>
                <w:color w:val="auto"/>
                <w:sz w:val="21"/>
                <w:szCs w:val="21"/>
                <w:highlight w:val="none"/>
                <w:lang w:val="en-US" w:eastAsia="zh-CN"/>
              </w:rPr>
              <w:t>《北京市生产经营单位安全生产主体责任规定》案由2项</w:t>
            </w:r>
            <w:bookmarkEnd w:id="1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5"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危险物品的生产经营单位未按照规定配备注册安全工程师</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违反条款：十四条第一款；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处罚条款：第三十七条， 责令改正，可以处5000元以上2万元以下罚款。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9"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爆破、吊装、挖掘、悬吊、建设工程拆除、油罐清洗等危险作业，以及在有限空间内作业、动火作业、高处作业、带电作业、临近高压输电线路作业，未制定作业方案，或未按照本单位内部批准权限审批，拒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违反条款：第二十五条第一项；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处罚条款：第四十六条， 责令改正；拒不改正的，责令停产停业整顿，可以处2万元以上10万元以下罚款。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3" w:hRule="atLeast"/>
        </w:trPr>
        <w:tc>
          <w:tcPr>
            <w:tcW w:w="15116" w:type="dxa"/>
            <w:gridSpan w:val="16"/>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黑体" w:cs="Times New Roman"/>
                <w:color w:val="auto"/>
                <w:kern w:val="0"/>
                <w:sz w:val="28"/>
                <w:szCs w:val="28"/>
                <w:highlight w:val="none"/>
              </w:rPr>
            </w:pPr>
            <w:bookmarkStart w:id="196" w:name="_Toc218468823"/>
            <w:bookmarkStart w:id="197" w:name="_Toc1601007469"/>
            <w:r>
              <w:rPr>
                <w:rFonts w:hint="eastAsia" w:ascii="黑体" w:hAnsi="黑体" w:eastAsia="黑体" w:cs="黑体"/>
                <w:color w:val="auto"/>
                <w:kern w:val="0"/>
                <w:sz w:val="28"/>
                <w:szCs w:val="28"/>
                <w:highlight w:val="none"/>
              </w:rPr>
              <w:t>节约用水管理方面</w:t>
            </w:r>
            <w:bookmarkEnd w:id="196"/>
            <w:bookmarkEnd w:id="19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4" w:hRule="atLeast"/>
        </w:trPr>
        <w:tc>
          <w:tcPr>
            <w:tcW w:w="15116" w:type="dxa"/>
            <w:gridSpan w:val="16"/>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198" w:name="_Toc440676623"/>
            <w:bookmarkStart w:id="199" w:name="_Toc218468824"/>
            <w:r>
              <w:rPr>
                <w:rFonts w:hint="eastAsia" w:ascii="宋体" w:hAnsi="宋体" w:eastAsia="宋体" w:cs="宋体"/>
                <w:b/>
                <w:bCs/>
                <w:color w:val="auto"/>
                <w:kern w:val="0"/>
                <w:szCs w:val="21"/>
                <w:highlight w:val="none"/>
              </w:rPr>
              <w:t>《中华人民共和国水法》《节约用水条例》案由4项</w:t>
            </w:r>
            <w:bookmarkEnd w:id="198"/>
            <w:bookmarkEnd w:id="19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建设项目的节水设施没有建成或者没有达到国家规定的要求，擅自投入使用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违反条款：《水法》第五十三条；《条例》第十九条；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处罚条款：《水法》第七十一条，责令停止使用，限期改正，处五万元以上十万元以下的罚款；《条例》第四十七条，依照《水法》有关规定给予处罚。</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60天或累计用水量＜5000立方米，系数为0；2.60天≤违法行为持续时间＜180天或5000立方米≤累计用水量＜10000立方米，系数为0.5；3.180天≤违法行为持续时间或10000立方米≤累计用水量，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侵占、损毁、擅自移动用水计量设施，或者干扰用水计量</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处罚条款：《条例》第四十六条，责令停止违法行为，限期采取补救措施，处1万元以上10万元以下的罚款；造成损失的，依法承担赔偿责任。</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系数为0；2.100立方米≤日用水量＜200立方米或60天≤违法行为持续时间＜120天，系数为2；3.200立方米≤日用水量＜300立方米或120天≤违法行为持续时间＜150天，系数为4；4.300立方米≤日用水量＜500立方米或150天≤违法行为持续时间＜180天，系数为6；5.500立方米≤日用水量或180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40" w:hRule="atLeast"/>
        </w:trPr>
        <w:tc>
          <w:tcPr>
            <w:tcW w:w="612" w:type="dxa"/>
            <w:gridSpan w:val="2"/>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 </w:t>
            </w:r>
          </w:p>
        </w:tc>
        <w:tc>
          <w:tcPr>
            <w:tcW w:w="1811"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工业企业的生产设备冷却水、空调冷却水、锅炉冷凝水未回收利用</w:t>
            </w:r>
          </w:p>
        </w:tc>
        <w:tc>
          <w:tcPr>
            <w:tcW w:w="2793" w:type="dxa"/>
            <w:gridSpan w:val="2"/>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处罚条款：《条例》第四十九条，责令改正，可以处5万元以下的罚款；拒不改正的，处5万元以上10万元以下的罚款。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日用水量＜400立方米或工业企业建筑面积＜3000平方米，系数为0；2.400立方米≤日用水量＜600立方米或3000平方米≤工业企业建筑面积＜5000平方米，系数为2；3.600立方米≤日用水量＜800立方米或5000平方米≤工业企业建筑面积＜7000平方米，系数为4；4.800立方米≤日用水量＜1000立方米或7000平方米≤工业企业建筑面积＜10000平方米，系数为6；5.1000立方米≤日用水量或10000平方米≤工业企业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val="en-US" w:eastAsia="zh-CN"/>
              </w:rPr>
              <w:t>5000</w:t>
            </w:r>
            <w:r>
              <w:rPr>
                <w:rFonts w:hint="eastAsia" w:ascii="宋体" w:hAnsi="宋体" w:eastAsia="宋体" w:cs="宋体"/>
                <w:color w:val="auto"/>
                <w:kern w:val="0"/>
                <w:sz w:val="15"/>
                <w:szCs w:val="15"/>
                <w:highlight w:val="none"/>
              </w:rPr>
              <w:t>元以下罚款决定的，</w:t>
            </w:r>
            <w:r>
              <w:rPr>
                <w:rFonts w:hint="eastAsia" w:ascii="宋体" w:hAnsi="宋体" w:eastAsia="宋体" w:cs="宋体"/>
                <w:color w:val="auto"/>
                <w:kern w:val="0"/>
                <w:sz w:val="15"/>
                <w:szCs w:val="15"/>
                <w:highlight w:val="none"/>
                <w:lang w:eastAsia="zh-CN"/>
              </w:rPr>
              <w:t>由执法人员在案卷中说明理由，并报案审会决定。</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处以下罚款：1.日用水量＜400立方米或工业企业建筑面积＜3000平方米，系数为0；2.400立方米≤日用水量＜1000立方米或3000平方米≤工业企业建筑面积＜10000平方米，系数为0.5；3.1000立方米≤日用水量或10000平方米≤工业企业建筑面积，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36"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对高耗水工业企业用水水平超过用水定额，未在规定的期限内进行节水改造</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处罚条款：《条例》第四十八条，责令改正，可以处10万元以下的罚款；拒不改正的，处10万元以上50万元以下的罚款，情节严重的，采取限制用水措施或者吊销其取水许可证。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企业用水水平超过用水定额＜50%，系数为0；2.50%≤企业用水水平超过用水定额＜90%，系数为2；3.90%≤企业用水水平超过用水定额＜120%，系数为4；4.120%≤企业用水水平超过用水定额＜150%，系数为6；5.150%≤企业用水水平超过用水定额＜180%，系数为8；6.180%≤企业用水水平超过用水定额，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（一）拒不改正且企业用水水平超过用水定额＞100%，视为情节严重。拟作出限制用水措施或吊销取水许可证的，在作出处罚决定前，要邀请行业主管部门共同会商。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015"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拒不改正的，处以下罚款：1.企业用水水平超过用水定额＜50%，系数为0；2.50%≤企业用水水平超过用水定额＜70%，系数为0.5；3.70%≤企业用水水平超过用水定额＜90%，系数为1；4.90%≤企业用水水平超过用水定额＜110%，系数为1.5；5.110%≤企业用水水平超过用水定额＜130%，系数为2；6.130%≤企业用水水平超过用水定额＜150%，系数为2.5；7.150%≤企业用水水平超过用水定额＜170%，系数为3；8.170%≤企业用水水平超过用水定额＜190%，系数为3.5；9.190%≤企业用水水平超过用水定额，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4"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0" w:name="_Toc218468825"/>
            <w:bookmarkStart w:id="201" w:name="_Toc761541787"/>
            <w:r>
              <w:rPr>
                <w:rFonts w:hint="eastAsia" w:ascii="宋体" w:hAnsi="宋体" w:eastAsia="宋体" w:cs="宋体"/>
                <w:b/>
                <w:bCs/>
                <w:color w:val="auto"/>
                <w:kern w:val="0"/>
                <w:szCs w:val="21"/>
                <w:highlight w:val="none"/>
              </w:rPr>
              <w:t>《城市房屋便器水箱应用监督管理办法》案由4项</w:t>
            </w:r>
            <w:bookmarkEnd w:id="200"/>
            <w:bookmarkEnd w:id="20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将安装有淘汰便器水箱和配件的新建房屋验收交付使用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处罚条款：第九条第一款第（一）项，责令限期改正，并可按每套便器水箱配件处以30-100元的罚款，最高不超过30000元。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未按更新改造计划更换淘汰便器水箱和配件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处罚条款：第九条第一款第（二）项，责令限期改正，并可按每套便器水箱配件处以30-100元的罚款，最高不超过30000元。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在限定的期限内未更换淘汰便器水箱和配件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处罚条款：第九条第一款第（三）项，责令限期改正，并可按每套便器水箱配件处以30-100元的罚款，最高不超过30000元。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漏水严重的房屋便器水箱和配件未按期进行维修或者更新</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处罚条款：第九条第一款第（四）项，责令限期改正，并可按每套便器水箱配件处以30-100元的罚款，最高不超过30000元。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2" w:name="_Toc218468826"/>
            <w:bookmarkStart w:id="203" w:name="_Toc1362354029"/>
            <w:r>
              <w:rPr>
                <w:rFonts w:hint="eastAsia" w:ascii="宋体" w:hAnsi="宋体" w:eastAsia="宋体" w:cs="宋体"/>
                <w:b/>
                <w:bCs/>
                <w:color w:val="auto"/>
                <w:kern w:val="0"/>
                <w:szCs w:val="21"/>
                <w:highlight w:val="none"/>
              </w:rPr>
              <w:t>《北京市节水条例》《北京市水污染防治条例》案由14项</w:t>
            </w:r>
            <w:bookmarkEnd w:id="202"/>
            <w:bookmarkEnd w:id="20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园林绿化用水未采用节水灌溉方式或者未采取其他节水措施，造成浪费用水的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处罚条款：《节水条例》第六十四条第一款，责令限期改正；逾期不改正的，处一万元以上五万元以下罚款。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用水量＜10立方米或未采用节水措施的绿化面积＜1000平方米，系数为0；2.10立方米≤单次用水量＜30立方米或1000平方米≤未采用节水措施的绿化面积＜3000平方米，系数为2；3.30立方米≤单次用水量或3000平方米≤未采用节水措施的绿化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纯净水生产企业产水率不符合国家和本市有关规定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本市相关标准的95%≤纯净水生产企业产水率＜本市相关标准，系数为0；2.本市相关标准的90%≤纯净水生产企业产水率＜本市相关标准的95%，系数为2；3.本市相关标准的85%≤纯净水生产企业产水率＜本市相关标准的90%，系数为4；4.本市相关标准的80%≤纯净水生产企业产水率＜本市相关标准的85%，系数为6；5.纯净水生产企业产水率＜本市相关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工业用水的重复利用率未达到强制性标准且未及时进行技术改造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强制性标准的95%≤工业用水的重复利用率＜强制性标准，系数为0；2.强制性标准的90%≤工业用水的重复利用率＜强制性标准的95%，系数为2；3.强制性标准的85%≤工业用水的重复利用率＜强制性标准的90%，系数为4；4.强制性标准的80%≤工业用水的重复利用率＜强制性标准的85%，系数为6；5.工业用水的重复利用率＜强制性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农村生活用水免费供水或者实行包费制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处罚条款：《节水条例》第六十条第二款，责令限期改正，给予警告；逾期不改正的，可以按照每户二百元以上五百元以下的标准处以罚款。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涉及户数＜200户或违法行为持续时间＜1年，系数为0；2.200户≤涉及户数＜1000户或1年≤违法行为持续时间＜2年，系数为0.5；3.1000户≤涉及户数＜2000户或2年≤违法行为持续时间＜3年，系数为1；4.2000户≤涉及户数或3年≤违法行为持续时间，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罚款金额=200×（1+情节系数）×供水户数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2"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从园林绿化、环境卫生、消防等公共用水设施非法用水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处罚条款：《节水条例》第六十八条，责令停止违法行为，对单位处一万元以上十万元以下罚款，对个人处一千元以上一万元以下罚款。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共用水设施管径＜DN10或单次取水量＜10立方米，系数为0；2.DN10≤公共用水设施管径＜DN30或10立方米≤单次取水量＜30立方米，系数为2；3.DN30≤公共用水设施管径＜DN60或30立方米≤单次取水量＜100立方米，系数为4；4.DN60≤公共用水设施管径＜DN150或100立方米≤单次取水量＜200立方米，系数为6；5.DN150≤公共用水设施管径或200立方米≤单次取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使用两个以上取水口的，以公共用水设施管径对应的系数进行累加计算。</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用水单位未依法取得临时用水指标擅自用水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违反条款：《节水条例》第二十九条第三款；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处罚条款：《节水条例》第六十一条，责令限期改正，处二万元以上十万元以下罚款。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用水天数＜30天或单次用水量＜100立方米，系数为0；2.30天≤持续用水天数＜45天或100立方米≤单次用水量＜200立方米，系数为1；3.45天≤持续用水天数＜60天或200立方米≤单次用水量＜300立方米，系数为2；4.60天≤持续用水天数＜75天或300立方米≤单次用水量＜400立方米，系数为3；5.75天≤持续用水天数或400立方米≤单次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园林绿化、环境卫生临时用水的，优先选择“单次用水量”；建筑施工临时用水的，优先选择“持续用水天数”。</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服务业用水单位未按照规定安装、使用循环用水设施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处罚条款：《节水条例》第六十六条，责令限期改正；逾期不改正的，处一千元以上一万元以下罚款。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或建筑面积＜300平方米，系数为0；2.100立方米≤日用水量＜200立方米或60天≤违法行为持续时间＜90天或300平方米≤建筑面积＜500平方米，系数为2；3.200立方米≤日用水量＜300立方米或90天≤违法行为持续时间＜120天或500平方米≤建筑面积＜800平方米，系数为4；4.300立方米≤日用水量＜500立方米或120天≤违法行为持续时间＜180天或800平方米≤建筑面积＜2000平方米，系数为6；5.500立方米≤日用水量或180天≤违法行为持续时间或2000平方米≤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以水为主要原料生成高纯度制剂的单位未回收利用生产后的尾水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处罚条款：《节水条例》第六十五条第二款，责令限期改正，处一万元以上十万元以下罚款。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违法行为持续时间＜5天或日用水量＜100立方米，系数为0；2.5天≤违法行为持续时间＜10天或100立方米≤日用水量＜200立方米，系数为2；3.10天≤违法行为持续时间＜30天或200立方米≤日用水量＜300立方米，系数为4；4.30天≤违法行为持续时间＜60天或300立方米≤日用水量＜500立方米，系数为6；5.60天≤违法行为持续时间或500立方米≤日用水量，系数为9。6.存在基准2.1.3规定情形的，系数按照相关规定确定（基准2.1.3.5不适用）。 </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提供洗车服务的用水户未建设、使用循环用水设施或者未按照规定使用再生水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均洗车量＜15辆或违法行为持续时间＜60天，系数为0；2.15辆≤日均洗车量＜20辆或60天≤违法行为持续时间＜120天，系数为1；3.20辆≤日均洗车量＜30辆或120天≤违法行为持续时间＜150天，系数为2；4.30辆≤日均洗车量＜50辆或150天≤违法行为持续时间＜180天，系数为3；5.50辆≤日均洗车量或180天≤违法行为持续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提供洗车服务的用水户，未按照规定向水务部门报送已建成循环用水设施的登记表或者提供再生水供水合同</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逾期后改正时间＜4天，系数为0；2.4天≤逾期后改正时间＜8天，系数为1；3.8天≤逾期后改正时间＜12天，系数为2；4.12天≤逾期后改正时间＜16天，系数为3；5.16天≤逾期后改正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需要作出</w:t>
            </w:r>
            <w:r>
              <w:rPr>
                <w:rFonts w:hint="eastAsia" w:ascii="宋体" w:hAnsi="宋体" w:eastAsia="宋体" w:cs="宋体"/>
                <w:color w:val="auto"/>
                <w:kern w:val="0"/>
                <w:sz w:val="15"/>
                <w:szCs w:val="15"/>
                <w:highlight w:val="none"/>
                <w:lang w:val="en-US" w:eastAsia="zh-CN"/>
              </w:rPr>
              <w:t>200元以下罚款决定的，由执法人员在案卷中说明理由。</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现场制售饮用水的单位或者个人未安装尾水回收设施对尾水进行利用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处罚条款：《节水条例》第六十五条第三款，责令限期改正；逾期不改正的，责令拆除，处五千元以上二万元以下罚款。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出水量＜50立方米或违法行为持续时间＜30天，系数为0；2.50立方米≤日出水量＜100立方米或30天≤违法行为持续时间＜90天，系数为1；3.100立方米≤日出水量＜300立方米或90天≤违法行为持续时间＜180天，系数为2；4.300立方米≤日出水量或180天≤违法行为持续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非居民用水户未保障节水设施正常运行，造成浪费用水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处罚条款：《节水条例》第六十二条，责令限期改正；逾期不改正的，处五万元以下罚款。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200立方米或跑冒滴漏＜3处，系数为0；2.200立方米≤日用水量＜500立方米或3处≤跑冒滴漏＜5处，系数为4；3.500立方米≤日用水量或5处≤跑冒滴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再生水、供暖等非饮用水管网与供水管网连接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处罚条款：《节水条例》第六十三条第一款第（二）项，责令停止违法行为，限期恢复原状或者采取其他补救措施并承担相关费用，对单位处五万元以上十万元以下罚款，对个人处一万元以上五万元以下罚款。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0.25；3.DN30≤混接管网管径＜DN60，系数为0.5；4.DN60≤混接管网管径＜DN150，系数为0.75；5.DN150≤混接管网管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1；3.DN30≤混接管网管径＜DN60，系数为2；4.DN60≤混接管网管径＜DN150，系数为3；5.DN150≤混接管网管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住宅小区、单位内部的景观用水使用地下水、自来水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违反条款：《水污染防治条例》第六十九条第二款；《节水条例》第三十五条第三款；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处罚条款：《水污染防治条例》第九十一条，责令停止违法行为，并处一万元以上三万元以下的罚款；《节水条例》第六十四条第二款，责令限期改正；逾期不改正的，处一万元以上三万元以下罚款。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水景观面积＜300平方米，系数为0；2.100立方米≤日用水量＜200立方米或300平方米≤水景观面积＜500平方米，系数为0.5；3.200立方米≤日用水量＜300立方米或500平方米≤水景观面积＜800平方米，系数为1；4.300立方米≤日用水量＜500立方米或800平方米≤水景观面积＜2000平方米，系数为1.5；5.500立方米≤日用水量或2000平方米≤水景观面积，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04" w:name="_Toc218468827"/>
            <w:bookmarkStart w:id="205" w:name="_Toc1514692142"/>
            <w:r>
              <w:rPr>
                <w:rFonts w:hint="eastAsia" w:ascii="黑体" w:hAnsi="黑体" w:eastAsia="黑体" w:cs="黑体"/>
                <w:color w:val="auto"/>
                <w:kern w:val="0"/>
                <w:sz w:val="28"/>
                <w:szCs w:val="28"/>
                <w:highlight w:val="none"/>
              </w:rPr>
              <w:t>水资源管理方面</w:t>
            </w:r>
            <w:bookmarkEnd w:id="204"/>
            <w:bookmarkEnd w:id="20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4"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6" w:name="_Toc218468828"/>
            <w:bookmarkStart w:id="207" w:name="_Toc1630665407"/>
            <w:r>
              <w:rPr>
                <w:rFonts w:hint="eastAsia" w:ascii="宋体" w:hAnsi="宋体" w:eastAsia="宋体" w:cs="宋体"/>
                <w:b/>
                <w:bCs/>
                <w:color w:val="auto"/>
                <w:kern w:val="0"/>
                <w:szCs w:val="21"/>
                <w:highlight w:val="none"/>
              </w:rPr>
              <w:t>《中华人民共和国水法》案由2项</w:t>
            </w:r>
            <w:bookmarkEnd w:id="206"/>
            <w:bookmarkEnd w:id="20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未经批准擅自取水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违反条款：第四十八条第一款；《铁路安全管理条例》第三十五条第一款、第二款；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一）项，责令停止违法行为，限期采取补救措施，处二万元以上十万元以下的罚款；情节严重的，吊销其取水许可证。《铁路安全管理条例》第九十一条第一款第（二）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在地下水禁止开采区或者限制开采区抽取地下水。</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或违法行为持续时间＜30天，系数为0；2.1000立方米≤日最大取水能力＜1500立方米或30天≤违法行为持续时间＜90天，系数为1；3.1500立方米≤日最大取水能力＜2000立方米或90天≤违法行为持续时间＜150天，系数为2；4.2000立方米≤日最大取水能力＜3000立方米或150天≤违法行为持续时间＜270天，系数为3；5.3000立方米≤日最大取水能力或270天≤违法行为持续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日最大取水能力总和＞5000立方米；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未依照批准的取水许可规定条件取水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处罚条款：第六十九条第一款第（二）项，责令停止违法行为，限期采取补救措施，处二万元以上十万元以下的罚款；情节严重的，吊销其取水许可证。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超出水量/许可水量＜50%，系数为0；50%≤超出水量/许可水量＜90%，系数为1；90%≤超出水量/许可水量＜120%，系数为2；120%≤超出水量/许可水量＜150%，系数为3；150%≤超出水量/许可水量或情节严重的，系数为4。2.未按照取水许可证规定的取水地点、水源类型、取水类型、取水用途进行取水的，发生一项，系数为0；每多一处，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拒不改正且超出水量/许可水量＞200%且取水地点、水源类型、取水类型、取水用途至少1项发生变化；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08" w:name="_Toc218468829"/>
            <w:bookmarkStart w:id="209" w:name="_Toc765626694"/>
            <w:r>
              <w:rPr>
                <w:rFonts w:hint="eastAsia" w:ascii="宋体" w:hAnsi="宋体" w:eastAsia="宋体" w:cs="宋体"/>
                <w:b/>
                <w:bCs/>
                <w:color w:val="auto"/>
                <w:kern w:val="0"/>
                <w:szCs w:val="21"/>
                <w:highlight w:val="none"/>
              </w:rPr>
              <w:t>《取水许可和水资源费征收管理条例》《地下水管理条例》案由9项</w:t>
            </w:r>
            <w:bookmarkEnd w:id="208"/>
            <w:bookmarkEnd w:id="20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取水申请人隐瞒有关情况或者提供虚假材料骗取取水申请批准文件或者取水许可证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处罚条款：《取水许可和水资源费征收管理条例》第五十条，给予警告，责令其限期补缴应当缴纳的水资源费，处2万元以上10万元以下罚款。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取水单位或者个人拒不执行审批机关作出的取水量限制决定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违反条款：《取水许可和水资源费征收管理条例》第二十七条和第四十一条；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超出水量/限制水量＜30%，系数为0；2.30%≤超出水量/限制水量＜70%，系数为1；3.70%≤超出水量/限制水量＜120%，系数为2；4.120%≤超出水量/限制水量＜200%，系数为3；5.200%</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超出水量/限制水量，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存在以下情形之一的，可视为情节严重：1.超出水量/限制水量＞200%；2.经执法部门处罚后，一年度内再次发生同类型违法行为。拟作出吊销取水许可证的，在作出处罚决定前，要邀请行业主管部门共同会商。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取水单位或者个人未经批准擅自转让取水权</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转让水量/许可水量＜20%，系数为0；2.20%≤转让水量/许可水量＜40%，系数为1；3.40%≤转让水量/许可水量＜60%，系数为2；4.60%≤转让水量/许可水量＜80%，系数为3；5.80%≤转让水量/许可水量＜100%，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存在以下情形之一的，可视为情节严重：1.转让水量/许可水量=100%；2.经执法部门处罚后，一年度内再次发生同类型违法行为。拟作出吊销取水许可证的，在作出处罚决定前，要邀请行业主管部门共同会商。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取水单位或者个人不按照规定报送年度取水情况</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处罚条款：《取水许可和水资源费征收管理条例》第五十二条第一款第（一）项，责令停止违法行为，限期改正，处5000元以上2万元以下罚款；情节严重的，吊销取水许可证。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5天，系数为0；2.5天≤逾期报送时间＜10天，系数为1；3.10天≤逾期报送时间＜15天，系数为2；4.15天≤逾期报送时间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逾期报送时间＞25个工作日视为情节严重。拟作出吊销取水许可证的，在作出处罚决定前，要邀请行业主管部门共同会商。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取水单位拒绝接受监督检查或者弄虚作假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处罚条款：《取水许可和水资源费征收管理条例》第五十二条第一款第（二）项，责令停止违法行为，限期改正，处5000元以上2万元以下罚款；情节严重的，吊销取水许可证。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1.取水量＜10000立方米，系数为1；2.10000立方米≤取水量＜100000立方米，系数为2；3.100000立方米≤取水量，系数为3。（三）情节严重的，系数为3。（四）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取水量＞500000立方米且拒不改正；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取水单位或个人退水水质达不到规定要求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3项，系数为0；2.3项≤水质超标＜5项，系数为1；3.5项≤水质超标＜7项，系数为2；4.7项≤水质超标≤10项或5倍≤单项水质超标倍数≤10倍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3.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取水单位或个人未安装计量设施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处罚条款：《地下水管理条例》第五十六条第一款，责令限期安装，处10万元以上50万元以下罚款；情节严重的，吊销取水许可证。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（一）取用地下水的，优先适用《地下水管理条例》；取用地表水的，应当适用《取水许可和水资源费征收管理条例》。</w:t>
            </w:r>
          </w:p>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处罚条款：《取水许可和水资源费征收管理条例》第五十三条第一款，责令限期安装，处5000元以上2万元以下罚款；情节严重的，吊销取水许可证。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1.日最大取水能力总和＜1000立方米，系数为0；2.1000立方米≤日最大取水能力总和＜3000立方米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系数为1；3.3000立方米≤日最大取水能力总和＜5000立方米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系数为2；4.5000立方米≤日最大取水能力总和或情节严重的，系数为3。5.存在基准2.1.3规定情形的，系数按照相关规定确定（基准2.1.3.5不适用）。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取水单位或个人计量设施不合格或者运行不正常</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处罚条款：《地下水管理条例》第五十六条第二款，责令限期更换或者修复；逾期不更换或者不修复的，处10万元以上50万元以下罚款；情节严重的，吊销取水许可证。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z w:val="15"/>
                <w:szCs w:val="15"/>
                <w:highlight w:val="none"/>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ascii="Times New Roman" w:hAnsi="Times New Roman" w:eastAsia="宋体" w:cs="Times New Roman"/>
                <w:color w:val="auto"/>
                <w:kern w:val="0"/>
                <w:sz w:val="15"/>
                <w:szCs w:val="15"/>
                <w:highlight w:val="none"/>
              </w:rPr>
              <w:t>（一）</w:t>
            </w:r>
            <w:r>
              <w:rPr>
                <w:rFonts w:hint="eastAsia" w:ascii="Times New Roman" w:hAnsi="Times New Roman" w:eastAsia="宋体" w:cs="Times New Roman"/>
                <w:color w:val="auto"/>
                <w:kern w:val="0"/>
                <w:sz w:val="15"/>
                <w:szCs w:val="15"/>
                <w:highlight w:val="none"/>
                <w:lang w:val="en-US" w:eastAsia="zh-CN"/>
              </w:rPr>
              <w:t>取用地下水的，优先适用</w:t>
            </w:r>
            <w:r>
              <w:rPr>
                <w:rFonts w:ascii="Times New Roman" w:hAnsi="Times New Roman" w:eastAsia="宋体" w:cs="Times New Roman"/>
                <w:color w:val="auto"/>
                <w:kern w:val="0"/>
                <w:sz w:val="15"/>
                <w:szCs w:val="15"/>
                <w:highlight w:val="none"/>
              </w:rPr>
              <w:t>《地下水管理条例》</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lang w:val="en-US" w:eastAsia="zh-CN"/>
              </w:rPr>
              <w:t>取用地表水的，应当适用</w:t>
            </w:r>
            <w:r>
              <w:rPr>
                <w:rFonts w:ascii="Times New Roman" w:hAnsi="Times New Roman" w:eastAsia="宋体" w:cs="Times New Roman"/>
                <w:color w:val="auto"/>
                <w:kern w:val="0"/>
                <w:sz w:val="15"/>
                <w:szCs w:val="15"/>
                <w:highlight w:val="none"/>
              </w:rPr>
              <w:t>《取水许可和水资源费征收管理条例》。</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处罚条款：《取水许可和水资源费征收管理条例》第五十三条第二款，责令限期更换或者修复；逾期不更换或者不修复的，可以处1万元以下罚款；情节严重的，吊销取水许可证。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1.日最大取水能力总和＜1000立方米，系数为0；2.1000立方米≤日最大取水能力总和＜3000立方米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系数为3；3.3000立方米≤日最大取水能力总和＜5000立方米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系数为6；4.5000立方米≤日最大取水能力总和或情节严重的，系数为9。5.存在基准2.1.3规定情形的，系数按照相关规定确定（基准2.1.3.5不适用）。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伪造、涂改、冒用取水申请批准文件、取水许可证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处罚条款：第五十六条，责令改正，没收违法所得和非法财物，并处2万元以上10万元以下罚款。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和非法财物，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0" w:name="_Toc218468830"/>
            <w:bookmarkStart w:id="211" w:name="_Toc997759312"/>
            <w:r>
              <w:rPr>
                <w:rFonts w:hint="eastAsia" w:ascii="宋体" w:hAnsi="宋体" w:eastAsia="宋体" w:cs="宋体"/>
                <w:b/>
                <w:bCs/>
                <w:color w:val="auto"/>
                <w:kern w:val="0"/>
                <w:szCs w:val="21"/>
                <w:highlight w:val="none"/>
              </w:rPr>
              <w:t>《地下水管理条例》案由6项</w:t>
            </w:r>
            <w:bookmarkEnd w:id="210"/>
            <w:bookmarkEnd w:id="21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利用岩层孔隙、裂隙、溶洞、废弃矿坑等贮存城镇污水处理设施产生的污泥和处理后的污泥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第二款，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50吨≤污泥量＜70吨，系数为0.5；污泥量每增加20吨（不足20吨的，按20吨计），系数加0.5；390吨≤污泥量＜410吨，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2.50吨≤污泥量＜70吨，系数为1；3.70吨≤污泥量＜110吨，系数为2；4.110吨≤污泥量＜130吨，系数为3；5.130吨≤污泥量＜410吨，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造成严重后果，处以下罚款：1.410吨≤污泥量＜430吨，系数为0；430吨≤污泥量＜450吨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系数为0.05；污泥量每增加20吨（不足20吨的，按20吨计），系数加0.05；1010吨≤污泥量，系数为1.5。2.存在基准2.1.3规定情形的，系数按照相关规定确定（基准2.1.3.5不适用）。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造成严重后果，处以下罚款：1.410吨≤污泥量＜510吨，系数为0；510吨≤污泥量＜610吨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系数为0.5；污泥量每增加100吨（不足100吨的，按100吨计），系数加0.5；2210吨≤污泥量，系数为9。2.存在基准2.1.3规定情形的，系数按照相关规定确定（基准2.1.3.5不适用）。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矿产资源开采、地下工程建设疏干排水应当定期报送疏干排水量和地下水水位状况而未报送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地下工程建设应当于开工前将工程建设方案和防止对地下水产生不利影响的措施方案备案而未备案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侵占、毁坏或者擅自移动地下水监测设施设备及其标志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处罚条款：第六十条，责令停止违法行为，限期采取补救措施，处2万元以上10万元以下罚款。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1.限期内采取补救措施且达到效果的，系数为0；2.限期内采取补救措施但未达到效果的，系数为2；3.限期内未采取补救措施的，系数为4。4.存在基准2.1.3规定情形的，系数按照相关规定确定（基准2.1.3.5不适用）。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地下水监测设施设备及其标志恢复正常运行视为达到效果。</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以监测、勘探为目的的地下水取水工程在施工前应当备案而未备案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处罚条款：第六十一条，责令限期补办备案手续；逾期不补办备案手续的，责令限期封井或者回填，处2万元以上10万元以下罚款。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不补办备案手续，责令完成封井或者回填的，系数为0；2.逾期后补办备案手续时间＜10天，系数为0；3.10天≤逾期后补办备案手续时间＜25天，系数为2；4.25天≤逾期后补办备案手续时间，系数为4。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地下工程建设对地下水补给、径流、排泄等造成重大不利影响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处罚条款：第五十七条，责令限期采取措施消除不利影响，处10万元以上50万元以下罚款</w:t>
            </w:r>
          </w:p>
        </w:tc>
        <w:tc>
          <w:tcPr>
            <w:tcW w:w="864"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地下水补给、径流、排泄等2种重大不利影响的，系数为0.8；3种重大不利影响的，系数为1.6；以此类推；2.涉及限制开采区，系数为0.8；涉及禁止开采区，系数为1.6；3.未有效消除不利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2" w:name="_Toc218468831"/>
            <w:bookmarkStart w:id="213" w:name="_Toc1713452765"/>
            <w:r>
              <w:rPr>
                <w:rFonts w:hint="eastAsia" w:ascii="宋体" w:hAnsi="宋体" w:eastAsia="宋体" w:cs="宋体"/>
                <w:b/>
                <w:bCs/>
                <w:color w:val="auto"/>
                <w:kern w:val="0"/>
                <w:szCs w:val="21"/>
                <w:highlight w:val="none"/>
              </w:rPr>
              <w:t>《取水许可管理办法》案由3项</w:t>
            </w:r>
            <w:bookmarkEnd w:id="212"/>
            <w:bookmarkEnd w:id="21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取水单位擅自停止使用节水设施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处罚条款：第四十九条第一款第（一）项，责令其限期改正，并可处1000元以下罚款。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1.擅自停止使用节水设施＜30天，系数为0；2.30天≤擅自停止使用节水设施＜90天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系数为2；3.90天≤擅自停止使用节水设施＜150天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系数为4；4.150天≤擅自停止使用节水设施＜270天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系数为6；5.270天≤擅自停止使用节水设施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擅自停止使用取退水计量设施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处罚条款：第四十九条第一款第（二）项，责令其限期改正，并可处1000元以下罚款。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1.擅自停止使用取退水计量设施＜30天，系数为0；2.30天≤擅自停止使用取退水计量设施＜90天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系数为2；3.90天≤擅自停止使用取退水计量设施＜150天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系数为4；4.150天≤擅自停止使用取退水计量设施＜270天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系数为6；5.270天≤擅自停止使用取退水计量设施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不按规定提供取水、退水计量资料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处罚条款：第四十九条第一款第（三）项，责令其限期改正，并可处1000元以下罚款。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1.不按规定提供取水、退水计量资料＜30天，系数为0；2.30天≤不按规定提供取水、退水计量资料＜90天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系数为2；3.90天≤不按规定提供取水、退水计量资料＜150天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系数为4；4.150天≤不按规定提供取水、退水计量资料＜270天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系数为6；5.270天≤不按规定提供取水、退水计量资料</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4" w:name="_Toc218468832"/>
            <w:bookmarkStart w:id="215" w:name="_Toc383853627"/>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中华人民共和国水法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办法》案由1项</w:t>
            </w:r>
            <w:bookmarkEnd w:id="214"/>
            <w:bookmarkEnd w:id="21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未经批准开凿机井</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处罚条款：第四十四条，责令停止违法行为，限期补办手续，并处二万元以上六万元以下的罚款。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补办许可手续或自行封井的，系数为0；2.限期内未补办许可手续，在责令封井限期内封井的，系数为1；3.限期内未补办许可手续，在责令封井限期内未封井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本案由适用于在非地下水严重超采区或集中供水管网覆盖范围地区未经批准开凿机井。</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处罚条款：第四十五条，责令停止违法行为，限期封井，并处七万元以上十万元以下的罚款。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70000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封井的，系数为0；2.逾期封井＜5天，系数为0.1；3.5天≤逾期封井＜10天，系数为0.3；4.10天≤逾期封井，系数为0.5；5.封井期间仍继续取水，系数为0.5。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罚款金额=70000×（1+情节系数）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本案由适用于在地下水严重超采区或集中供水管网覆盖范围地区非法开凿机井。</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16" w:name="_Toc218468833"/>
            <w:bookmarkStart w:id="217" w:name="_Toc509715699"/>
            <w:r>
              <w:rPr>
                <w:rFonts w:hint="eastAsia" w:ascii="黑体" w:hAnsi="黑体" w:eastAsia="黑体" w:cs="黑体"/>
                <w:color w:val="auto"/>
                <w:kern w:val="0"/>
                <w:sz w:val="28"/>
                <w:szCs w:val="28"/>
                <w:highlight w:val="none"/>
              </w:rPr>
              <w:t>排水管理方面</w:t>
            </w:r>
            <w:bookmarkEnd w:id="216"/>
            <w:bookmarkEnd w:id="21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18" w:name="_Toc218468834"/>
            <w:bookmarkStart w:id="219" w:name="_Toc428580382"/>
            <w:r>
              <w:rPr>
                <w:rFonts w:hint="eastAsia" w:ascii="宋体" w:hAnsi="宋体" w:eastAsia="宋体" w:cs="宋体"/>
                <w:b/>
                <w:bCs/>
                <w:color w:val="auto"/>
                <w:kern w:val="0"/>
                <w:szCs w:val="21"/>
                <w:highlight w:val="none"/>
              </w:rPr>
              <w:t>《中华人民共和国固体废物污染环境防治法》《城镇排水与污水处理条例》《中华人民共和国水污染防治法》案由2项</w:t>
            </w:r>
            <w:bookmarkEnd w:id="218"/>
            <w:bookmarkEnd w:id="21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产生的污泥以及处理处置后的污泥的去向、用途、用量等未进行跟踪、记录的，或者处理处置后的污泥不符合国家有关标准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违反条款：《固体废物污染环境防治法》第七十一条第一款；《条例》第三十条；《水污染防治法》第五十一条；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第一款，责令改正，给予警告；造成严重后果的，处十万元以上二十万元以下的罚款；《条例》第五十三条第一款，责令限期采取治理措施，给予警告；造成严重后果的，处10万元以上20万元以下罚款；《水污染防治法》第八十八条，责令限期采取治理措施，给予警告；造成严重后果的，处十万元以上二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未造成严重后果，给予警告；（二）造成严重后果的，处以下罚款：1.污泥量＜100吨，系数为02.100吨≤污泥量＜200吨，系数为0.2；3.200吨≤污泥量＜300吨，系数为0.4；4.300吨≤污泥量＜400吨，系数为0.6；5.400吨≤污泥量＜500吨，系数为0.8；6.500吨≤污泥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存在以下情形之一的，可视为严重后果：1.违法行为在农用地或河湖保护和管理范围内或在地下水污染防治重点区；2.有生态赔偿的；3.经执法部门处罚后，一年度内再次发生同类型违法行为。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擅自倾倒、堆放、丢弃、遗撒污泥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0.2；每增加10吨（不足10吨的，按10吨计），系数加0.2；210吨≤擅自倾倒、堆放、丢弃、遗撒污泥量，系数为4。2.存在基准2.1.3规定情形的，系数按照相关规定确定（基准2.1.3.5不适用）。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25吨，系数为0.05；每增加5吨（不足5吨的，按5吨计），系数加0.05；165吨≤擅自倾倒、堆放、丢弃、遗撒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30吨，系数为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20" w:name="_Toc218468835"/>
            <w:bookmarkStart w:id="221" w:name="_Toc439646679"/>
            <w:r>
              <w:rPr>
                <w:rFonts w:hint="eastAsia" w:ascii="宋体" w:hAnsi="宋体" w:eastAsia="宋体" w:cs="宋体"/>
                <w:b/>
                <w:bCs/>
                <w:color w:val="auto"/>
                <w:kern w:val="0"/>
                <w:szCs w:val="21"/>
                <w:highlight w:val="none"/>
              </w:rPr>
              <w:t>《城镇排水与污水处理条例》《北京市排水和再生水管理办法》案由12项</w:t>
            </w:r>
            <w:bookmarkEnd w:id="220"/>
            <w:bookmarkEnd w:id="22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8"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城镇排水与污水处理设施、再生水设施维护运营单位未按照有关规定履行日常巡查、维修和养护责任，保障设施安全运行</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违法行为持续时间＜15天，系数为0；2.15天≤违法行为持续时间＜20天，系数为0.5；3.20天≤违法行为持续时间＜25天，系数为1；4.25天≤违法行为持续时间＜30天，系数为1.5；5.30天≤违法行为持续时间＜35天，系数为2；6.35天≤违法行为持续时间＜40天，系数为2.5；7.40天≤违法行为持续时间＜45天，系数为3；8.45天≤违法行为持续时间＜60天，系数为3.5；9.60天≤违法行为持续时间，系数为4。</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处罚条款：《办法》第三十七条第一款第（一）项，给予警告，责令限期改正，并可处1万元以上3万元以下罚款。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违法行为持续时间＜15天，系数为0；2.15天≤违法行为持续时间＜60天，系数为1；3.60天≤违法行为持续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本案由主要适用于对再生水设施未履行巡查、养护和维护职责行为的处罚。</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因工程建设需要擅自拆除、改动城镇排水与污水处理设施</w:t>
            </w:r>
          </w:p>
        </w:tc>
        <w:tc>
          <w:tcPr>
            <w:tcW w:w="2793" w:type="dxa"/>
            <w:gridSpan w:val="2"/>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处罚条款：《条例》第五十七条第二款，责令改正，恢复原状或者采取其他补救措施，处5万元以上10万元以下罚款；造成严重后果的，处10万元以上30万元以下罚款。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处以下罚款：1.直接经济损失＜5万元，系数为0；2.5万元≤直接经济损失＜20万元，系数为0.5；3.20万元≤直接经济损失，系数为1。4.存在基准2.1.3规定情形的，系数按照相关规定确定（基准2.1.3.5不适用）。罚款金额不得超过10万元。</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造成严重后果的，处以下罚款：1.违法行为改正时间=1天，系数为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；违法行为改正时间每增加1天，系数加0.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w:t>
            </w:r>
            <w:r>
              <w:rPr>
                <w:rFonts w:hint="eastAsia" w:ascii="宋体" w:hAnsi="宋体" w:eastAsia="宋体" w:cs="宋体"/>
                <w:color w:val="auto"/>
                <w:kern w:val="0"/>
                <w:sz w:val="15"/>
                <w:szCs w:val="15"/>
                <w:highlight w:val="none"/>
              </w:rPr>
              <w:t>天≤违法行为改正时间，系数为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0000×（1+情节系数）</w:t>
            </w:r>
          </w:p>
        </w:tc>
        <w:tc>
          <w:tcPr>
            <w:tcW w:w="1973" w:type="dxa"/>
            <w:gridSpan w:val="2"/>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在雨水、污水分流地区，建设单位、施工单位将雨水管网、污水管网相互混接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1.混接管径＜DN400或未实际排水，系数为0；2.DN400≤混接管径＜DN800，系数为0.5；3.DN800≤混接管径，系数为1。4.存在基准2.1.3规定情形的，系数按照相关规定确定（基准2.1.3.5不适用）。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在雨水、污水分流地区将污水排入雨水管网</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0.2；3.20立方米≤日用水量＜30立方米，系数为0.4；4.30立方米≤日用水量＜40立方米，系数为0.6；5.40立方米≤日用水量＜50立方米，系数为0.8；6.50立方米≤日用水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存在以下情形之一的，可视为严重后果：1.出现生态赔偿的；2.造成污染物外溢且影响户数＞1000户；3.经执法部门处罚后，一年度内再次发生同类型违法行为。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1；3.20立方米≤日用水量＜30立方米，系数为2；4.30立方米≤日用水量＜40立方米，系数为3；5.40立方米≤日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因城镇排水设施维护或者检修可能对排水造成影响或者严重影响，城镇排水设施维护运营单位未提前通知相关排水户或者未事先向城镇排水主管部门报告，采取应急处理措施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处以下罚款：1.影响排水时间＜2天，系数为0；2.2天≤影响排水时间＜4 天，系数为0.2；3.4天≤影响排水时间＜6 天，系数为0.4；4.6天≤影响排水时间＜8 天，系数为0.6；5.8天≤影响排水时间＜10 天，系数为0.8；6.10天≤影响排水时间，系数为1。7.存在基准2.1.3规定情形的，系数按照相关规定确定（基准2.1.3.5不适用）。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城镇排水设施维护运营单位未按照防汛要求对城镇排水设施进行全面检查、维护、清疏，影响汛期排水畅通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，处以下罚款：1.影响汛期排水通畅时间＜6小时，系数为0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2.6小时≤影响汛期排水通畅时间＜12小时，系数为0.2；3.12小时≤影响汛期排水通畅时间＜18小时，系数为0.4；4.18小时≤影响汛期排水通畅时间＜24小时，系数为0.6；5.24小时≤影响汛期排水通畅时间＜30小时，系数为0.8；6.30小时≤影响汛期排水通畅时间＜36小时，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发生一般及以上安全事故的，视为严重后果。</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城镇排水设施维护运营单位未按照有关规定检测、报送有关信息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处罚条款：《条例》第五十二条第一款，责令改正，可以处5万元以下罚款。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污水处理水质、水量、主要污染物削减量、生产运营成本等信息，出现1类，系数为0；每多出现1类，系数加1；2.未按照国家有关规定检测进出水水质，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擅自停运城镇污水处理设施，未按照规定事先报告或者采取应急处理措施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处罚条款：《条例》第五十二条第二款，责令改正，给予警告；逾期不改正或者造成严重后果的，处10万元以上50万元以下罚</w:t>
            </w:r>
            <w:r>
              <w:rPr>
                <w:rFonts w:hint="eastAsia" w:ascii="宋体" w:hAnsi="宋体" w:eastAsia="宋体" w:cs="宋体"/>
                <w:color w:val="auto"/>
                <w:kern w:val="0"/>
                <w:sz w:val="15"/>
                <w:szCs w:val="15"/>
                <w:highlight w:val="none"/>
                <w:lang w:eastAsia="zh-CN"/>
              </w:rPr>
              <w:t>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，处以下罚款：1.晚于法定报告时间＜10个工作日，系数为0；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10个工作日≤晚于法定报告时间＜30个工作日，系数为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30个工作日≤晚于法定报告时间＜60个工作日，系数为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60个工作日≤晚于法定报告时间＜90个工作日，系数为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90个工作日≤晚于法定报告时间，系数为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.未按照规定采取应急措施，系数为2。</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存在以下情形之一的，可视为严重后果：1.造成城镇污水处理厂排放超标或污染物外溢且影响户数＞1000户；2.经执法部门处罚后，一年度内再次发生同类型违法行为。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排水单位（用水单位）或者个人不缴纳污水处理费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处罚条款：《条例》第五十四条，责令限期缴纳，逾期拒不缴纳的，处应缴纳污水处理费数额1倍以上3倍以下罚款。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应缴纳污水处理费</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缴费时间＜5个工作日，系数为0；2.5个工作日≤逾期后缴费时间＜10个工作日，系数为1；3.10个工作日≤逾期后缴费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罚款金额=应缴纳污水处理费×（1+情节系数）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78"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因巡查、维护不到位，导致窨井盖丢失、损毁，造成人员伤亡和财产损失</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处罚条款：《条例》第五十五条第一款第（三）项，责令改正，给予警告；逾期不改正或者造成严重后果的，处10万元以上50万元以下罚款。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限期改正，且无人员伤亡，给予警告。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（二）逾期不改正，但无人员伤亡，处以下罚款：1.财产损失＜5万，系数为0；2.5万≤财产损失＜10万，系数为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；3.10万≤财产损失＜15万，系数为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；4.15万≤财产损失＜20万，系数为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；5.20万≤财产损失，系数为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。6.存在基准2.1.3规定情形的，系数按照相关规定确定（基准2.1.3.5不适用）。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（三）有人员伤亡的，处以下罚款：1.有人员受伤，在（二）基础上，系数加2；2.有人员死亡，系数为4。3.存在基准2.1.3规定情形的，系数按照相关规定确定（基准2.1.3.5不适用）。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7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城镇排水与污水处理安全事故或者突发事件发生后，未及时采取防护措施、组织事故抢修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，处以下罚款：1.逾期后改正时间＜2天，系数为0；2.2天≤逾期后改正时间＜</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2.5；7</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3；8</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天≤逾期后改正时间，系数为</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因未及时采取防护措施、组织事故抢修，再次发生一般及以上安全事故的；2.造成城镇污水处理厂排放超标或污染物外溢且影响户数＞1000户；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31" w:hRule="atLeast"/>
        </w:trPr>
        <w:tc>
          <w:tcPr>
            <w:tcW w:w="612"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从事爆破、钻探、打桩、顶进、挖掘、取土等可能影响城镇排水与污水处理设施安全的活动，未与施工单位、设施维护运营单位等共同制定设施保护方案，并采取相应的安全防护措施</w:t>
            </w:r>
          </w:p>
        </w:tc>
        <w:tc>
          <w:tcPr>
            <w:tcW w:w="27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处罚条款：《条例》第五十七条第一款，责令改正，处2万元以上5万元以下罚款；造成严重后果的，处5万元以上10万元以下罚款。</w:t>
            </w:r>
          </w:p>
        </w:tc>
        <w:tc>
          <w:tcPr>
            <w:tcW w:w="86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未制定保护方案但有相应安全防护措施，系数为0；2.制定保护方案但未采取相应安全防护措施，系数为0.5；3.未制定保护方案且未采取相应安全防护措施，系数为1.5。4.存在基准2.1.3规定情形的，系数按照相关规定确定（基准2.1.3.5不适用）。罚款金额不得超过5万元。</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4" w:hRule="atLeast"/>
        </w:trPr>
        <w:tc>
          <w:tcPr>
            <w:tcW w:w="61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bookmarkStart w:id="222" w:name="_Toc218468836"/>
          </w:p>
        </w:tc>
        <w:tc>
          <w:tcPr>
            <w:tcW w:w="181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造成严重后果，处以下罚款：1.未制定保护方案但有相应安全防护措施，系数为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；2.制定保护方案但未采取相应安全防护措施，系数为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；3.未制定保护方案且未采取相应安全防护措施，系数为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1973"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4"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23" w:name="_Toc713830715"/>
            <w:r>
              <w:rPr>
                <w:rFonts w:hint="eastAsia" w:ascii="宋体" w:hAnsi="宋体" w:eastAsia="宋体" w:cs="宋体"/>
                <w:b/>
                <w:bCs/>
                <w:color w:val="auto"/>
                <w:kern w:val="0"/>
                <w:szCs w:val="21"/>
                <w:highlight w:val="none"/>
              </w:rPr>
              <w:t>《城镇污水排入排水管网许可管理办法》《城镇排水与污水处理条例》案由10项</w:t>
            </w:r>
            <w:bookmarkEnd w:id="222"/>
            <w:bookmarkEnd w:id="22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排水户擅自拆卸、移动、穿凿和接入城镇排水设施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未按照有关规定将污水排入城镇排水设施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处罚条款：《办法》第二十六条，责令改正，给予警告；逾期不改正或者造成严重后果的，对单位处10万元以上20万元以下罚款；对个人处2万元以上10万元以下罚款。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8"/>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1项，系数为0；2.排入点污水水质超标项数=2项，系数为0.2；3.排入点污水水质超标项数=3项，系数为0.4；4.排入点污水水质超标项数=4项，系数为0.6；5.排入点污水水质超标项数=5项，系数为0.8；6.排入点污水水质超标项数≥6项，系数为1。7.存在基准2.1.3规定情形的，系数按照相关规定确定（基准2.1.3.5不适用）。</w:t>
            </w:r>
          </w:p>
          <w:p>
            <w:pPr>
              <w:widowControl/>
              <w:numPr>
                <w:ilvl w:val="0"/>
                <w:numId w:val="0"/>
              </w:numPr>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；2.4项＜排入点污水水质超标项数且6倍＜单项水质超标倍数≤7倍，系数为0.</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0.4</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；4.4项＜排入点污水水质超标项数且8倍＜单项水质超标倍数≤9倍，系数为0.</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w:t>
            </w:r>
            <w:r>
              <w:rPr>
                <w:rFonts w:hint="eastAsia" w:ascii="宋体" w:hAnsi="宋体" w:eastAsia="宋体" w:cs="宋体"/>
                <w:strike w:val="0"/>
                <w:dstrike w:val="0"/>
                <w:color w:val="auto"/>
                <w:kern w:val="0"/>
                <w:sz w:val="15"/>
                <w:szCs w:val="15"/>
                <w:highlight w:val="none"/>
                <w:lang w:eastAsia="zh-CN"/>
              </w:rPr>
              <w:t>.4项＜排入点污水水质超标项数且</w:t>
            </w:r>
            <w:r>
              <w:rPr>
                <w:rFonts w:hint="eastAsia" w:ascii="宋体" w:hAnsi="宋体" w:eastAsia="宋体" w:cs="宋体"/>
                <w:strike w:val="0"/>
                <w:dstrike w:val="0"/>
                <w:color w:val="auto"/>
                <w:kern w:val="0"/>
                <w:sz w:val="15"/>
                <w:szCs w:val="15"/>
                <w:highlight w:val="none"/>
                <w:lang w:val="en-US" w:eastAsia="zh-CN"/>
              </w:rPr>
              <w:t>9</w:t>
            </w:r>
            <w:r>
              <w:rPr>
                <w:rFonts w:hint="eastAsia" w:ascii="宋体" w:hAnsi="宋体" w:eastAsia="宋体" w:cs="宋体"/>
                <w:strike w:val="0"/>
                <w:dstrike w:val="0"/>
                <w:color w:val="auto"/>
                <w:kern w:val="0"/>
                <w:sz w:val="15"/>
                <w:szCs w:val="15"/>
                <w:highlight w:val="none"/>
                <w:lang w:eastAsia="zh-CN"/>
              </w:rPr>
              <w:t>倍＜单项水质超标倍数≤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倍，系数为0.</w:t>
            </w:r>
            <w:r>
              <w:rPr>
                <w:rFonts w:hint="eastAsia" w:ascii="宋体" w:hAnsi="宋体" w:eastAsia="宋体" w:cs="宋体"/>
                <w:strike w:val="0"/>
                <w:dstrike w:val="0"/>
                <w:color w:val="auto"/>
                <w:kern w:val="0"/>
                <w:sz w:val="15"/>
                <w:szCs w:val="15"/>
                <w:highlight w:val="none"/>
                <w:lang w:val="en-US" w:eastAsia="zh-CN"/>
              </w:rPr>
              <w:t>8</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.4项＜排入点污水水质超标项数且单项水质超标倍数＞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倍，系数为1。</w:t>
            </w:r>
            <w:r>
              <w:rPr>
                <w:rFonts w:hint="eastAsia" w:ascii="宋体" w:hAnsi="宋体" w:eastAsia="宋体" w:cs="宋体"/>
                <w:strike w:val="0"/>
                <w:dstrike w:val="0"/>
                <w:color w:val="auto"/>
                <w:kern w:val="0"/>
                <w:sz w:val="15"/>
                <w:szCs w:val="15"/>
                <w:highlight w:val="none"/>
                <w:lang w:val="en-US" w:eastAsia="zh-CN"/>
              </w:rPr>
              <w:t>7.</w:t>
            </w:r>
            <w:r>
              <w:rPr>
                <w:rFonts w:hint="eastAsia" w:ascii="宋体" w:hAnsi="宋体" w:eastAsia="宋体" w:cs="宋体"/>
                <w:strike w:val="0"/>
                <w:dstrike w:val="0"/>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存在以下情形之一的，可视为严重后果：1.排入点污水水质超标项数＞4项且有单项水质超标倍数＞5倍的</w:t>
            </w:r>
            <w:r>
              <w:rPr>
                <w:rFonts w:hint="eastAsia" w:ascii="宋体" w:hAnsi="宋体" w:eastAsia="宋体" w:cs="宋体"/>
                <w:color w:val="auto"/>
                <w:kern w:val="0"/>
                <w:sz w:val="15"/>
                <w:szCs w:val="15"/>
                <w:highlight w:val="none"/>
                <w:lang w:eastAsia="zh-CN"/>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52"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2项，系数为0；2.2项≤排入点污水水质超标项数＜4项，系数为2；3.4项≤排入点污水水质超标项数，系数为4。4.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cs="宋体"/>
                <w:strike w:val="0"/>
                <w:dstrike w:val="0"/>
                <w:color w:val="auto"/>
                <w:kern w:val="0"/>
                <w:sz w:val="15"/>
                <w:szCs w:val="15"/>
                <w:highlight w:val="none"/>
                <w:lang w:eastAsia="zh-CN"/>
              </w:rPr>
              <w:t>；5.4项＜排入点污水水质超标项数且单项水质超标倍数＞9倍，系数为</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eastAsia="宋体" w:cs="宋体"/>
                <w:strike w:val="0"/>
                <w:dstrike w:val="0"/>
                <w:color w:val="auto"/>
                <w:kern w:val="0"/>
                <w:sz w:val="15"/>
                <w:szCs w:val="15"/>
                <w:highlight w:val="none"/>
                <w:lang w:eastAsia="zh-CN"/>
              </w:rPr>
              <w:t>。6.存在基准2.1.3规定情形的，系数按照相关规定确定（基准2.1.3.5不适用）。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0" w:hRule="atLeast"/>
        </w:trPr>
        <w:tc>
          <w:tcPr>
            <w:tcW w:w="612"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排水户未取得排水许可证向城镇排水设施排放污水</w:t>
            </w:r>
          </w:p>
        </w:tc>
        <w:tc>
          <w:tcPr>
            <w:tcW w:w="27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七条，责令停止违法行为，限期采取治理措施，补办排水许可证，可以处50万元以下罚款；对列入重点排污单位名录的排水户，可以处30万元以上50万元以下罚款；《条例》第五十条第一款，责令停止违法行为，限期采取治理措施，补办污水排入排水管网许可证，可以处50万元以下罚款。</w:t>
            </w:r>
          </w:p>
        </w:tc>
        <w:tc>
          <w:tcPr>
            <w:tcW w:w="86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在重点排污名录，处以下罚款：1.无证排水持续时间＜30天，系数为0；2.30天≤无证排水持续时间＜60天，系数为2；3.60天≤无证排水持续时间＜90天，系数为4；4.90天≤无证排水持续时间＜120天，系数为6；5.120天≤无证排水持续时间＜150天，系数为8；6.150天≤无证排水持续时间，系数为9。7.存在基准2.1.3规定情形的，系数按照相关规定确定（基准2.1.3.5不适用）。</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70" w:hRule="atLeast"/>
        </w:trPr>
        <w:tc>
          <w:tcPr>
            <w:tcW w:w="61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300000</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在重点排污名录，处以下罚款：1.无证排水持续时间＜30天，系数为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；30天≤无证排水持续时间＜45天，系数为</w:t>
            </w:r>
            <w:r>
              <w:rPr>
                <w:rFonts w:hint="eastAsia" w:ascii="宋体" w:hAnsi="宋体" w:eastAsia="宋体" w:cs="宋体"/>
                <w:color w:val="auto"/>
                <w:kern w:val="0"/>
                <w:sz w:val="15"/>
                <w:szCs w:val="15"/>
                <w:highlight w:val="none"/>
                <w:lang w:val="en-US" w:eastAsia="zh-CN"/>
              </w:rPr>
              <w:t>0.1</w:t>
            </w:r>
            <w:r>
              <w:rPr>
                <w:rFonts w:hint="eastAsia" w:ascii="宋体" w:hAnsi="宋体" w:eastAsia="宋体" w:cs="宋体"/>
                <w:color w:val="auto"/>
                <w:kern w:val="0"/>
                <w:sz w:val="15"/>
                <w:szCs w:val="15"/>
                <w:highlight w:val="none"/>
              </w:rPr>
              <w:t>；无证排水持续时间每增加15天（不足15天，按15天计），系数加0.</w:t>
            </w:r>
            <w:r>
              <w:rPr>
                <w:rFonts w:hint="eastAsia" w:ascii="宋体" w:hAnsi="宋体" w:eastAsia="宋体" w:cs="宋体"/>
                <w:color w:val="auto"/>
                <w:kern w:val="0"/>
                <w:sz w:val="15"/>
                <w:szCs w:val="15"/>
                <w:highlight w:val="none"/>
                <w:lang w:val="en-US" w:eastAsia="zh-CN"/>
              </w:rPr>
              <w:t>1，罚款金额不超过50万元</w:t>
            </w:r>
            <w:r>
              <w:rPr>
                <w:rFonts w:hint="eastAsia" w:ascii="宋体" w:hAnsi="宋体" w:eastAsia="宋体" w:cs="宋体"/>
                <w:color w:val="auto"/>
                <w:kern w:val="0"/>
                <w:sz w:val="15"/>
                <w:szCs w:val="15"/>
                <w:highlight w:val="none"/>
              </w:rPr>
              <w:t>。2.存在基准2.1.3规定情形的，系数按照相关规定确定（基准2.1.3.5不适用）。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30</w:t>
            </w:r>
            <w:r>
              <w:rPr>
                <w:rFonts w:hint="eastAsia" w:ascii="宋体" w:hAnsi="宋体" w:eastAsia="宋体" w:cs="宋体"/>
                <w:color w:val="auto"/>
                <w:kern w:val="0"/>
                <w:sz w:val="15"/>
                <w:szCs w:val="15"/>
                <w:highlight w:val="none"/>
              </w:rPr>
              <w:t>0000×（1+情节系数）</w:t>
            </w:r>
          </w:p>
        </w:tc>
        <w:tc>
          <w:tcPr>
            <w:tcW w:w="197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重点排污名录以相关主管部门官方公布为准。</w:t>
            </w:r>
            <w:r>
              <w:rPr>
                <w:rFonts w:hint="eastAsia" w:ascii="宋体" w:hAnsi="宋体" w:eastAsia="宋体" w:cs="宋体"/>
                <w:color w:val="auto"/>
                <w:kern w:val="0"/>
                <w:sz w:val="15"/>
                <w:szCs w:val="15"/>
                <w:highlight w:val="none"/>
              </w:rPr>
              <w:br w:type="textWrapping"/>
            </w:r>
          </w:p>
        </w:tc>
        <w:tc>
          <w:tcPr>
            <w:tcW w:w="912"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排水户不按照排水许可证的要求排放污水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八条，责令停止违法行为，限期改正，可以处5万元以下罚款；造成严重后果的，吊销排水许可证，并处5万元以上50万元以下罚款，对列入重点排污单位名录的排水户，处30万元以上50万元以下罚款；《条例》第五十条第二款，责令停止违法行为，限期改正，可以处5万元以下罚款；造成严重后果的，吊销污水排入排水管网许可证，并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1.日用水量＜200立方米，系数为0；200立方米≤日用水量，系数为1。2.超标项数=1项，系数为0；超标项数=2项，系数为1；超标项数=3项，系数为2；超标项数=4项，系数为3；超标项数=5项，系数为4；超标项数≥6项，系数为5。3.超标倍数＜1倍，系数为0；1倍≤超标倍数＜2倍，系数为1；2倍≤超标倍数＜3倍，系数为2；3倍≤超标倍数＜4倍，系数为3；4倍≤超标倍数，系数为4。4.排水口数量超出许可要求、排水口位置不在许可范围、排水量超出许可范围，符合1项的，系数为0，每增加1项，系数加1。超标倍数取单项超标倍数最高值、同一排水项目多个排水口相同超标项项数不累加。5.存在基准2.1.3规定情形的，系数按照相关规定确定（基准2.1.3.5不适用）。罚款金额不得超过5万元。</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（一）存在以下情形之一的，可视为造成严重后果：1.粪大肠菌群超标倍数＞100、石油类超标倍数＞2、PH值＜5或PH值＞11、</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检测项存在超过5倍的单项指标，以上四类情形满足两类及以上；2.一年度内三次发生同地点同类型违法行为。拟作出吊销排水许可证的，在作出处罚决定前，要邀请行业主管部门共同会商。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1.日用水量＜200立方米，系数为0；200立方米≤日用水量，系数为1。2.超标项数=1项，系数为0；超标项数=2项，系数为1；超标项数=3项，系数为2；超标项数=4项，系数为3；超标项数=5项，系数为4；超标项数≥6项，系数为5。3.排放污染物项目超出许可要求、排水口数量超出许可要求、排水口位置不在许可范围、排水量超出许可范围，符合1项的，系数为0，每增加1项，系数加1。4.列入重点排污单位名录的排水户，系数为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从事危及城镇排水与污水处理设施安全的活动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条例》第五十六条，责令停止违法行为，限期恢复原状或者采取其他补救措施，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（一）存在以下情形之一的，可视为严重后果：1.发生一般及以上安全事故的；2.造成城镇污水处理厂排放超标或污染物外溢且影响户数＞1000户；3.经执法部门处罚后，一年度内再次发生同类型违法行为。</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（二）当事人为排水户时，优先适用《城镇污水排入排水管网许可管理办法》；当事人为非排水户时，适用《城镇排水与污水处理条例》。</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排水户名称、法定代表人等其他事项变更未按规定办理变更手续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处罚条款：《办法》第二十九条，责令改正，可以处1万元以下罚款。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15天，系数为0；2.15天≤违法行为持续时间＜30天，系数为2；3.30天≤违法行为持续时间＜45天，系数为4；4.45天≤违法行为持续时间＜60天，系数为6；5.60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排水户因发生事故或者其他突发事件，排放的污水可能危及城镇排水与污水处理设施安全运行，没有立即暂停排放，未采取措施消除危害，或者并未按规定及时向城镇排水主管部门等有关部门报告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处罚条款：《办法》第三十一条，可以处3万元以下罚款。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5天≤违法行为持续时间＜10天，系数为2；10天≤违法行为持续时间＜15天，系数为4；15天≤违法行为持续时间＜20天，系数为6；20天≤违法行为持续时间或造成严重后果的，系数为9。2.同时构成没有立即暂停排放，未采取措施消除危害，或者并未按规定报告两种情形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重点排水户未按照本办法规定建立档案管理制度，或者档案记录保存期限少于5年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处罚条款：《办法》第三十三条，责令改正，可以处3万元以下罚款。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1.4年≤档案记录保存期限＜5年，系数为0；  3年≤档案记录保存期限＜4年，系数为1；  2年≤档案记录保存期限＜3年，系数为2；  1年≤档案记录保存期限＜2年，系数为3；  档案记录保存期限＜1年，系数为4。2.未按照规定建立档案管理制度，系数为5。3.存在基准2.1.3规定情形的，系数按照相关规定确定（基准2.1.3.5不适用）。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排水户拒不接受水质、水量监测或者妨碍、阻挠城镇排水主管部门依法监督检查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处罚条款：《办法》第三十四条，给予警告；情节严重的，处3万元以下罚款。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（一）逾期不改正的，视为情节严重。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排水户以欺骗、贿赂等不正当手段取得排水许可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处罚条款：《办法》第三十条，可以处3万元以下罚款。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24" w:name="_Toc218468837"/>
            <w:bookmarkStart w:id="225" w:name="_Toc1091591781"/>
            <w:r>
              <w:rPr>
                <w:rFonts w:hint="eastAsia" w:ascii="宋体" w:hAnsi="宋体" w:eastAsia="宋体" w:cs="宋体"/>
                <w:b/>
                <w:bCs/>
                <w:color w:val="auto"/>
                <w:kern w:val="0"/>
                <w:szCs w:val="21"/>
                <w:highlight w:val="none"/>
              </w:rPr>
              <w:t>《北京市水污染防治条例》案由1项</w:t>
            </w:r>
            <w:bookmarkEnd w:id="224"/>
            <w:bookmarkEnd w:id="22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向雨水收集口、雨水管道排放或者倾倒污水、污物和垃圾等废弃物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处罚条款：第八十六条，责令停止违法行为，对个人处一千元以上一万元以下的罚款；对单位处一万元以上十万元以下的罚款。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少量生活污水，系数为0-2；2.排放或者倾倒污水、污物和垃圾等废弃物，系数为2-5；3.排放或者倾倒污水、污物和垃圾等废弃物，情节严重的，系数为5-9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 w:val="15"/>
                <w:szCs w:val="15"/>
                <w:highlight w:val="none"/>
              </w:rPr>
            </w:pPr>
            <w:bookmarkStart w:id="226" w:name="_Toc218468838"/>
            <w:bookmarkStart w:id="227" w:name="_Toc2088984333"/>
            <w:r>
              <w:rPr>
                <w:rFonts w:hint="eastAsia" w:ascii="宋体" w:hAnsi="宋体" w:eastAsia="宋体" w:cs="宋体"/>
                <w:b/>
                <w:bCs/>
                <w:color w:val="auto"/>
                <w:kern w:val="0"/>
                <w:szCs w:val="21"/>
                <w:highlight w:val="none"/>
              </w:rPr>
              <w:t>《北京市排水和再生水管理办法》案由9项</w:t>
            </w:r>
            <w:bookmarkEnd w:id="226"/>
            <w:bookmarkEnd w:id="22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餐饮服务排水户未设置隔油设施或者隔油设施不能正常使用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处罚条款：第三十六条，责令限期改正；逾期不改正，处1000元以上5000元以下罚款。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1.餐饮建筑面积＜150平方米，系数为0；2.150平方米≤餐饮建筑面积＜500平方米，系数为2；3.500平方米≤餐饮建筑面积，系数为4。4.存在基准2.1.3规定情形的，系数按照相关规定确定（基准2.1.3.5不适用）。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再生水水质、水压不符合标准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处罚条款：第三十七条第一款第（二）项，给予警告，责令限期改正，并可处1万元以上3万元以下罚款。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质超标项数＜5项或实际水压与标准值偏差＜25%，系数为0；2.5项≤水质超标项数＜8项或25%≤实际水压与标准值偏差＜50%，系数为1；3.8项≤水质超标项数或50%≤实际水压与标准值偏差，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排水和再生水设施运营单位伪造、篡改、瞒报进出水水质、水量等数据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处罚条款：第三十七条第一款第（三）项，给予警告，责令限期改正，并可处1万元以上3万元以下罚款。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数据中1种情形的，系数为0；2.有伪造、篡改、瞒报进水水质、出水水质、进水水量、出水水量或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数据中2种情形的，系数为1；3.有伪造、篡改、瞒报进水水质、出水水质、进水水量、出水水量或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数据中3种及以上情形的，系数为2。4.存在基准2.1.3规定情形的，系数按照相关规定确定（基准2.1.3.5不适用）。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擅自占压排水设施和占压、拆卸、移动再生水设施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损害再生水设施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1万元，系数为0；2.1万元≤直接经济损失＜10万元，系数为1；3.10万元≤直接经济损失＜20万元，系数为2；4.20万元≤直接经济损失，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向排水管网排放超标污水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1.1项≤排放污水水质超标项数＜3项，系数为0；  3项≤排放污水水质超标项数＜5项，系数为1；  5项≤排放污水水质超标项数，系数为2。2.出现1项污水水质超标倍数＞5，系数为1，每多出现1项，系数加1。3.存在基准2.1.3规定情形的，系数按照相关规定确定（基准2.1.3.5不适用）。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住宅区再生水设施处理粪便水和重污染水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处理粪便水和重污染水量时间＜5天或涉及户数＜500户，系数为0；2.5天≤处理粪便水和重污染水量时间＜20天或500户≤涉及户数＜1000户，系数为1；3.20天≤处理粪便水和重污染水量时间或1000户≤涉及户数，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在排水和再生水设施用地范围内取土、爆破、埋杆、堆物</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埋杆、堆物面积＜50平方米，系数为0；2.50平方米≤取土、埋杆、堆物面积＜100平方米，系数为1；3.100平方米≤取土、埋杆、堆物面积＜200平方米，系数为2；4.200平方米≤取土、埋杆、堆物面积，系数为3；5.在排水和再生水设施用地范围内爆破的，系数为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擅自接入公共排水和再生水管网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2天，系数为0；2.2天≤违法行为持续时间＜5天，系数为1；3.5天≤违法行为持续时间＜10天，系数为2；4.10天≤违法行为持续时间或造成严重后果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28" w:name="_Toc218468839"/>
            <w:bookmarkStart w:id="229" w:name="_Toc608059543"/>
            <w:r>
              <w:rPr>
                <w:rFonts w:hint="eastAsia" w:ascii="黑体" w:hAnsi="黑体" w:eastAsia="黑体" w:cs="黑体"/>
                <w:color w:val="auto"/>
                <w:kern w:val="0"/>
                <w:sz w:val="28"/>
                <w:szCs w:val="28"/>
                <w:highlight w:val="none"/>
              </w:rPr>
              <w:t>供水管理方面</w:t>
            </w:r>
            <w:bookmarkEnd w:id="228"/>
            <w:bookmarkEnd w:id="22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0" w:name="_Toc218468840"/>
            <w:bookmarkStart w:id="231" w:name="_Toc106263869"/>
            <w:r>
              <w:rPr>
                <w:rFonts w:hint="eastAsia" w:ascii="宋体" w:hAnsi="宋体" w:eastAsia="宋体" w:cs="宋体"/>
                <w:b/>
                <w:bCs/>
                <w:color w:val="auto"/>
                <w:kern w:val="0"/>
                <w:szCs w:val="21"/>
                <w:highlight w:val="none"/>
              </w:rPr>
              <w:t>《中华人民共和国水污染防治法》《城市供水条例》《北京市自建设施供水管理办法》《北京市城市公共供水管理办法》案由1项</w:t>
            </w:r>
            <w:bookmarkEnd w:id="230"/>
            <w:bookmarkEnd w:id="23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自来水供水单位和自建设施对外供水的单位供水水质、水压不符合国家规定的标准或间断供水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违反条款：《水污染防治法》第七十一条第二款；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处罚条款：《水污染防治法》第九十二条，责令改正，处二万元以上二十万元以下的罚款；情节严重的，报经有批准权的人民政府批准，可以责令停业整顿。</w:t>
            </w:r>
          </w:p>
        </w:tc>
        <w:tc>
          <w:tcPr>
            <w:tcW w:w="86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1.水质超标项数=1项，系数为0；水质超标项数每增加1项，系数加1；水质超标项数≥10项</w:t>
            </w:r>
            <w:r>
              <w:rPr>
                <w:rFonts w:hint="eastAsia" w:ascii="宋体" w:hAnsi="宋体" w:eastAsia="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单项水质超标倍数＞10倍，系数为9。2.存在基准2.1.3规定情形的，系数按照相关规定确定（基准2.1.3.5不适用）。</w:t>
            </w:r>
          </w:p>
        </w:tc>
        <w:tc>
          <w:tcPr>
            <w:tcW w:w="1881"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w:t>
            </w:r>
            <w:r>
              <w:rPr>
                <w:rFonts w:hint="eastAsia" w:ascii="宋体" w:hAnsi="宋体" w:eastAsia="宋体" w:cs="宋体"/>
                <w:strike w:val="0"/>
                <w:dstrike w:val="0"/>
                <w:color w:val="auto"/>
                <w:kern w:val="0"/>
                <w:sz w:val="15"/>
                <w:szCs w:val="15"/>
                <w:highlight w:val="none"/>
              </w:rPr>
              <w:t>3.经执法部门处罚后，一年度内再次发生同类型违法行为。拟作出责令停业整顿的，在作出处罚决定前，要邀请行业主管部门共同会商。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处罚条款：《条例》第三十三条第一款第（一）项，责令改正，可以处以罚款；情节严重的，报经县级以上人民政府批准，可以责令停业整顿。</w:t>
            </w:r>
          </w:p>
        </w:tc>
        <w:tc>
          <w:tcPr>
            <w:tcW w:w="86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违反条款：《自建设施办法》第十一条第一款第（一）项；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处罚条款：《自建设施办法》第二十条第一款第（一）项，责令限期改正，并可处1000元以上5000元以下的罚款。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20%，系数为0；2.20%≤供水管网末端供水水压与标准值偏差＜30%，系数为1；3.30%≤供水管网末端供水水压与标准值偏差＜40%，系数为2；4.40%≤供水管网末端供水水压与标准值偏差＜50%，系数为3；5.50%≤供水管网末端供水水压与标准值偏差，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违反条款：《城市公共办法》第四条第一款第（二）项；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处罚条款：《城市公共办法》第十八条第一款第（一）项，处2000元以下罚款。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50%，系数为0；2.50%≤供水管网末端供水水压与标准值偏差，系数为1；3.出现间断供水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32" w:name="_Toc218468841"/>
            <w:bookmarkStart w:id="233" w:name="_Toc660843752"/>
            <w:r>
              <w:rPr>
                <w:rFonts w:hint="eastAsia" w:ascii="宋体" w:hAnsi="宋体" w:eastAsia="宋体" w:cs="宋体"/>
                <w:b/>
                <w:bCs/>
                <w:color w:val="auto"/>
                <w:kern w:val="0"/>
                <w:szCs w:val="21"/>
                <w:highlight w:val="none"/>
              </w:rPr>
              <w:t>《城市供水条例》《建设工程质量管理条例》《北京市城市公共供水管理办法》案由4项</w:t>
            </w:r>
            <w:bookmarkEnd w:id="232"/>
            <w:bookmarkEnd w:id="23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无证或者超越资质证书规定的经营范围进行城市供水工程的设计或者施工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违反条款：《城市供水条例》第十六条；《建设工程质量管理条例》第十八条、第二十五条、第三十四条；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一）项，责令停止违法行为，可以处以罚款；《建设工程质量管理条例》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设计费酬金（对设计单位）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1.设计费＜40万，系数为0；2.40万≤设计费＜80万，系数为1；3.80万≤设计费或情节严重的，系数为2。4.存在基准2.1.3规定情形的，系数按照相关规定确定（基准2.1.3.5不适用）。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罚款金额=设计费酬金×（1+情节系数）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合同价款的2%（对施工单位）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罚款金额=合同价款的2%×（1+情节系数）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未按国家规定的技术标准和规范进行城市供水工程的设计或者施工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违反条款：《城市供水条例》第十六条；《建设工程质量管理条例》第十九条、第二十八条；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二）项，责令停止违法行为，可以处以罚款；《建设工程质量管理条例》第六十三条，责令改正，处10万元以上30万元以下的罚款；第六十四条，责令改正，处工程合同价款百分之二以上百分之四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（对设计单位）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1.设计费＜40万，系数为0；2.40万元≤设计费＜60万元，系数为0.4；3.60万元≤设计费＜80万元，系数为0.8；4.80万元≤设计费＜100万元，系数为1.2；5.100万元≤设计费＜120万元，系数为1.6；6.120万元≤设计费，系数为 2；7.情节严重的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违法兴建城市供水工程、未按规定缴纳水费、盗用或者转供城市公共供水、危害供水设施安全活动等</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违反条款：《城市供水条例》第十五条、第二十一条第二款、第二十四条、第二十五条、第二十九条、第三十二条第二款；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处罚条款：《城市供水条例》第三十四条第一款第（三）项，责令停止违法行为，可以处以罚款；第三十五条第一款第（一）项，责令限期改正，可以处以罚款。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擅自拆卸、挪动公共供水设施或擅自动用消火栓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违反条款：《城市供水条例》第三十条；《办法》第十五条第一款、第十七条第（三）项；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处罚条款：《城市供水条例》第三十五条第一款第（六）项，责令限期改正，可以处以罚款；《办法》第十九条第一款第（四）项，责令恢复原状，处责任单位1000元以下罚款。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1.未造成危害后果的，系数为0；2.造成危害后果的，系数为1。3.存在基准2.1.3规定情形的，系数按照相关规定确定（基准2.1.3.5不适用）。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（二）擅自动用消火栓的，优先适用《北京市节水条例》。</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4" w:name="_Toc218468842"/>
            <w:bookmarkStart w:id="235" w:name="_Toc2112681388"/>
            <w:r>
              <w:rPr>
                <w:rFonts w:hint="eastAsia" w:ascii="宋体" w:hAnsi="宋体" w:eastAsia="宋体" w:cs="宋体"/>
                <w:b/>
                <w:bCs/>
                <w:color w:val="auto"/>
                <w:kern w:val="0"/>
                <w:szCs w:val="21"/>
                <w:highlight w:val="none"/>
              </w:rPr>
              <w:t>《城市供水水质管理规定》案由9项</w:t>
            </w:r>
            <w:bookmarkEnd w:id="234"/>
            <w:bookmarkEnd w:id="23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城市供水单位、二次供水管理单位未按规定进行水质检测或者委托检测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违反条款：第十一条第（四）项；第十四条；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城市供水单位未选用获证企业净水剂及与制水有关的材料等产品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城市供水单位使用未经检验或者检验不合格的净水剂及有关制水材料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处罚条款：第二十九条第（四）项，给予警告，并处以3万元的罚款。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城市供水单位使用未经检验或者检验不合格的城市供水设备、管网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处罚条款：第二十九条第（五）项，给予警告，并处以3万元的罚款。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二次供水管理单位未按规定对各类储水设施进行清洗消毒</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处罚条款：第二十九条第（六）项，给予警告，并处以3万元的罚款。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城市供水单位、二次供水管理单位隐瞒、缓报、谎报水质突发事件或者水质信息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处罚条款：第二十九条第（七）项，给予警告，并处以3万元的罚款。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城市供水单位、二次供水管理单位有危害城市供水水质安全其他行为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处罚条款：第二十九条第（八）项，给予警告，并处以3万元的罚款。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城市供水单位未制定城市供水水质突发事件应急预案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三十</w:t>
            </w:r>
            <w:r>
              <w:rPr>
                <w:rFonts w:hint="eastAsia" w:ascii="宋体" w:hAnsi="宋体" w:eastAsia="宋体" w:cs="宋体"/>
                <w:color w:val="auto"/>
                <w:kern w:val="0"/>
                <w:sz w:val="15"/>
                <w:szCs w:val="15"/>
                <w:highlight w:val="none"/>
              </w:rPr>
              <w:t>条第（一）项，给予警告，并处以5000元以上2万元以下的罚款。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年供水量＜5万立方米，系数为0；2.5万立方米≤年供水量＜50万立方米，系数为1；3.50万立方米≤年供水量＜500万立方米，系数为2；4.500万立方米≤年供水量，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城市供水单位未按规定上报水质报表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处罚条款：第三十条第（二）项，给予警告，并处以5000元以上2万元以下的罚款。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逾期报送时间＜2个工作日，系数为0；2.2个工作日≤逾期报送时间＜4个工作日，系数为1；3.4个工作日≤逾期报送时间＜6个工作日，系数为2；4.6个工作日≤逾期报送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6" w:name="_Toc218468843"/>
            <w:bookmarkStart w:id="237" w:name="_Toc1454725585"/>
            <w:r>
              <w:rPr>
                <w:rFonts w:hint="eastAsia" w:ascii="宋体" w:hAnsi="宋体" w:eastAsia="宋体" w:cs="宋体"/>
                <w:b/>
                <w:bCs/>
                <w:color w:val="auto"/>
                <w:kern w:val="0"/>
                <w:szCs w:val="21"/>
                <w:highlight w:val="none"/>
              </w:rPr>
              <w:t>《生活饮用水卫生监督管理办法》案由2项</w:t>
            </w:r>
            <w:bookmarkEnd w:id="236"/>
            <w:bookmarkEnd w:id="23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新建、改建、扩建的饮用水供水工程项目未经建设行政主管部门设计审查和竣工验收而擅自建设并投入使用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处罚条款：第二十八条第一款第（一）项，责令限期改进，并可处以违法所得3倍以下的罚款，但最高不超过30000元，没有违法所得的可处以10000元以下罚款。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未按规定进行日常性水质检验工作</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处罚条款：第二十八条第一款第（二）项，责令限期改进，并可处以违法所得3倍以下的罚款，但最高不超过30000元，没有违法所得的可处以10000元以下罚款。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38" w:name="_Toc218468844"/>
            <w:bookmarkStart w:id="239" w:name="_Toc162322224"/>
            <w:r>
              <w:rPr>
                <w:rFonts w:hint="eastAsia" w:ascii="宋体" w:hAnsi="宋体" w:eastAsia="宋体" w:cs="宋体"/>
                <w:b/>
                <w:bCs/>
                <w:color w:val="auto"/>
                <w:kern w:val="0"/>
                <w:szCs w:val="21"/>
                <w:highlight w:val="none"/>
              </w:rPr>
              <w:t>《北京市节水条例》案由7项</w:t>
            </w:r>
            <w:bookmarkEnd w:id="238"/>
            <w:bookmarkEnd w:id="23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产生或者使用有毒有害物质的单位将其生产用水管网与供水管网直接连接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处罚条款：第六十三条第一款第（一）项，责令停止违法行为，限期恢复原状或者采取其他补救措施并承担相关费用，对单位处五万元以上十万元以下罚款，对个人处一万元以上五万元以下罚款。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1.生产用水管网＜DN100，系数为0；2.DN100≤生产用水管网＜DN300，系数为0.5；3.DN300≤生产用水管网，系数为1。4.存在基准2.1.3规定情形的，系数按照相关规定确定（基准2.1.3.5不适用）。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1.生产用水管网＜DN100，系数为0；2.DN100≤生产用水管网＜DN300，系数为2；3.DN300≤生产用水管网，系数为4。4.存在基准2.1.3规定情形的，系数按照相关规定确定（基准2.1.3.5不适用）。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建设单位或者施工单位未与公共供水单位商定并采取相应的保护措施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处罚条款：第五十九条，责令限期改正，给予警告；逾期不改正的，处二万元以上五万元以下罚款。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（一）限期改正，给予警告：（二）逾期不改正的，处以下罚款：1.施工区域内涉及1个检查井或涉及管网管径＜DN100，系数为0；2.施工区域内涉及2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3个检查井或DN100≤涉及管网管径＜DN600，系数为0.5；3.施工区域内涉及4-6个检查井或DN600≤涉及管网管径＜DN1000，系数为1；4.施工区域内涉及7个检查井及以上或DN1000≤涉及管网管径，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居民生活用水变更为非居民用水未及时向供水单位报告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处罚条款：第六十条第一款，责令限期改正；逾期不改正的，处应补缴水费一倍以上三倍以下罚款。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应补缴水费</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立方米，系数为0；2.20立方米≤日用水量＜30立方米，系数为0.5；3.30立方米≤日用水量＜70立方米，系数为1；4.70立方米≤日用水量＜100立方米，系数为1.5；5.100立方米≤日用水量，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罚款金额=应补缴水费×（1+情节系数）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供水单位未按照国家和本市有关规定对供水管网进行巡护、检查、维修、管理</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处罚条款：第五十八条，责令限期改正，给予警告；逾期不改正的，处一万元以上十万元以下罚款；造成严重后果的，处十万元以上五十万元以下罚款。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漏巡漏检长度占应巡应检管网总长度＜10%，系数为0；2.10%≤漏巡漏检长度占应巡应检管网总长度＜30%，系数为2；3.30%≤漏巡漏检长度占应巡应检管网总长度＜50%，系数为4；4.50%≤漏巡漏检长度占应巡应检管网总长度＜70%，系数为6；5.70%≤漏巡漏检长度占应巡应检管网总长度，系数为9。6.漏巡漏检2次，系数加1，每多1次，系数相应加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（一）两年度内多次漏巡漏检的，以漏巡漏检管网长度较长的为准。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1.12小时≤3000户以上居民停水时间＜24小时，系数为0；2.24小时≤3000户以上居民停水时间＜48小时，系数为0.5；3.48小时≤3000户以上居民停水时间，系数为1；4.漏巡漏检2次，系数加1，每多1次，系数相应加1。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（一）造成3000户以上居民停水时间≥12小时，可视为严重后果。</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（二）两年度内多次漏巡漏检的，以漏巡漏检管网长度较长的为准。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破坏或者损坏供水管网、雨水管网、污水管网、再生水管网及其附属设施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处罚条款：第六十三条第二款，责令改正，恢复原状或者采取其他补救措施，处十万元以下罚款；造成严重后果的，处十万元以上三十万元以下罚款。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对象为非主干管或小型附属设施（如支管、阀门井盖板）或管径＜DN200，系数为0；2.损坏对象为区域性附属设施（如雨水箅子、检查井）或DN200≤管径＜DN300，系数为2；3.损坏对象为关键设施（如泵站、污水处理设备）或DN300≤管径＜DN400，系数为4；4.损坏对象为城市级枢纽设施（如再生水调蓄池、污水处理厂进水口）或DN400≤管径＜DN500，系数为6；5.损坏对象为城市主干网或核心设施（如饮用水源地输水管、输水主干管）或DN500≤管径＜DN600，系数为8。6.DN600≤管径＜DN800，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 12小时≤3000户以上居民停水时间＜24小时或DN800≤管径＜DN1200，系数为0；2. 24小时≤3000户以上居民停水时间＜36小时或DN1200≤管径＜DN1400，系数为0.4；3. 36小时≤3000户以上居民停水时间＜48小时或DN1400≤管径＜DN1600，系数为0.8；4. 48小时≤3000户以上居民停水时间＜60小时或DN1600≤管径＜DN1800，系数为1.2；5. 60小时≤3000户以上居民停水时间＜72小时或DN1800≤管径＜DN2000，系数为1.6；6. 72小时≤3000户以上居民停水时间＜84小时或DN2000≤管径，系数为2；7.存在基准2.1.3规定情形的，系数按照相关规定确定（基准2.1.3.5不适用）。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存在以下情形之一的，可视为严重后果：1.造成3000户以上居民停水时间≥12小时；2.管径≥DN800。</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供水单位、用水户擅自停止使用、拆除水计量设施或者破坏计量设施准确度</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处罚条款：第六十九条，责令限期改正，对单位处五千元以上二万元以下罚款，对个人处五百元以上五千元以下罚款。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6"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1.产生用水量＜50立方米，系数为0；2.50立方米≤产生用水量＜100立方米，系数为2；3.100立方米≤产生用水量＜150立方米，系数为4；4.150立方米≤产生用水量＜250立方米，系数为6；5.250立方米≤产生用水量或造成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处罚条款：第六十九条，责令限期改正，可以处二千元以下罚款。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将雨水管网、污水管网、再生水管网混接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处罚条款：第六十三条第一款第（三）项，责令停止违法行为，限期恢复原状或者采取其他补救措施并承担相关费用，对单位处五万元以上十万元以下罚款，对个人处一万元以上五万元以下罚款。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1.混接管网管径＜DN100，系数为0；2.DN100≤混接管网管径＜DN300，系数为0.5；3.DN300≤混接管网管径或造成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1.混接管网管径＜DN100，系数为0；2.DN100≤混接管网管径＜DN300，系数为2；3.DN300≤混接管网管径或造成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40" w:name="_Toc218468845"/>
            <w:bookmarkStart w:id="241" w:name="_Toc1892404142"/>
            <w:r>
              <w:rPr>
                <w:rFonts w:hint="eastAsia" w:ascii="宋体" w:hAnsi="宋体" w:eastAsia="宋体" w:cs="宋体"/>
                <w:b/>
                <w:bCs/>
                <w:color w:val="auto"/>
                <w:kern w:val="0"/>
                <w:szCs w:val="21"/>
                <w:highlight w:val="none"/>
              </w:rPr>
              <w:t>《北京市物业管理条例》案由1项</w:t>
            </w:r>
            <w:bookmarkEnd w:id="240"/>
            <w:bookmarkEnd w:id="24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擅自拆改供水、排水、再生水等管线</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违反条款：第七十八条第（六）项；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处罚条款：第九十八条第一款第（六）项，责令限期改正，处一万元以上三万元以下的罚款。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拆改管网管径＜DN100或拆改管网长度＜10米，系数为0；2.DN100≤拆改管网管径＜DN300或10米≤拆改管网长度＜30米，系数为0.5；3.DN300≤拆改管网管径＜DN600或30米≤拆改管网长度＜60米，系数为1；4.DN600≤拆改管网管径＜DN1500或60米≤拆改管网长度＜150米，系数为1.5；5.DN1500≤拆改管网管径或150米≤拆改管网长度，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2" w:name="_Toc218468846"/>
            <w:bookmarkStart w:id="243" w:name="_Toc1264629060"/>
            <w:r>
              <w:rPr>
                <w:rFonts w:hint="eastAsia" w:ascii="宋体" w:hAnsi="宋体" w:eastAsia="宋体" w:cs="宋体"/>
                <w:b/>
                <w:bCs/>
                <w:color w:val="auto"/>
                <w:kern w:val="0"/>
                <w:szCs w:val="21"/>
                <w:highlight w:val="none"/>
              </w:rPr>
              <w:t>《北京市城市公共供水管理办法》案由7项</w:t>
            </w:r>
            <w:bookmarkEnd w:id="242"/>
            <w:bookmarkEnd w:id="24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城市公共供水企业对公共供水设施不做定期检查、维护，造成公共供水设施损坏或者发生供水事故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处罚条款：第十八条第一款第（二）项，处3000元以下罚款。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600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设施损坏但未影响正常供水，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罚款金额=600×（1+情节系数）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（一）需要作出600元以下罚款决定的，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供水设施发生故障，影响正常供水，不及时抢修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处罚条款：第十八条第一款第（三）项，处5000元以下罚款。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小区＜1个（未整体影响）或影响居民户＜500户或停水时间＜2小时，系数为0；2.1个≤影响小区＜3个或500户≤影响居民户＜1000户或2小时≤停水时间＜12小时，系数为1；3.3个≤影响小区＜5个或1000户≤影响居民户＜3000户或12小时≤停水时间＜18小时，系数为2；4.5个≤影响小区＜10个或3000户≤影响居民户＜5000户或18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（一）供水设施发生故障导致出水水质连续三次检测不达标视为情节严重。拟作出停业整顿的，在作出处罚决定前，要邀请行业主管部门共同会商，并报相关人民政府批准。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用水单位或居民利用公共供水设施转售用水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处罚条款：第十九条第一款第（一）项，责令改正，处3000元以下罚款，情节严重的，可以依法停止供水。</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售用水量＜100立方米，系数为0；2.100立方米≤转售用水量＜200立方米，系数为0.5；3.200立方米≤转售用水量＜300立方米，系数为1；4.300立方米≤转售用水量＜400立方米，系数为1.5；5.400立方米≤转售用水量或情节严重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情节严重：1.拒不改正且转售用水量＞1000立方米；2.经执法部门处罚后，一年度内再次发生同类型违法行为。拟作出停止供水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在埋设公共供水设施的地面上及两侧安全间距内挖坑、取土、植树、埋杆、倾倒废渣废液</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处罚条款：第十九条第（五）项，责令改正，恢复原状，处责任单位3000元以下罚款。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1.未对公共供水设施造成实际影响的，系数为0；2.对公共供水设施造成实际影响的，系数为2。3.存在基准2.1.3规定情形的，系数按照相关规定确定（基准2.1.3.5不适用）。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在埋设公共供水设施的地面上及两侧安全间距内修建与公共供水无关的建筑物、构筑物或堆物堆料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处罚条款：第十九条第（六）项，责令限期拆除或者清除，处责任单位5000元以下罚款。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1.占压管径＜DN600或除水源井外的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供水设施及其安全范围，系数为0；2.占压管径≥DN600或水源井及其安全范围，系数为0.5；3.堆放易燃易爆等危险物品，系数为1；4.造成严重供水事故，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将自备水源管道与公共供水设施接通或者在公共供水管网上直抽加压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违反条款：第十七条第（四）项、第（五）项；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处罚条款：第十九条第一款第（三）项，责令拆除，处责任单位3000元以下罚款。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管网管径＜DN100，系数为0；2.DN100≤管网管径＜DN300，系数为0.5；3.DN300≤管网管径＜DN600，系数为1；4.DN600≤管网管径＜DN1500，系数为1.5；5.DN1500≤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擅自接装、改装公共供水设施或者在水表井安装水管管线、穿插其他管道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处罚条款：第十九条第一款第（二）项，责令拆除，处责任单位3000元以下罚款。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1.接装、改装公共供水设施1个或管网管径＜DN100，系数为0；2.接装、改装公共供水设施</w:t>
            </w:r>
            <w:r>
              <w:rPr>
                <w:rFonts w:hint="eastAsia" w:ascii="宋体" w:hAnsi="宋体" w:eastAsia="宋体" w:cs="宋体"/>
                <w:color w:val="auto"/>
                <w:kern w:val="0"/>
                <w:sz w:val="15"/>
                <w:szCs w:val="15"/>
                <w:highlight w:val="none"/>
                <w:lang w:val="en-US" w:eastAsia="zh-CN"/>
              </w:rPr>
              <w:t>2-3</w:t>
            </w:r>
            <w:r>
              <w:rPr>
                <w:rFonts w:hint="eastAsia" w:ascii="宋体" w:hAnsi="宋体" w:eastAsia="宋体" w:cs="宋体"/>
                <w:color w:val="auto"/>
                <w:kern w:val="0"/>
                <w:sz w:val="15"/>
                <w:szCs w:val="15"/>
                <w:highlight w:val="none"/>
              </w:rPr>
              <w:t>个或DN100≤管网管径＜DN300，系数为0.5；3.接装、改装公共供水设施4-6个或DN300≤管网管径＜DN600，系数为1；4.接装、改装公共供水设施7-9个或DN600≤管网管径＜DN1500，系数为1.5；5.接装、改装公共供水设施10个以上或DN1500≤混接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4" w:name="_Toc218468847"/>
            <w:bookmarkStart w:id="245" w:name="_Toc609053030"/>
            <w:r>
              <w:rPr>
                <w:rFonts w:hint="eastAsia" w:ascii="宋体" w:hAnsi="宋体" w:eastAsia="宋体" w:cs="宋体"/>
                <w:b/>
                <w:bCs/>
                <w:color w:val="auto"/>
                <w:kern w:val="0"/>
                <w:szCs w:val="21"/>
                <w:highlight w:val="none"/>
              </w:rPr>
              <w:t>《北京市自建设施供水管理办法》《城市供水条例》案由3项</w:t>
            </w:r>
            <w:bookmarkEnd w:id="244"/>
            <w:bookmarkEnd w:id="24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自建设施供水单位未按照规定检查、维护自建供水设施，未及时排除供水设施故障</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违反条款：《办法》第十一条第一款第（一）项；《条例》第二十七条；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处罚条款：《办法》第二十条第一款第（三）项，责令限期改正，并可处1000元以上5000元以下的罚款；《条例》第三十三条第一款第（三）项 ，责令改正，可以处以罚款；情节严重的，报经县级以上人民政府批准，可以责令停业整顿。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影响，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擅自停止供水或者未履行停水通知义务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二）项，责令限期改正，并可处1000元以上5000元以下的罚款；《条例》第三十三条第一款第（二）项，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水＜2个小时或影响居民户＜500户，系数为0；2.2个小时≤擅自停水＜4个小时或500户≤影响居民户＜1000户，系数为1；3.4个小时≤擅自停水＜6个小时或1000户≤影响居民户＜3000户，系数为2；4.6个小时≤擅自停水＜8个小时或3000户≤影响居民户＜5000户，系数为3；5.8个小时≤擅自停水或5000户≤影响居民户或情节严重的，系数为4。6.未发布任何停水通告的，以上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未经自建设施供水单位同意擅自拆除、改装、迁移或者毁坏向周边单位、居民供水的自建供水设施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处罚条款：《办法》第二十一条，可处1000元以上5000元以下的罚款。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供水异常，仅存在设施表面问题，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46" w:name="_Toc218468848"/>
            <w:bookmarkStart w:id="247" w:name="_Toc183722722"/>
            <w:r>
              <w:rPr>
                <w:rFonts w:hint="eastAsia" w:ascii="黑体" w:hAnsi="黑体" w:eastAsia="黑体" w:cs="黑体"/>
                <w:color w:val="auto"/>
                <w:kern w:val="0"/>
                <w:sz w:val="28"/>
                <w:szCs w:val="28"/>
                <w:highlight w:val="none"/>
              </w:rPr>
              <w:t>水环境管理方面</w:t>
            </w:r>
            <w:bookmarkEnd w:id="246"/>
            <w:bookmarkEnd w:id="24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8" w:name="_Toc218468849"/>
            <w:bookmarkStart w:id="249" w:name="_Toc875638807"/>
            <w:r>
              <w:rPr>
                <w:rFonts w:hint="eastAsia" w:ascii="宋体" w:hAnsi="宋体" w:eastAsia="宋体" w:cs="宋体"/>
                <w:b/>
                <w:bCs/>
                <w:color w:val="auto"/>
                <w:kern w:val="0"/>
                <w:szCs w:val="21"/>
                <w:highlight w:val="none"/>
              </w:rPr>
              <w:t>《中华人民共和国防洪法》《中华人民共和国水法》《北京市河湖保护管理条例》案由2项</w:t>
            </w:r>
            <w:bookmarkEnd w:id="248"/>
            <w:bookmarkEnd w:id="24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在河道、湖泊管理范围内倾倒垃圾、渣土从事影响河势稳定、危害河岸堤防安全和其他妨碍河道行洪的活动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违反条款：《防洪法》第二十二条第二款；《条例》第十九条第一款第（一）项、第（三）项；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二）项，责令停止违法行为，排除阻碍或者采取其他补救措施，可以处五万元以下的罚款；《条例》第三十八条，有第（一）项规定行为的，处一万元以上五万元以下罚款；有其他项规定行为的，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垃圾、渣土倾倒体积＜20立方米，系数为0；2.20立方米≤倾倒垃圾、渣土倾倒体积＜50立方米，系数为2；3.50立方米≤倾倒垃圾、渣土倾倒体积＜100立方米，系数为4；4.100立方米≤倾倒垃圾、渣土倾倒体积＜200立方米，系数为6；5.200立方米≤倾倒垃圾、渣土倾倒体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在江河、湖泊、水库、运河、渠道内弃置、堆放阻碍行洪的物体和种植阻碍行洪的林木及高秆作物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违反条款：《防洪法》第二十三条第三款；《水法》第二十四条第一款、第二款；《北京市河湖保护管理条例》第十九条第一款第（四）项；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三）项，责令停止违法行为，排除阻碍或者采取其他补救措施，可以处五万元以下的罚款；《水法》第六十六条第一款第（一）项，责令停止违法行为，限期清除障碍或者采取其他补救措施，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1.种植面积＜50平方米，系数为0；2.50平方米≤种植面积＜100平方米，系数为1；3.100平方米≤种植面积＜200平方米，系数为2；4.200平方米≤种植面积＜300平方米，系数为3；5.300平方米≤种植面积，或者造成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（一）主要针对在河道内种植林木和高秆作物的，优先适用《中华人民共和国防洪法》。（二）需要作出10000元以下罚款决定的，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弃置、堆放阻碍行洪的物体体积＜5平方米，系数为0；2.5平方米≤弃置、堆放阻碍行洪的物体体积＜20平方米，系数为1；3.20平方米≤弃置、堆放阻碍行洪的物体体积＜50平方米，系数为2；4.50平方米≤弃置、堆放阻碍行洪的物体体积＜100平方米，系数为3；5.100平方米≤弃置、堆放阻碍行洪的物体体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针对在河道内弃置、堆放阻碍行洪的物体的，优先适用《中华人民共和国水法》。</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50" w:name="_Toc218468850"/>
            <w:bookmarkStart w:id="251" w:name="_Toc294490159"/>
            <w:r>
              <w:rPr>
                <w:rFonts w:hint="eastAsia" w:ascii="宋体" w:hAnsi="宋体" w:eastAsia="宋体" w:cs="宋体"/>
                <w:b/>
                <w:bCs/>
                <w:color w:val="auto"/>
                <w:kern w:val="0"/>
                <w:szCs w:val="21"/>
                <w:highlight w:val="none"/>
              </w:rPr>
              <w:t>《中华人民共和国水污染防治法》案由1项</w:t>
            </w:r>
            <w:bookmarkEnd w:id="250"/>
            <w:bookmarkEnd w:id="25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拒绝水行政主管部门的监督检查，或者在接受监督检查时弄虚作假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处罚条款：第八十一条，责令改正，处二万元以上二十万元以下的罚款。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日用水量＜200立方米，系数为1；200立方米≤日用水量＜300立方米，系数为2；日用水量每增加100立方米（不足100立方米的，按100立方米计），系数加1；900立方米≤日用水量，系数为9。（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2" w:name="_Toc218468851"/>
            <w:bookmarkStart w:id="253" w:name="_Toc8330100"/>
            <w:r>
              <w:rPr>
                <w:rFonts w:hint="eastAsia" w:ascii="宋体" w:hAnsi="宋体" w:eastAsia="宋体" w:cs="宋体"/>
                <w:b/>
                <w:bCs/>
                <w:color w:val="auto"/>
                <w:kern w:val="0"/>
                <w:szCs w:val="21"/>
                <w:highlight w:val="none"/>
              </w:rPr>
              <w:t>《中华人民共和国河道管理条例》《北京市河湖保护管理条例》案由2项</w:t>
            </w:r>
            <w:bookmarkEnd w:id="252"/>
            <w:bookmarkEnd w:id="25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擅自砍伐护堤护岸林木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处罚条款：《河道管理条例》第四十四条第一款第（七）项，责令其纠正违法行为、采取补救措施，可以并处警告、罚款、没收非法所得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在堤防和护堤地，从事放牧、葬坟、晒粮、开渠、打井、挖窖、取土、存放物料、开办集市贸易、开采地下资源、进行考古发掘、垦植等活动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违反条款：《河道管理条例》第二十四条第二款；《河湖保护管理条例》第十九条第一款第（六）项、第（七）项；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二）项，责令其纠正违法行为、采取补救措施，可以并处警告、罚款、没收非法所得；《河湖保护管理条例》第三十八条，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区级河湖堤防和护堤地，从事放牧、葬坟、晒粮、开渠、打井、挖窖、取土、存放物料、开办集市贸易、开采地下资源、进行考古发掘等活动，系数为0；2.在市级河湖堤防和护堤地，从事放牧、葬坟、晒粮、开渠、打井、挖窖、取土、存放物料、开办集市贸易、开采地下资源、进行考古发掘等活动，系数为4；3.造成恶劣影响，系数为9。4.存在基准2.1.3规定情形的，系数按照相关规定确定（基准2.1.3.5不适用）。以上情形有违法所得的，同时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4" w:name="_Toc218468852"/>
            <w:bookmarkStart w:id="255" w:name="_Toc1741202637"/>
            <w:r>
              <w:rPr>
                <w:rFonts w:hint="eastAsia" w:ascii="宋体" w:hAnsi="宋体" w:eastAsia="宋体" w:cs="宋体"/>
                <w:b/>
                <w:bCs/>
                <w:color w:val="auto"/>
                <w:kern w:val="0"/>
                <w:szCs w:val="21"/>
                <w:highlight w:val="none"/>
              </w:rPr>
              <w:t>《公路安全保护条例》案由1项</w:t>
            </w:r>
            <w:bookmarkEnd w:id="254"/>
            <w:bookmarkEnd w:id="25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在公路桥梁跨越的河道上下游的禁止采砂范围内采砂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处罚条款：第五十八条，责令改正，可以处3万元以下的罚款。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采砂量＜10立方米，系数为0；2.10立方米≤单次采砂量＜50立方米，系数为2；3.50立方米≤单次采砂量＜200立方米，系数为4；4.200立方米≤单次采砂量＜500立方米，系数为6；5.500立方米≤单次采砂量，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6" w:name="_Toc925511154"/>
            <w:bookmarkStart w:id="257" w:name="_Toc218468853"/>
            <w:r>
              <w:rPr>
                <w:rFonts w:hint="eastAsia" w:ascii="宋体" w:hAnsi="宋体" w:eastAsia="宋体" w:cs="宋体"/>
                <w:b/>
                <w:bCs/>
                <w:color w:val="auto"/>
                <w:kern w:val="0"/>
                <w:szCs w:val="21"/>
                <w:highlight w:val="none"/>
              </w:rPr>
              <w:t>《北京市河湖保护管理条例》案由4项</w:t>
            </w:r>
            <w:bookmarkEnd w:id="256"/>
            <w:bookmarkEnd w:id="25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毁坏或者拆除保护名录中的河道、水域和水工建筑物、构筑物、遗址</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处罚条款：第四十二条，责令其停止违法行为，限期恢复原状，处十万元以上五十万元以下的罚款。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未丧失功能，系数为</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有</w:t>
            </w:r>
            <w:r>
              <w:rPr>
                <w:rFonts w:hint="eastAsia" w:ascii="宋体" w:hAnsi="宋体" w:eastAsia="宋体" w:cs="宋体"/>
                <w:color w:val="auto"/>
                <w:kern w:val="0"/>
                <w:sz w:val="15"/>
                <w:szCs w:val="15"/>
                <w:highlight w:val="none"/>
              </w:rPr>
              <w:t>丧失</w:t>
            </w:r>
            <w:r>
              <w:rPr>
                <w:rFonts w:hint="eastAsia" w:ascii="宋体" w:hAnsi="宋体" w:eastAsia="宋体" w:cs="宋体"/>
                <w:color w:val="auto"/>
                <w:kern w:val="0"/>
                <w:sz w:val="15"/>
                <w:szCs w:val="15"/>
                <w:highlight w:val="none"/>
                <w:lang w:eastAsia="zh-CN"/>
              </w:rPr>
              <w:t>功能</w:t>
            </w:r>
            <w:r>
              <w:rPr>
                <w:rFonts w:hint="eastAsia" w:ascii="宋体" w:hAnsi="宋体" w:eastAsia="宋体" w:cs="宋体"/>
                <w:color w:val="auto"/>
                <w:kern w:val="0"/>
                <w:sz w:val="15"/>
                <w:szCs w:val="15"/>
                <w:highlight w:val="none"/>
              </w:rPr>
              <w:t>，系数为1。2.毁坏1处，系数为0；毁坏2处，系数为0.5；以此类推。3.</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拆除面积＜500平方米，系数为0；500平方米≤</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拆除面积＜1000平方米，系数为0.5；每增加500平方米（不足500平方米，按500平方米计），系数增加0.5。4.存在基准2.1.3规定情形的，系数按照相关规定确定（基准2.1.3.5不适用）。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开展水上旅游项目或者其他利用活动时使用以柴油、汽油为动力的游船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处罚条款：第四十四条第一款，责令停止违法行为，限期改正，处八千元以上八万元以下的罚款。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8000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1.使用小型动力游船（功率＜20马力），系数为0，每增加1艘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系数加1；2.使用中型动力游船（20马力≤功率＜50马力），系数为2，每增加1艘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系数加2；3.使用大型动力游船（50马力≤功率），系数为4，每增加1艘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系数加3；4.在禁航时段作业，系数为9。5.存在基准2.1.3规定情形的，系数按照相关规定确定（基准2.1.3.5不适用）。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罚款金额=8000×（1+情节系数）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未经批准擅自利用河湖开办旅游项目或者从事其他利用活动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处罚条款：第四十四条第二款，责令停止违法行为，限期改正，处二万元以上十万元以下的罚款。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活动持续时间＜3天或参与人数＜200人，系数为0；2.3天≤活动持续时间＜5天或200人≤参与人数＜500人，系数为1；3.5天≤活动持续时间＜10天或500人≤参与人数＜1000人，系数为2；4.10天≤活动持续时间＜15天或1000人≤参与人数＜2000人，系数为3；5.15天≤活动持续时间或2000人≤参与人数，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擅自在河湖管理范围内新建、改建或者扩大排水口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处罚条款：第四十三条，责令停止违法行为，限期恢复原状，处五万元以上十万元以下的罚款。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新建、改建或者扩大排水口＜DN200，系数为0；2.DN200≤新建、改建或者扩大排水口＜DN600，系数为0.5；3.DN600≤新建、改建或者扩大排水口，系数为1；4.新建、改建或者扩大2个及以上排水口，系数为1。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8" w:name="_Toc218468854"/>
            <w:bookmarkStart w:id="259" w:name="_Toc1609337569"/>
            <w:r>
              <w:rPr>
                <w:rFonts w:hint="eastAsia" w:ascii="宋体" w:hAnsi="宋体" w:eastAsia="宋体" w:cs="宋体"/>
                <w:b/>
                <w:bCs/>
                <w:color w:val="auto"/>
                <w:kern w:val="0"/>
                <w:szCs w:val="21"/>
                <w:highlight w:val="none"/>
              </w:rPr>
              <w:t>《北京市湿地保护条例》案由8项</w:t>
            </w:r>
            <w:bookmarkEnd w:id="258"/>
            <w:bookmarkEnd w:id="25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未经批准擅自开垦、占用湿地或者改变湿地用途</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处罚条款：第四十二条第一款，责令停止违法行为、限期恢复原状，并按照占用湿地或者改变湿地用途的面积，以每平方米2000元以上5000元以下的标准处以罚款。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1.在一般湿地内开展违法行为，系数为0；2.在区级湿地内开展违法行为，系数为0.5；3.在市级湿地内开展违法行为，系数为1；4.在国家重要湿地内开展违法行为或造成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 ×（1+情节系数）×占用湿地或者改变湿地用途的面积</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在列入名录的湿地保护范围内采集泥炭、采挖野生植物、捡拾鸟蛋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处罚条款：第四十三条第一款，责令改正或者恢复原状，处500元以上5000元以下罚款。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采集泥炭单次采集量＜1立方米或采挖非国家重点保护植物＜5株或捡拾非保护鸟类鸟蛋＜3枚，系数为0；2.1立方米≤采集泥炭单次采集量＜5立方米或5株≤采挖非国家重点保护植物＜20株或3枚≤捡拾非保护鸟类鸟蛋＜10枚（保护鸟类鸟蛋＜2枚），系数为2；3.5立方米≤采集泥炭单次采集量＜20立方米或20株≤采挖非国家重点保护植物＜50株（采挖国家二级保护植物＜5株）或10枚≤捡拾非保护鸟类鸟蛋（2枚≤保护鸟类鸟蛋＜5枚），系数为4；4.20立方米≤采集泥炭单次采集量或5株≤采挖国家二级保护植物（采挖国家一级保护植物＜2株）或5枚≤捡拾保护鸟类鸟蛋＜10枚，系数为6；5.采集泥炭大规模机械化采集或2株≤采挖国家一级保护植物或10枚≤捡拾保护鸟类鸟蛋，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在列入名录的湿地保护范围内抓捕野生动物，破坏野生动物繁殖区和栖息地</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抓捕非国家重点保护野生动物＜3只（头、条）或破坏栖息地面积＜5平方米，系数为0；2.3只（头、条）≤抓捕非国家重点保护野生动物＜10只（头、条）或5平方米≤破坏栖息地面积＜20平方米，系数为2；3.10只（头、条）≤抓捕非国家重点保护野生动物（单次抓捕国家二级保护野生动物＜2只）或5平方米≤破坏栖息地面积＜200平方米，系数为4；4.2只（头、条）≤抓捕国家二级保护野生动物或200平方米≤破坏栖息地面积＜500平方米，系数为6；5.抓捕国家一级保护野生动物1只（头、条）或500平方米≤破坏栖息地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不可以恢复原状但未造成动物种群和生境完全破坏，系数为0；2.抓捕国家一级保护野生动物2只（头、条），系数为1，每增加1只（头、条），系数加1；3.不可以恢复原状且造成动物种群或生境完全破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存在以下情形之一的，可视为严重后果：1.不可以恢复原状；2.抓捕国家一级保护野生动物1只（头、条）以上。</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在列入名录的湿地保护范围内投放有毒有害物质、倾倒废弃物或者排放未经处理的污水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未经处理的生活污水排放量＜5吨或倾倒废弃物＜5立方米，系数为0；2.在一般湿地内，5吨≤排放未经处理的生活污水排放量＜20吨或5立方米≤倾倒废弃物＜20立方米，系数为2；3.在一般湿地内，20吨≤排放未经处理的生活污水排放量＜50吨或20立方米≤倾倒废弃物＜50立方米，系数为4；4.在一般湿地内，50吨≤排放未经处理的生活污水排放量＜80吨或50立方米≤倾倒废弃物＜80立方米，或投放有毒有害物质，系数为6；5.在一般湿地内，80吨≤排放未经处理的生活污水排放量或80立方米≤倾倒废弃物，或投放有毒有害物质造成严重后果，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未经处理的生活污水排放量＜5吨或倾倒废弃物＜5立方米，系数为0；5吨≤排放未经处理的生活污水排放量＜10吨或5立方米≤倾倒废弃物＜10立方米，系数为1；每增加5吨（不足5吨的，按5吨计）或5立方米（不足5立方米的，按5立方米计），系数加1；45吨≤排放未经处理的生活污水排放量或45立方米≤倾倒废弃物，系数为9；2.投放有毒有害物质造成严重后果，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在列入名录的湿地保护范围内投放有害物种或者擅自引入外来物种</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投放有害物种或者擅自引入外来物种＜3只（头、条、株），系数为0；2.在一般湿地内，3只（头、条、株）≤投放有害物种或者擅自引入外来物种＜10只（头、条、株），系数为2；3.在一般湿地内，10只（头、条、株）≤投放有害物种或者擅自引入外来物种＜20只（头、条、株），系数为4；4.在一般湿地内，20只（头、条、株）≤投放有害物种或者擅自引入外来物种＜40只（头、条、株），系数为6；5.在一般湿地内，40只（头、条、株）≤投放有害物种或者擅自引入外来物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投放有害物种或者擅自引入外来物种＜5只（头、条、株），系数为0；5只（头、条、株）≤投放有害物种或者擅自引入外来物种＜10只（头、条、株），系数为1；每增加5只（头、条、株，不足5只的，按5只计），系数加1；45只（头、条、株）≤投放有害物种或擅自引入外来物种，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在列入名录的湿地保护范围内擅自排放湿地水资源或者堵截湿地水系与外围水系的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量＜100立方米或堵截时间＜1天，系数为0；2.在一般湿地内，100立方米≤排放量＜500立方米或1天≤堵截时间＜3天，系数为2；3.在一般湿地内，500立方米≤排放量＜1000立方米或3天≤堵截时间＜5天，系数为4；4.在一般湿地内，1000立方米≤排放量＜2000立方米或5天≤堵截时间＜10天，系数为6；5.在一般湿地内，2000立方米≤排放量或10天≤堵截时间，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量＜100立方米或堵截时间＜1天，系数为0；100立方米≤排放量＜300立方米或1天≤堵截时间＜2天，系数为1；排放量每增加200立方米（不足200立方米的，按200立方米计）或堵截时间每增加1天（不足1天的，按1天计），系数加1；1700立方米≤排放量0或9天≤堵截时间，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在列入名录的湿地保护范围内破坏湿地保护监测设施设备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设备原值＜1万元，系数为0；2.在一般湿地内，1万元≤设备原值＜5万元，系数为2；3.在一般湿地内，5万元≤设备原值＜10万元，系数为4；4.在一般湿地内，10万元≤设备原值＜50万元，系数为6；5.在一般湿地内，50万元≤设备原值，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设备原值＜1万元，系数为0；1万元≤设备原值＜5万元，系数为1；设备原值每增加5万元（不足5万元的，按5万元计），系数加1；40万元≤设备原值，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在列入名录的湿地保护范围内擅自建造建筑物、构筑物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建造建筑物、构筑物建筑面积＜20平方米，系数为0；2.在一般湿地内，20平方米≤建造建筑物、构筑物建筑面积＜100平方米，系数为2；3.在一般湿地内，100平方米≤建造建筑物、构筑物建筑面积＜500平方米，系数为4；4.在一般湿地内，500平方米≤建造建筑物、构筑物建筑面积＜1000平方米，系数为6；5.在一般湿地内，1000平方米≤建造建筑物、构筑物建筑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建造建筑物、构筑物建筑面积＜20平方米，系数为0；20平方米≤建造建筑物、构筑物建筑面积＜100平方米，系数为1；每增加100平方米（不足100平方米的，按100平方米计），系数加1；800平方米≤建造建筑物、构筑物建筑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60" w:name="_Toc218468855"/>
            <w:bookmarkStart w:id="261" w:name="_Toc34395612"/>
            <w:r>
              <w:rPr>
                <w:rFonts w:hint="eastAsia" w:ascii="宋体" w:hAnsi="宋体" w:eastAsia="宋体" w:cs="宋体"/>
                <w:b/>
                <w:bCs/>
                <w:color w:val="auto"/>
                <w:kern w:val="0"/>
                <w:szCs w:val="21"/>
                <w:highlight w:val="none"/>
              </w:rPr>
              <w:t>《北京市水污染防治条例》案由2项</w:t>
            </w:r>
            <w:bookmarkEnd w:id="260"/>
            <w:bookmarkEnd w:id="26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在地表饮用水水源一级保护区的水域内垂钓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处罚条款：第八十条第二款，责令停止违法行为，并可以处五百元以下的罚款。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在地表饮用水水源保护区组织水上旅游或者其他可能污染饮用水水源活动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处罚条款：第八十条第二款，责令停止违法行为，并处二万元以上十万元以下的罚款。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参与人数＜10人，系数为0；2.10人≤参与人数＜30人，系数为1；3.30人≤参与人数＜50人，系数为2；4.50人≤参与人数＜100人，系数为3；5.100人≤参与人数，或造成水源污染等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74"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宋体" w:hAnsi="宋体" w:eastAsia="宋体" w:cs="宋体"/>
                <w:color w:val="auto"/>
                <w:kern w:val="0"/>
                <w:sz w:val="28"/>
                <w:szCs w:val="28"/>
                <w:highlight w:val="none"/>
              </w:rPr>
            </w:pPr>
            <w:bookmarkStart w:id="262" w:name="_Toc218468856"/>
            <w:bookmarkStart w:id="263" w:name="_Toc1687052942"/>
            <w:r>
              <w:rPr>
                <w:rFonts w:hint="eastAsia" w:ascii="黑体" w:hAnsi="黑体" w:eastAsia="黑体" w:cs="黑体"/>
                <w:color w:val="auto"/>
                <w:kern w:val="0"/>
                <w:sz w:val="28"/>
                <w:szCs w:val="28"/>
                <w:highlight w:val="none"/>
              </w:rPr>
              <w:t>水土保持管理方面</w:t>
            </w:r>
            <w:bookmarkEnd w:id="262"/>
            <w:bookmarkEnd w:id="26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64" w:name="_Toc218468857"/>
            <w:bookmarkStart w:id="265" w:name="_Toc824207951"/>
            <w:r>
              <w:rPr>
                <w:rFonts w:hint="eastAsia" w:ascii="宋体" w:hAnsi="宋体" w:eastAsia="宋体" w:cs="宋体"/>
                <w:b/>
                <w:bCs/>
                <w:color w:val="auto"/>
                <w:kern w:val="0"/>
                <w:szCs w:val="21"/>
                <w:highlight w:val="none"/>
              </w:rPr>
              <w:t>《中华人民共和国水土保持法》案由9项</w:t>
            </w:r>
            <w:bookmarkEnd w:id="264"/>
            <w:bookmarkEnd w:id="26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采集发菜，或者在水土流失重点预防区和重点治理区铲草皮、挖树兜、滥挖虫草、甘草、麻黄等</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处罚条款：第五十一条第一款，责令停止违法行为，采取补救措施，没收违法所得，并处违法所得一倍以上五倍以下的罚款；没有违法所得的，可以处五万元以下的罚款。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采挖量或采挖面积＜10株或100平方米，系数为0；2.10株或100平方米≤采挖量或采挖面积＜20株或200平方米，系数为1；3.20株或200平方米≤采挖量或采挖面积＜30株或300平方米，系数为2；4.30株或300平方米≤采挖量或采挖面积＜40株或400平方米，系数为3；5.40株或400平方米≤采挖量或采挖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有违法所得的，处以下罚款：1.采挖量或采挖面积＜10株或100平方米，系数为0；2.10株或100平方米≤采挖量或采挖面积＜20株或200平方米，系数为2；3.20株或200平方米≤采挖量或采挖面积＜30株或300平方米，系数为4；4.30株或300平方米≤采挖量或采挖面积＜40株或400平方米，系数为6；5.40株或400平方米≤采挖量或采挖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依法应当编制水土保持方案的生产建设项目，未编制水土保持方案或者编制的水土保持方案未经批准而开工建设</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处罚条款：第五十三条第一款第（一）项，责令停止违法行为，限期补办手续；逾期不补办手续的，处五万元以上五十万元以下的罚款。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生产建设项目的地点、规模发生重大变化，未补充、修改水土保持方案或者补充、修改的水土保持方案未经原审批机关批准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处罚条款：第五十三条第一款第（二）项，责令停止违法行为，限期补办手续；逾期不补办手续的，处五万元以上五十万元以下的罚款。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水土保持方案实施过程中，未经原审批机关批准，对水土保持措施做出重大变更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处罚条款：第五十三条第一款第（三）项，责令停止违法行为，限期补办手续；逾期不补办手续的，处五万元以上五十万元以下的罚款。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水土保持设施未经验收或者验收不合格将生产建设项目投产使用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处罚条款：第五十四条，责令停止生产或者使用，直至验收合格，并处五万元以上五十万元以下的罚款。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投产使用面积＜20公顷，系数为0；20公顷≤项目投产使用面积＜60公顷，系数为1；每增加20公顷（不足20公顷，按20公顷计），系数加1；200公顷≤项目投产使用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在禁止开垦坡度以上陡坡地开垦种植农作物，或者在禁止开垦、开发的植物保护带内开垦、开发</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处罚条款：第四十九条，责令停止违法行为；按照开垦或者开发面积，可以对个人处每平方米二元以下的罚款、对单位处每平方米十元以下的罚款。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罚款金额=2×（1+情节系数）×开垦或者开发面积</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需要作出对个人处每平方米小于1元、对单位处每平方米小于5元的罚款决定的，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罚款金额=5×（1+情节系数）×开垦或者开发面积</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在崩塌、滑坡危险区或者泥石流易发区从事取土、挖砂、采石等可能造成水土流失的活动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处罚条款：第四十八条，责令停止违法行为，没收违法所得，对个人处一千元以上一万元以下的罚款，对单位处二万元以上二十万元以下的罚款。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100立方米，系数为0；100立方米≤采挖量＜150立方米，系数为1；每增加50立方米（不足50立方米，按50立方米计），系数加1；500立方米≤采挖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立方米，系数为0，2.10立方米≤采挖量＜20立方米，系数为2；3.20立方米≤采挖量＜30立方米，系数为4；4.30立方米≤采挖量＜40立方米，系数为6；5.40立方米≤采挖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在林区采伐林木不依法采取防止水土流失措施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处罚条款：第五十二条，责令限期改正，采取补救措施；造成水土流失的，由水行政主管部门按照造成水土流失的面积处每平方米二元以上十元以下的罚款。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土流失面积＜500平方米，系数为0；2.500平方米≤水土流失面积＜2000平方米，系数为1；3.2000平方米≤水土流失面积＜5000平方米，系数为2；4.5000平方米≤水土流失面积＜10000平方米，系数为3；5.10000平方米≤水土流失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罚款金额=2元/平方米×（1+情节系数）×水土流失面积</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在水土保持方案确定的专门存放地以外的区域倾倒砂、石、土、矸石、尾矿、废渣等</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处罚条款：第五十五条，责令停止违法行为，限期清理，按照倾倒数量处每立方米十元以上二十元以下的罚款。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水土保持方案确定的专门存放地以外的区域倾倒砂、石、土、矸石、尾矿、废渣等但采取有效措施的，系数为0。2.在水土保持方案确定的专门存放地以外的区域倾倒砂、石、土、矸石、尾矿、废渣等且未采取有效措施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罚款金额=10×（1+情节系数）×堆土弃渣量</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66" w:name="_Toc218468858"/>
            <w:bookmarkStart w:id="267" w:name="_Toc1549087754"/>
            <w:r>
              <w:rPr>
                <w:rFonts w:hint="eastAsia" w:ascii="宋体" w:hAnsi="宋体" w:eastAsia="宋体" w:cs="宋体"/>
                <w:b/>
                <w:bCs/>
                <w:color w:val="auto"/>
                <w:kern w:val="0"/>
                <w:szCs w:val="21"/>
                <w:highlight w:val="none"/>
              </w:rPr>
              <w:t>《北京市水土保持条例》案由9项</w:t>
            </w:r>
            <w:bookmarkEnd w:id="266"/>
            <w:bookmarkEnd w:id="26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拒不缴纳水土保持补偿费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处罚条款：第五十七条，责令限期缴纳；逾期不缴纳的，可以处应缴水土保持补偿费三倍以下的罚款。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应缴水土保持补偿费×1倍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1.持续违法时间＜6个月，系数为0；2.6个月≤持续违法时间＜12个月，系数为1；3.12个月≤持续违法时间，系数为2。4.存在基准2.1.3规定情形的，系数按照相关规定确定（基准2.1.3.5不适用）。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罚款金额=应缴水土保持补偿费×1倍×（1+情节系数）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未将水土保持设施纳入项目主体工程设计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水土保持设施管护单位未保存水土保持设施清单和管护记录</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处罚条款：第三十七条第二款，责令改正，可处五千元罚款。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罚款5000元。</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未按时报送水土保持监测情况</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处罚条款：第三十九条，责令限期改正，处五千元以上二万元以下罚款。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2.20公顷≤项目征占地面积＜80公顷，系数为1；3.80公顷≤项目征占地面积＜140公顷，系数为2；4.140公顷≤项目征占地面积，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未建设集雨式绿地、透水铺装、雨水集蓄利用等设施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1.实际值与标准值偏差＜10%，系数为0；10%≤实际值与标准值偏差＜20%，系数为1；每增加10%（不足10%，按10%计），系数加1；90%≤实际值与标准值偏差，系数为 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生产建设单位在土石方堆放、转运和综合利用中未采取有效措施加强土石方管理，造成水土流失</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土石方量＜2000立方米，系数为0；2000立方米≤土石方量＜3000立方米，系数为1；每增加1000立方米（不足1000立方米，按1000立方米计），系数加1；10000立方米≤土石方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在生态清洁小流域范围内破坏水土保持设施或者干扰其正常运行，或其他影响水土保持设施正常功能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违反条款：第二十条第一款第（三）项、第（四）项；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到一般设施干扰的，系数为0；2.涉及到一般设施破坏的，系数为3；3.涉及到核心设施干扰的，系数为6；4.涉及到核心设施破坏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在生态清洁小流域范围内随意取土、挖砂、倾倒垃圾、排放污水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挖砂量＜50立方米或垃圾、污水＜5吨，系数为0；2.50立方米≤取土、挖砂量＜100立方米或5吨≤垃圾、污水＜10吨，系数为4；3.100立方米≤取土、挖砂量或10吨≤垃圾、污水，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在生态清洁小流域范围内的沟道内私搭乱建、堆放物品</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私搭乱建面积＜5平方米或堆放物品＜1立方米，未影响行洪及生态功能，系数为0；2.5平方米≤私搭乱建面积＜20平方米或1立方米≤堆放物品＜5立方米，造成局部排水不畅，系数为2；3.20平方米≤私搭乱建面积＜50平方米或5立方米≤堆放物品＜20立方米，影响局部行洪安全，系数为4；4.50平方米≤私搭乱建面积＜100平方米或20立方米≤堆放物品＜50立方米，导致河道局部堵塞，系数为6；5.100平方米≤私搭乱建面积或50立方米≤堆放物品，引发重大安全隐患，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500</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68" w:name="_Toc218468859"/>
            <w:bookmarkStart w:id="269" w:name="_Toc1170234701"/>
            <w:r>
              <w:rPr>
                <w:rFonts w:hint="eastAsia" w:ascii="黑体" w:hAnsi="黑体" w:eastAsia="黑体" w:cs="黑体"/>
                <w:color w:val="auto"/>
                <w:kern w:val="0"/>
                <w:sz w:val="28"/>
                <w:szCs w:val="28"/>
                <w:highlight w:val="none"/>
              </w:rPr>
              <w:t>水工程运行管理方面</w:t>
            </w:r>
            <w:bookmarkEnd w:id="268"/>
            <w:bookmarkEnd w:id="26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70" w:name="_Toc218468860"/>
            <w:bookmarkStart w:id="271" w:name="_Toc1589834645"/>
            <w:r>
              <w:rPr>
                <w:rFonts w:hint="eastAsia" w:ascii="宋体" w:hAnsi="宋体" w:eastAsia="宋体" w:cs="宋体"/>
                <w:b/>
                <w:bCs/>
                <w:color w:val="auto"/>
                <w:kern w:val="0"/>
                <w:szCs w:val="21"/>
                <w:highlight w:val="none"/>
              </w:rPr>
              <w:t>《中华人民共和国水法》《中华人民共和国河道管理条例》《南水北调工程供用水管理条例》案由10项</w:t>
            </w:r>
            <w:bookmarkEnd w:id="270"/>
            <w:bookmarkEnd w:id="27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未经签署规划同意书要求，擅自在江河、湖泊上建设防洪工程和其他水工程、水电站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2"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未经审查同意，擅自建设桥梁、码头和其他拦河、跨河、临河建筑物、构筑物，铺设跨河管道、电缆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Times New Roman" w:hAnsi="Times New Roman" w:eastAsia="宋体" w:cs="Times New Roman"/>
                <w:color w:val="auto"/>
                <w:kern w:val="0"/>
                <w:sz w:val="15"/>
                <w:szCs w:val="15"/>
                <w:highlight w:val="none"/>
              </w:rPr>
              <w:t>《铁路安全管理条例》第三十七条</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宋体" w:cs="Times New Roman"/>
                <w:color w:val="auto"/>
                <w:kern w:val="0"/>
                <w:sz w:val="15"/>
                <w:szCs w:val="15"/>
                <w:highlight w:val="none"/>
              </w:rPr>
              <w:t>《铁路安全管理条例》第九十一条第一款第</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三</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项</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t>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未按审查要求建设桥梁、码头和其他拦河、跨河、临河建筑物、构筑物，铺设跨河管道、电缆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处罚条款：《水法》第六十五条第三款，责令限期改正，按照情节轻重，处一万元以上十万元以下的罚款。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平方米或长度＜5米，系数为0；2.20平方米≤面积＜50平方米或5米≤长度＜10米，系数为2；3.50平方米≤面积＜80平方米或10米≤长度＜15米，系数为4；4.80平方米≤面积＜100平方米或15米≤长度＜20米，系数为6；5.100平方米≤面积或20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侵占、毁坏水工程及堤防、护岸等有关设施，毁坏防汛、水文监测、水文地质监测等设施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违反条款：《水法》第四十一条；《河道管理条例》第二十二条第一款；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河道管理条例》第四十五条第一款第（一）项，责令其纠正违法行为，可以并处警告、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在南水北调工程受水区地下水禁采区取用地下水、在受水区地下水超采区新增地下水取用水量、在受水区新增开采深层承压水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在禁采区取水，系数加2；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擅自从南水北调工程取用水资源</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侵占、损毁、危害南水北调工程设施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违反条款：《水法》第四十一条；《南水北调条例》第四十二条；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1.移动、覆盖、涂改、损毁标志物等不影响实际输配水的配套设施，系数为0；2.侵占、损毁、危害影响实际输配水的南水北调</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配套工程设施，系数为2；3.侵占、损毁、危害影响实际输配水的南水北调干线及其配套工程设施或造成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在南水北调工程保护范围内实施影响工程运行、危害工程安全和供水安全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违反条款：《水法》第四十三条第四款；《南水北调条例》第四十三条；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二）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在河道、湖泊管理范围内建设妨碍行洪的建筑物、构筑物，或者从事影响河势稳定、危害河岸堤防安全和其他妨碍河道行洪的活动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一款，责令停止违法行为，限期拆除违法建筑物、构筑物，恢复原状；逾期不拆除、不恢复原状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1.面积＜200平方米，系数为0；2.200平方米≤面积＜500平方米，系数为2；3.500平方米≤面积＜800平方米，系数为4；4.800平方米≤面积＜1000平方米，系数为6；5.1000平方米≤面积或造成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在水工程保护范围内，从事影响水工程运行和危害水工程安全的爆破、打井、采石、取土等活动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违反条款：《水法》第七十二条第一款第（二）项，责令停止违法行为，采取补救措施，处一万元以上五万元以下的罚款。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100平方米，系数为0；2.100平方米≤占地面积＜500平方米，系数为1；3.500平方米≤占地面积＜1000平方米，系数为2；4.1000平方米≤占地面积＜1500平方米，系数为3；5.1500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2" w:name="_Toc218468861"/>
            <w:bookmarkStart w:id="273" w:name="_Toc399363418"/>
            <w:r>
              <w:rPr>
                <w:rFonts w:hint="eastAsia" w:ascii="宋体" w:hAnsi="宋体" w:eastAsia="宋体" w:cs="宋体"/>
                <w:b/>
                <w:bCs/>
                <w:color w:val="auto"/>
                <w:kern w:val="0"/>
                <w:szCs w:val="21"/>
                <w:highlight w:val="none"/>
              </w:rPr>
              <w:t>《中华人民共和国防洪法》案由7项</w:t>
            </w:r>
            <w:bookmarkEnd w:id="272"/>
            <w:bookmarkEnd w:id="27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建设防洪工程和其他水工程、水电站违反规划同意书的要求，影响防洪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处罚条款：第五十三条，违反规划同意书的要求，严重影响防洪的，责令限期拆除；违反规划同意书的要求，影响防洪但尚可采取补救措施的，责令限期采取补救措施，可以处一万元以上十万元以下的罚款。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未按照规划治导线整治河道和修建控制引导河水流向、保护堤岸等工程，影响防洪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处罚条款：第五十四条，责令停止违法行为，恢复原状或者采取其他补救措施，可以处一万元以上十万元以下的罚款。 </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整治河道或修建工程的长度＜50米，系数为0；2.50米≤整治河道或修建工程的长度＜200米，系数为2；3.200米≤整治河道或修建工程的长度＜500米，系数为4；4.500米≤整治河道或修建工程的长度＜800米，系数为6；5.800米≤整治河道或修建工程的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未经审查同意或者未按照审查批准的位置、界限，在河道、湖泊管理范围内从事工程设施建设活动，影响行洪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在洪泛区、蓄滞洪区内建设非防洪建设项目，未编制洪水影响评价报告或者洪水影响评价报告未经审查批准开工建设</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处罚条款：第五十八条第一款，责令限期改正；逾期不改正的，处五万元以下的罚款。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1.项目占地面积＜5公顷，系数为0；2.5公顷≤项目占地面积＜10公顷，系数为2；3.10公顷≤项目占地面积＜15公顷，系数为4；4.15公顷≤项目占地面积＜20公顷，系数为6；5.20公顷≤项目占地面积或造成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防洪工程设施未经验收，即将建设项目投入生产或者使用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处罚条款：第五十八条第二款，责令停止生产或者使用，限期验收防洪工程设施，可以处五万元以下的罚款。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防洪工程设施占地面积＜5公顷，系数为0；2.5公顷≤防洪工程设施占地面积＜10公顷，系数为2；3.10公顷≤防洪工程设施占地面积＜15公顷，系数为4；4.15公顷≤防洪工程设施占地面积＜20公顷，系数为6；5.20公顷≤防洪工程设施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围湖造地、未经批准围垦河道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违反条款：第二十三条；《铁路安全管理条例》第三十七条；</w:t>
            </w:r>
          </w:p>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处罚条款：第五十六条，责令停止违法行为，恢复原状或者采取其他补救措施，可以处五万元以下的罚款；《铁路安全管理条例》第九十一条第一款第</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三</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1.面积＜200平方米，系数为0；2.200平方米≤面积＜400平方米，系数为2；3.400平方米≤面积＜600平方米，系数为4；4.600平方米≤面积＜1000平方米，系数为6；5.1000平方米≤面积或造成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破坏、侵占、毁损堤防、水闸、护岸、抽水站、排水渠系等防洪工程和水文、通信设施以及防汛备用的器材、物料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处罚条款：第六十条，责令停止违法行为，采取补救措施，可以处五万元以下的罚款。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恶劣影响，系数为9；5.违法行为发生在汛期或侵占、毁坏、毁损3处以上，系数加3。6.存在基准2.1.3规定情形的，系数按照相关规定确定（基准2.1.3.5不适用）。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4" w:name="_Toc218468862"/>
            <w:bookmarkStart w:id="275" w:name="_Toc736203818"/>
            <w:r>
              <w:rPr>
                <w:rFonts w:hint="eastAsia" w:ascii="宋体" w:hAnsi="宋体" w:eastAsia="宋体" w:cs="宋体"/>
                <w:b/>
                <w:bCs/>
                <w:color w:val="auto"/>
                <w:kern w:val="0"/>
                <w:szCs w:val="21"/>
                <w:highlight w:val="none"/>
              </w:rPr>
              <w:t>《中华人民共和国河道管理条例》案由1项</w:t>
            </w:r>
            <w:bookmarkEnd w:id="274"/>
            <w:bookmarkEnd w:id="27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未经批准或者不按照国家规定的防洪标准、工程安全标准整治河道或者修建水工程建筑物和其他设施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处罚条款：第四十四条第一款第（三）项，责令其纠正违法行为，可以并处警告、罚款、没收非法所得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（一）无非法所得，限期改正，给予警告。（二）有非法所得，没收非法所得。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6" w:name="_Toc218468863"/>
            <w:bookmarkStart w:id="277" w:name="_Toc1973688272"/>
            <w:r>
              <w:rPr>
                <w:rFonts w:hint="eastAsia" w:ascii="宋体" w:hAnsi="宋体" w:eastAsia="宋体" w:cs="宋体"/>
                <w:b/>
                <w:bCs/>
                <w:color w:val="auto"/>
                <w:kern w:val="0"/>
                <w:szCs w:val="21"/>
                <w:highlight w:val="none"/>
              </w:rPr>
              <w:t>《水库大坝注册登记办法》案由1项</w:t>
            </w:r>
            <w:bookmarkEnd w:id="276"/>
            <w:bookmarkEnd w:id="27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经发现已登记的大坝有关安全的数据和情况发生变更而未及时申报换证或在具体事项办理中有弄虚作假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处罚条款：第十一条，警告或1000元以下罚款。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不涉及弄虚作假的，给予警告。（二）逾期不改正的，不涉及弄虚作假，系数为0；（三）涉及弄虚作假，系数为1。（四）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8" w:name="_Toc218468864"/>
            <w:bookmarkStart w:id="279" w:name="_Toc909079117"/>
            <w:r>
              <w:rPr>
                <w:rFonts w:hint="eastAsia" w:ascii="宋体" w:hAnsi="宋体" w:eastAsia="宋体" w:cs="宋体"/>
                <w:b/>
                <w:bCs/>
                <w:color w:val="auto"/>
                <w:kern w:val="0"/>
                <w:szCs w:val="21"/>
                <w:highlight w:val="none"/>
              </w:rPr>
              <w:t>《北京市河湖保护管理条例》《中华人民共和国河道管理条例》案由10项</w:t>
            </w:r>
            <w:bookmarkEnd w:id="278"/>
            <w:bookmarkEnd w:id="27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在河湖管理范围内围堤，修建阻水渠道、阻水道路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违反条款：《北京市河湖保护管理条例》第十九条第一款第（八）项；《中华人民共和国河道管理条例》第二十四条第（一）项；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四条第一款第（一）项，责令其纠正违法行为，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阻水长度＜5米，围堤面积＜5平方米，系数为0；2.5米≤阻水长度＜50米，5平方米≤围堤面积＜50平方米，系数为2；3.50米≤阻水长度＜100米，50平方米≤围堤面积＜100平方米，系数为4；4.100米≤阻水长度＜200米，100平方米≤围堤面积＜200平方米，系数为6；5.200米≤阻水长度，200平方米≤围堤面积，系数为9。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在河湖管理范围内，行驶履带车辆、超过限载标准的车辆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违反条款：《北京市河湖保护管理条例》第十九条第（一）项第十款；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在河湖管理范围、保护范围内围河、挖筑鱼塘、挖坑开槽、勘探或者设立线杆、线塔、无线通信塔、标识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处罚条款：《北京市河湖保护管理条例》第三十九条第一款第（一）项，责令停止违法行为，限期补办行政许可手续，处一万元以上五万元以下的罚款。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在河湖管理范围、保护范围内设置固定停车场所</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处罚条款：《北京市河湖保护管理条例》第三十九条第一款第（二）项，责令停止违法行为，限期补办行政许可手续，处五万元以下的罚款。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在河湖管理范围、保护范围内修路，或者修建园林小品、管理房及其附属设施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处罚条款：《北京市河湖保护管理条例》第三十九条第一款第（三）项，责令停止违法行为，限期补办行政许可手续，处一万元以上十万元以下的罚款。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在河湖管理范围、保护范围内进行河道改线、开挖人工湖泊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处罚条款：《北京市河湖保护管理条例》第三十九条第一款第（五）项，责令停止违法行为，限期补办行政许可手续，处一万元以上五万元以下的罚款。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改线长度＜50米或人工湖泊面积＜50平方米，系数为0；2.50米≤改线长度＜200米或50平方米≤人工湖泊面积＜200平方米，系数为1；3.200米≤改线长度＜500米或200平方米≤人工湖泊面积＜500平方米，系数为2；4.500米≤改线长度＜1000米或500平方米≤人工湖泊面积＜1000平方米，系数为3；5.1000米≤改线长度或1000平方米≤人工湖泊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恶劣影响，系数为4;6.涉及管理范围的，系数加1。7.存在基准2.1.3规定情形的，系数按照相关规定确定（基准2.1.3.5不适用）。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建设单位的工程建设方案未经水行政主管部门同意擅自开工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一款，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建设单位未按照经批准的工程建设方案修建工程设施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二款，责令限期采取补救措施；逾期不采取补救措施或者未达到要求的，责令停止违法行为，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采取补救措施或者未达到要求，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非河湖工程及相关设施不符合河湖保护管理标准规范，且产权单位或者管理单位未按规定及时改正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处罚条款：《北京市河湖保护管理条例》第四十一条，责令限期改正或者采取补救措施，可以处一万元以上十万元以下的罚款。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恶劣影响的，系数为9；5.违法行为发生在汛期，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非管理人员开关、启闭水利设备或者干扰河道管理单位正常工作</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违反条款：《北京市河湖保护管理条例》第十九条第一款第（九）项；《中华人民共和国河道管理条例》第二十三条；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五条第一款第（三）项，责令其纠正违法行为，可以并处警告、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损失的，系数为0；2.造成经济损失但未造成人员伤亡，系数为4；3.有人员受伤，系数为6；4.有人员死亡，系数为9。5.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0" w:name="_Toc218468865"/>
            <w:bookmarkStart w:id="281" w:name="_Toc1164784201"/>
            <w:r>
              <w:rPr>
                <w:rFonts w:hint="eastAsia" w:ascii="宋体" w:hAnsi="宋体" w:eastAsia="宋体" w:cs="宋体"/>
                <w:b/>
                <w:bCs/>
                <w:color w:val="auto"/>
                <w:kern w:val="0"/>
                <w:szCs w:val="21"/>
                <w:highlight w:val="none"/>
              </w:rPr>
              <w:t>《北京市湿地保护条例》案由1项</w:t>
            </w:r>
            <w:bookmarkEnd w:id="280"/>
            <w:bookmarkEnd w:id="28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损毁、涂改、擅自移动湿地保护标志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处罚条款：第三十九条，责令限期改正，可以处500元以上5000元以下罚款。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损毁、涂改、擅自移动1个湿地保护标志，系数为0；2.在区级湿地内损毁、涂改、擅自移动1个湿地保护标志，系数为1；3.在市级湿地内损毁、涂改、擅自移动1个湿地保护标志，系数为2；4.在国家重要湿地内损毁、涂改、擅自移动1个湿地保护标志，系数为3。5.每增加1个标志，系数加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2" w:name="_Toc218468866"/>
            <w:bookmarkStart w:id="283" w:name="_Toc265851304"/>
            <w:r>
              <w:rPr>
                <w:rFonts w:hint="eastAsia" w:ascii="宋体" w:hAnsi="宋体" w:eastAsia="宋体" w:cs="宋体"/>
                <w:b/>
                <w:bCs/>
                <w:color w:val="auto"/>
                <w:kern w:val="0"/>
                <w:szCs w:val="21"/>
                <w:highlight w:val="none"/>
              </w:rPr>
              <w:t>《北京市南水北调工程保护办法》案由7项</w:t>
            </w:r>
            <w:bookmarkEnd w:id="282"/>
            <w:bookmarkEnd w:id="28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擅自移动、毁损、涂改北京市南水北调工程标志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处罚条款：第二十条，责令限期改正，可处200元以上1000元以下罚款。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1.擅自移动、毁损、涂改1个南水北调工程标志，系数为0，每增加1个，系数加1。2.存在基准2.1.3规定情形的，系数按照相关规定确定（基准2.1.3.5不适用）。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擅自开启、关闭闸、阀（井）或者采用移动、切割、打孔、砸撬、拆卸等手段损坏北京市南水北调工程管涵及其附属设备设施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处罚条款：第二十一条，责令改正，处3000元以上10万元以下罚款。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1.擅自开启、关闭、闸、阀（井）但未造成恶劣影响的，系数为0，每增加1次，系数加1。2.存在基准2.1.3规定情形的，系数按照相关规定确定（基准2.1.3.5不适用）。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造成恶劣影响需从重处罚的，报案审会最终确定处罚金额。</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1.移动、拆卸南水北调工程附属设备设施，系数为0；2.移动、拆卸南水北调工程管涵，系数为1；3.切割、打孔、砸撬南水北调工程附属设备设施，系数为2；4.切割、打孔、砸撬南水北调工程管涵或造成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在北京市南水北调工程保护范围内种植根系可能深达管涵埋设部位的植物</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1.种植1株根系可能深达管涵埋设部位的植物，系数为0，每增加1株，系数加1；2.造成恶劣影响的，系数为9。3.存在基准2.1.3规定情形的，系数按照相关规定确定（基准2.1.3.5不适用）。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在北京市南水北调工程保护范围内爆破、打井、打桩、钻探、采石、采矿、取土、挖砂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采石等活动占地面积＜10平方米，系数为0,每增加5平方米（以10平方米为基准），系数加1。2.爆破、打井等行为作业深度＜2米，系数为0，每增加1米（以2米为基准），系数加1；导致南水北调工程出现损坏的，系数加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在北京市南水北调工程保护范围内擅自建设建筑物、构筑物，堆放超过管涵承受荷载设计标准的重物</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建筑物、构筑物面积＜20平方米，系数为0，每增加5平方米（以20平方米为基准），系数加1；2.重物超过设计标准＜5%，系数为0，每增加1%（以5%为基准），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在北京市南水北调工程保护范围内从事其他可能危害工程安全的行为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1.未造成实际危害的，系数为0；2.造成实际危害的，每增加1处，系数加1；3.造成恶劣影响的，系数加9。4.存在基准2.1.3规定情形的，系数按照相关规定确定（基准2.1.3.5不适用）。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在北京市南水北调工程保护范围内行驶重型车辆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处罚条款：第二十三条，责令改正，可处200元以上1000元以下罚款。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1.行驶1辆（次），系数为0，每增加1辆（次），系数加1。2.造成恶劣影响的，系数为4。3.存在基准2.1.3规定情形的，系数按照相关规定确定（基准2.1.3.5不适用）。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4" w:name="_Toc218468867"/>
            <w:bookmarkStart w:id="285" w:name="_Toc1622909832"/>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中华人民共和国防洪法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办法》案由2项</w:t>
            </w:r>
            <w:bookmarkEnd w:id="284"/>
            <w:bookmarkEnd w:id="28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在水库、闸坝管理和保护范围内以及河道、湖泊保护范围内，进行爆破、打井、采石、取土等危害防洪工程设施安全的活动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处罚条款：第四十五条，责令停止违法行为，恢复原状或者采取其他补救措施，可以处1万元以上5万元以下罚款。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在堤路结合的大坝、堤防、闸桥行驶超重车辆，在非堤路结合的大坝、堤防、闸桥行驶机动车辆的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处罚条款：第四十六条，处以200元以下罚款。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86" w:name="_Toc218468868"/>
            <w:bookmarkStart w:id="287" w:name="_Toc108892334"/>
            <w:r>
              <w:rPr>
                <w:rFonts w:hint="eastAsia" w:ascii="黑体" w:hAnsi="黑体" w:eastAsia="黑体" w:cs="黑体"/>
                <w:color w:val="auto"/>
                <w:kern w:val="0"/>
                <w:sz w:val="28"/>
                <w:szCs w:val="28"/>
                <w:highlight w:val="none"/>
              </w:rPr>
              <w:t>水利建设资质管理方面</w:t>
            </w:r>
            <w:bookmarkEnd w:id="286"/>
            <w:bookmarkEnd w:id="28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8" w:name="_Toc218468869"/>
            <w:bookmarkStart w:id="289" w:name="_Toc207351989"/>
            <w:r>
              <w:rPr>
                <w:rFonts w:hint="eastAsia" w:ascii="宋体" w:hAnsi="宋体" w:eastAsia="宋体" w:cs="宋体"/>
                <w:b/>
                <w:bCs/>
                <w:color w:val="auto"/>
                <w:kern w:val="0"/>
                <w:szCs w:val="21"/>
                <w:highlight w:val="none"/>
              </w:rPr>
              <w:t>《中华人民共和国建筑法》案由1项</w:t>
            </w:r>
            <w:bookmarkEnd w:id="288"/>
            <w:bookmarkEnd w:id="28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在水利工程发包与承包中索贿、受贿、行贿</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处罚条款：第六十八条，处以罚款，没收贿赂的财物，对在工程承包中行贿的承包单位，除依照前款规定处罚外，可以责令停业整顿，降低资质等级或者吊销资质证书。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降低资质等级或者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0" w:name="_Toc218468870"/>
            <w:bookmarkStart w:id="291" w:name="_Toc83485727"/>
            <w:r>
              <w:rPr>
                <w:rFonts w:hint="eastAsia" w:ascii="宋体" w:hAnsi="宋体" w:eastAsia="宋体" w:cs="宋体"/>
                <w:b/>
                <w:bCs/>
                <w:color w:val="auto"/>
                <w:kern w:val="0"/>
                <w:szCs w:val="21"/>
                <w:highlight w:val="none"/>
              </w:rPr>
              <w:t>《建设工程质量管理条例》案由3项</w:t>
            </w:r>
            <w:bookmarkEnd w:id="290"/>
            <w:bookmarkEnd w:id="29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勘察、设计、施工、监理单位以欺骗手段取得资质证书承揽工程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三款，吊销资质证书，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合同约定的勘察费、设计费或者监理酬金×1倍（勘察、设计、监理单位）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罚款金额=合同约定的勘察费或设计费或监理酬金×1倍×（1+情节系数）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勘察、设计、施工、监理单位未取得相应资质等级证书承揽水利工程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二款，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勘察、设计、施工、监理单位超越本单位资质等级许可的业务范围承揽水利工程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2" w:name="_Toc218468871"/>
            <w:bookmarkStart w:id="293" w:name="_Toc215156203"/>
            <w:r>
              <w:rPr>
                <w:rFonts w:hint="eastAsia" w:ascii="宋体" w:hAnsi="宋体" w:eastAsia="宋体" w:cs="宋体"/>
                <w:b/>
                <w:bCs/>
                <w:color w:val="auto"/>
                <w:kern w:val="0"/>
                <w:szCs w:val="21"/>
                <w:highlight w:val="none"/>
              </w:rPr>
              <w:t>《建筑业企业资质管理规定》案由4项</w:t>
            </w:r>
            <w:bookmarkEnd w:id="292"/>
            <w:bookmarkEnd w:id="29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申请人隐瞒有关情况或者提供虚假材料申请建筑业企业资质（ 水利类）</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处罚条款：第三十五条，给予警告，申请企业在1年内不得再次申请建筑业企业资质。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以欺骗、贿赂等不正当手段取得建筑业企业资质证书（水利类）</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处罚条款：第三十六条，给予警告，并处3万元的罚款，申请企业3年内不得再次申请建筑业企业资质。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建筑业企业（水务类）存在《建筑业企业资质管理规定》第二十三条规定的行为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中华人民共和国建筑法》《建设工程质量管理条例》和其他有关法律、法规对处罚机关和处罚方式有规定的，依照法律、法规的规定执行；法律、法规未作规定的，给予警告，责令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给予警告，并处以下罚款：1.限期改正，系数为0；2.逾期不改正，系数为2。3.存在基准2.1.3规定情形的，系数按照相关规定确定（基准2.1.3.5不适用）。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未按照《建筑业企业资质管理规定》要求提供建筑业企业信用档案信息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未改正的，处以下罚款：1.逾期后改正时间＜2天，系数为0；2.2天≤逾期后改正时间＜4天，系数为2；3.4天≤逾期后改正时间＜6天，系数为4；4.6天≤逾期后改正时间＜8天，系数为6；5.8天≤逾期后改正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4" w:name="_Toc218468872"/>
            <w:bookmarkStart w:id="295" w:name="_Toc868195741"/>
            <w:r>
              <w:rPr>
                <w:rFonts w:hint="eastAsia" w:ascii="宋体" w:hAnsi="宋体" w:eastAsia="宋体" w:cs="宋体"/>
                <w:b/>
                <w:bCs/>
                <w:color w:val="auto"/>
                <w:kern w:val="0"/>
                <w:szCs w:val="21"/>
                <w:highlight w:val="none"/>
              </w:rPr>
              <w:t>《工程监理企业资质管理规定》案由3项</w:t>
            </w:r>
            <w:bookmarkEnd w:id="294"/>
            <w:bookmarkEnd w:id="29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申请人隐瞒有关情况或者提供虚假材料申请水利工程建设监理单位资质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处罚条款：第二十七条，给予警告，申请人在1年内不得再次申请工程监理企业资质。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以欺骗、贿赂等不正当手段取得水利工程建设监理单位资质证书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处罚条款：第二十八条，给予警告，并处1万元以上2万元以下的罚款，申请人3年内不得再次申请工程监理企业资质。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给予警告，并处以下罚款：1.以欺骗、贿赂等不正当手段取得监理资质乙级证书的，系数为0；2.以欺骗、贿赂等不正当手段取得监理资质甲级证书或不区分甲乙级资质的，系数为0.5；3.造成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08"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水利工程建设监理单位在监理过程中实施商业贿赂，或者涂改、伪造、出借、转让工程监理企业资质证书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违反条款：第十六条第（七）项、第（八）项；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处罚条款：第二十九条，予以警告，责令其改正，并处1万元以上3万元以下的罚款。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利工程监理合同金额＜100万，系数为0；2.100万≤水利工程监理合同金额＜500万，系数为1；3.500万≤水利工程监理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6" w:name="_Toc218468873"/>
            <w:bookmarkStart w:id="297" w:name="_Toc48683468"/>
            <w:r>
              <w:rPr>
                <w:rFonts w:hint="eastAsia" w:ascii="宋体" w:hAnsi="宋体" w:eastAsia="宋体" w:cs="宋体"/>
                <w:b/>
                <w:bCs/>
                <w:color w:val="auto"/>
                <w:kern w:val="0"/>
                <w:szCs w:val="21"/>
                <w:highlight w:val="none"/>
              </w:rPr>
              <w:t>《水利工程建设监理规定》案由2项</w:t>
            </w:r>
            <w:bookmarkEnd w:id="296"/>
            <w:bookmarkEnd w:id="29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0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ascii="Times New Roman" w:hAnsi="Times New Roman" w:eastAsia="宋体" w:cs="Times New Roman"/>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水利工程建设监理单位聘用无相应资格</w:t>
            </w:r>
            <w:r>
              <w:rPr>
                <w:rFonts w:hint="eastAsia" w:ascii="宋体" w:hAnsi="宋体" w:eastAsia="宋体" w:cs="宋体"/>
                <w:color w:val="000000"/>
                <w:kern w:val="0"/>
                <w:sz w:val="15"/>
                <w:szCs w:val="15"/>
                <w:highlight w:val="none"/>
                <w:lang w:eastAsia="zh-CN"/>
              </w:rPr>
              <w:t>或者不符合条件</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监理</w:t>
            </w:r>
            <w:r>
              <w:rPr>
                <w:rFonts w:hint="eastAsia" w:ascii="宋体" w:hAnsi="宋体" w:eastAsia="宋体" w:cs="宋体"/>
                <w:color w:val="000000"/>
                <w:kern w:val="0"/>
                <w:sz w:val="15"/>
                <w:szCs w:val="15"/>
                <w:highlight w:val="none"/>
              </w:rPr>
              <w:t>人员从事监理业务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1.涉及1-2名监理人员，系数为0；涉及3-4名监理人员，系数为1；涉及5名及以上监理人员，系数为2。2.涉及总监理工程师，系数加1；造成严重影响的，系数加2。3</w:t>
            </w:r>
            <w:r>
              <w:rPr>
                <w:rFonts w:hint="eastAsia" w:ascii="宋体" w:hAnsi="宋体" w:eastAsia="宋体" w:cs="宋体"/>
                <w:color w:val="000000"/>
                <w:kern w:val="0"/>
                <w:sz w:val="15"/>
                <w:szCs w:val="15"/>
                <w:highlight w:val="none"/>
              </w:rPr>
              <w:t>.存在基准2.1.3规定情形的，系数按照相关规定确定（基准2.1.3.5不适用）。</w:t>
            </w:r>
          </w:p>
          <w:p>
            <w:pPr>
              <w:widowControl/>
              <w:jc w:val="left"/>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numPr>
                <w:ilvl w:val="0"/>
                <w:numId w:val="9"/>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66"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bookmarkStart w:id="298" w:name="_Toc218468874"/>
            <w:r>
              <w:rPr>
                <w:rFonts w:ascii="Times New Roman" w:hAnsi="Times New Roman" w:eastAsia="宋体" w:cs="Times New Roman"/>
                <w:color w:val="000000"/>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水利工程建设监理单位拒绝提供或者篡改、伪造工程建设监理文件和资料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四</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1.涉及1类文件资料，系数为0；涉及2类文件资料，系数为1；涉及3类及以上文件资料，系数为2。2.造成严重影响的，系数加2。3</w:t>
            </w:r>
            <w:r>
              <w:rPr>
                <w:rFonts w:hint="eastAsia" w:ascii="宋体" w:hAnsi="宋体" w:eastAsia="宋体" w:cs="宋体"/>
                <w:color w:val="000000"/>
                <w:kern w:val="0"/>
                <w:sz w:val="15"/>
                <w:szCs w:val="15"/>
                <w:highlight w:val="none"/>
              </w:rPr>
              <w:t>.存在基准2.1.3规定情形的，系数按照相关规定确定（基准</w:t>
            </w:r>
            <w:r>
              <w:rPr>
                <w:rFonts w:hint="eastAsia" w:ascii="宋体" w:hAnsi="宋体" w:eastAsia="宋体" w:cs="宋体"/>
                <w:color w:val="000000"/>
                <w:kern w:val="0"/>
                <w:sz w:val="15"/>
                <w:szCs w:val="15"/>
                <w:highlight w:val="none"/>
                <w:lang w:val="en-US"/>
              </w:rPr>
              <w:t>2.1.3.2</w:t>
            </w:r>
            <w:r>
              <w:rPr>
                <w:rFonts w:hint="eastAsia" w:ascii="宋体" w:hAnsi="宋体" w:eastAsia="宋体" w:cs="宋体"/>
                <w:color w:val="000000"/>
                <w:kern w:val="0"/>
                <w:sz w:val="15"/>
                <w:szCs w:val="15"/>
                <w:highlight w:val="none"/>
                <w:lang w:val="en-US" w:eastAsia="zh-CN"/>
              </w:rPr>
              <w:t>、</w:t>
            </w:r>
            <w:r>
              <w:rPr>
                <w:rFonts w:hint="eastAsia" w:ascii="宋体" w:hAnsi="宋体" w:eastAsia="宋体" w:cs="宋体"/>
                <w:color w:val="000000"/>
                <w:kern w:val="0"/>
                <w:sz w:val="15"/>
                <w:szCs w:val="15"/>
                <w:highlight w:val="none"/>
              </w:rPr>
              <w:t>2.1.3.5不适用）。</w:t>
            </w:r>
          </w:p>
          <w:p>
            <w:pPr>
              <w:widowControl/>
              <w:jc w:val="center"/>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numPr>
                <w:ilvl w:val="0"/>
                <w:numId w:val="10"/>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9" w:name="_Toc1669881788"/>
            <w:r>
              <w:rPr>
                <w:rFonts w:hint="eastAsia" w:ascii="宋体" w:hAnsi="宋体" w:eastAsia="宋体" w:cs="宋体"/>
                <w:b/>
                <w:bCs/>
                <w:color w:val="auto"/>
                <w:kern w:val="0"/>
                <w:szCs w:val="21"/>
                <w:highlight w:val="none"/>
              </w:rPr>
              <w:t>《水利工程质量检测管理规定》案由5项</w:t>
            </w:r>
            <w:bookmarkEnd w:id="298"/>
            <w:bookmarkEnd w:id="29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未取得相应的资质，擅自承担检测业务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处罚条款：第二十五条，给予警告或者通报批评，二年之内不得再次申请资质。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（一）隐瞒或者提供虚假材料申请乙级资质的，给予警告；（二）隐瞒或者提供虚假材料申请甲级资质或造成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恶劣影响的，给予通报批评。</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以欺骗、贿赂等不正当手段取得《资质等级证书》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处罚条款：第二十六条，3年内不得再次申请，可并处1万元以上3万元以下的罚款。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1.以欺骗、贿赂等不正当手段取得乙级资质，系数为0；2.以欺骗、贿赂等不正当手段取得甲级资质，系数为1；3.造成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水利工程质量检测单位超出资质等级范围从事检测活动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处罚条款：第二十七条第一款第（一）项，责令改正，有违法所得的，没收违法所得，可并处1万元以上3万元以下的罚款。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水利工程质量检测单位涂改、倒卖、出租、出借或者以其他形式非法转让《资质等级证书》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处罚条款：第二十七条第一款第（二）项，责令改正，有违法所得的，没收违法所得，可并处1万元以上3万元以下的罚款。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0" w:name="_Toc218468875"/>
            <w:bookmarkStart w:id="301" w:name="_Toc1030517965"/>
            <w:r>
              <w:rPr>
                <w:rFonts w:hint="eastAsia" w:ascii="宋体" w:hAnsi="宋体" w:eastAsia="宋体" w:cs="宋体"/>
                <w:b/>
                <w:bCs/>
                <w:color w:val="auto"/>
                <w:kern w:val="0"/>
                <w:szCs w:val="21"/>
                <w:highlight w:val="none"/>
              </w:rPr>
              <w:t>《市政公用事业特许经营管理办法》案由1项</w:t>
            </w:r>
            <w:bookmarkEnd w:id="300"/>
            <w:bookmarkEnd w:id="30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以欺骗、贿赂等不正当手段获得水务特许经营权的企业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处罚条款：第二十八条，取消其特许经营权，三年内不得参与市政公用事业特许经营竞标。</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2" w:name="_Toc218468876"/>
            <w:bookmarkStart w:id="303" w:name="_Toc1941087610"/>
            <w:r>
              <w:rPr>
                <w:rFonts w:hint="eastAsia" w:ascii="宋体" w:hAnsi="宋体" w:eastAsia="宋体" w:cs="宋体"/>
                <w:b/>
                <w:bCs/>
                <w:color w:val="auto"/>
                <w:kern w:val="0"/>
                <w:szCs w:val="21"/>
                <w:highlight w:val="none"/>
              </w:rPr>
              <w:t>《注册造价工程师管理办法》案由3项</w:t>
            </w:r>
            <w:bookmarkEnd w:id="302"/>
            <w:bookmarkEnd w:id="30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未经注册而以注册造价工程师的名义从事水利工程造价活动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处罚条款：第三十四条，给予警告，责令停止违法活动，并可处以1万元以上3万元以下的罚款。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造价咨询合同金额＜10万，系数为0；2.10万≤造价咨询合同金额＜50万，系数为1；3.50万≤造价咨询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注册造价工程师未办理变更注册而继续执业并参与水利工程造价活动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处罚条款：第三十五条，责令限期改正；逾期未改正，可处以5000元以下的罚款。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价咨询合同金额＜10万，系数为0；2.10万≤造价咨询合同金额＜20万，系数为2；3.20万≤造价咨询合同金额＜30万，系数为4；4.30万≤造价咨询合同金额＜50万，系数为6；5.50万≤造价咨询合同金额，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注册造价师存在禁止的行为</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处罚条款：第三十六条，给予警告，责令改正，没有违法所得的，处以1万元以下罚款，有违法所得的，处以违法所得3倍以下且不超过3万元的罚款。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给予警告，并处以下罚款：1.未造成危害后果，系数为0；2.影响项目造价准确性，系数为4；3.导致工程质量事故，系数为9。4.存在基准2.1.3规定情形的，系数按照相关规定确定（基准2.1.3.5不适用）。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给予警告，并处以下罚款：1.未造成危害后果，系数为0；2.影响项目造价准确性，系数为1；3.导致工程质量事故，系数为2。4.存在基准2.1.3规定情形的，系数按照相关规定确定（基准2.1.3.5不适用）。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需要作出违法所得1倍以下且不超过3万元罚款决定的，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04" w:name="_Toc218468877"/>
            <w:bookmarkStart w:id="305" w:name="_Toc787027200"/>
            <w:r>
              <w:rPr>
                <w:rFonts w:hint="eastAsia" w:ascii="黑体" w:hAnsi="黑体" w:eastAsia="黑体" w:cs="黑体"/>
                <w:color w:val="auto"/>
                <w:kern w:val="0"/>
                <w:sz w:val="28"/>
                <w:szCs w:val="28"/>
                <w:highlight w:val="none"/>
              </w:rPr>
              <w:t>水文与水行政许可管理方面</w:t>
            </w:r>
            <w:bookmarkEnd w:id="304"/>
            <w:bookmarkEnd w:id="30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6" w:name="_Toc218468878"/>
            <w:bookmarkStart w:id="307" w:name="_Toc1639570995"/>
            <w:r>
              <w:rPr>
                <w:rFonts w:hint="eastAsia" w:ascii="宋体" w:hAnsi="宋体" w:eastAsia="宋体" w:cs="宋体"/>
                <w:b/>
                <w:bCs/>
                <w:color w:val="auto"/>
                <w:kern w:val="0"/>
                <w:szCs w:val="21"/>
                <w:highlight w:val="none"/>
              </w:rPr>
              <w:t>《中华人民共和国水文条例》案由5项</w:t>
            </w:r>
            <w:bookmarkEnd w:id="306"/>
            <w:bookmarkEnd w:id="30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不符合规定的条件从事水文活动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处罚条款：第三十八条，责令停止违法行为，没收违法所得，并处5万元以上10万元以下罚款。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1.不符合本条例第二十四条规定的1项条件，系数为0，每增加1项，系数加1。2.存在基准2.1.3规定情形的，系数按照相关规定确定（基准2.1.3.5不适用）。同时没收违法所得。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拒不汇交水文监测资料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1.因拒不汇交资料导致重大隐患、恶劣影响、严重后果的，系数为4。2.存在基准2.1.3规定情形的，系数按照相关规定确定（基准2.1.3.5不适用）。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非法向社会传播水文情报预报，造成严重经济损失和不良影响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处罚条款：第四十条第一款第（二）项，责令停止违法行为，处1万元以上5万元以下罚款。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或不良影响范围局限于街道乡镇，系数为0；2.5万≤直接经济损失＜10万或不良影响范围扩大至区级行政区域，系数为1；3.10万≤直接经济损失＜20万或不良影响波及多个区级行政区域，系数为2；4.20万≤直接经济损失＜50万或不良影响波及全市，系数为3；5.50万≤直接经济损失或不良影响波及全市并外溢</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省市，系数为4。6.存在基准2.1.3规定情形的，系数按照相关规定确定（基准2.1.3.5不适用）。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在水文监测环境保护范围内种植高秆作物、堆放物料、修建建筑物以及其他禁止性活动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处罚条款：第四十三条，责令停止违法行为，限期恢复原状或者采取其他补救措施，可以处1万元以下罚款。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1.面积＜50平方米，系数为0；2.50平方米≤面积＜100平方米，系数为1；3.100平方米≤面积＜200平方米，系数为2；4.200平方米≤面积＜300平方米，系数为3；5.300平方米≤面积，或者造成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侵占、毁坏水文监测设施或者未经批准擅自移动、擅自使用水文监测设施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处罚条款：第四十二条，责令停止违法行为，限期恢复原状或者采取其他补救措施，可以处5万元以下罚款。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恶劣影响，系数为9；5.违法行为发生在汛期或侵占、毁坏、擅自移动、擅自使用3处以上，系数加3。6.存在基准2.1.3规定情形的，系数按照相关规定确定（基准2.1.3.5不适用）。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08" w:name="_Toc218468879"/>
            <w:bookmarkStart w:id="309" w:name="_Toc2124810332"/>
            <w:r>
              <w:rPr>
                <w:rFonts w:hint="eastAsia" w:ascii="宋体" w:hAnsi="宋体" w:eastAsia="宋体" w:cs="宋体"/>
                <w:b/>
                <w:bCs/>
                <w:color w:val="auto"/>
                <w:kern w:val="0"/>
                <w:szCs w:val="21"/>
                <w:highlight w:val="none"/>
              </w:rPr>
              <w:t>《中华人民共和国行政许可法》《水行政许可实施办法》案由4项</w:t>
            </w:r>
            <w:bookmarkEnd w:id="308"/>
            <w:bookmarkEnd w:id="30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水行政许可申请人隐瞒有关情况或者提供虚假材料申请水行政许可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处罚条款：《办法》第五十五条，给予警告。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被许可人以欺骗、贿赂等不正当手段取得水行政许可</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违反条款：《办法》第五十条第二款；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六条，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未经水行政许可，擅自从事依法应当取得水行政许可的活动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八条，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涂改、倒卖、出租、出借行政许可证件，或者以其他形式非法转让行政许可、超越行政许可范围进行活动以及向负责监督检查的行政机关隐瞒有关情况、提供虚假材料或者拒绝提供反映其活动情况的真实材料</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违反条款：《行政许可法》第八十条；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七条，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10" w:name="_Toc218468880"/>
            <w:bookmarkStart w:id="311" w:name="_Toc1662666008"/>
            <w:r>
              <w:rPr>
                <w:rFonts w:hint="eastAsia" w:ascii="黑体" w:hAnsi="黑体" w:eastAsia="黑体" w:cs="黑体"/>
                <w:color w:val="auto"/>
                <w:kern w:val="0"/>
                <w:sz w:val="28"/>
                <w:szCs w:val="28"/>
                <w:highlight w:val="none"/>
              </w:rPr>
              <w:t>水务移民管理方面</w:t>
            </w:r>
            <w:bookmarkEnd w:id="310"/>
            <w:bookmarkEnd w:id="31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2" w:name="_Toc218468881"/>
            <w:bookmarkStart w:id="313" w:name="_Toc1934061154"/>
            <w:r>
              <w:rPr>
                <w:rFonts w:hint="eastAsia" w:ascii="宋体" w:hAnsi="宋体" w:eastAsia="宋体" w:cs="宋体"/>
                <w:b/>
                <w:bCs/>
                <w:color w:val="auto"/>
                <w:kern w:val="0"/>
                <w:szCs w:val="21"/>
                <w:highlight w:val="none"/>
              </w:rPr>
              <w:t>《大中型水利水电工程建设征地补偿和移民安置条例》案由3项</w:t>
            </w:r>
            <w:bookmarkEnd w:id="312"/>
            <w:bookmarkEnd w:id="31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在编制移民安置规划大纲、移民安置规划、水库移民后期扶持规划，或者进行实物调查、移民安置监督评估中弄虚作假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处罚条款：第五十九条，责令改正，对有关单位处10万元以上50万元以下的罚款；对直接负责的主管人员和其他直接责任人员处1万元以上5万元以下的罚款。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侵占、截留、挪用大中型水利水电工程建设征地补偿和移民安置资金、水库移民后期扶持资金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处罚条款：第六十条，责令退赔，并处侵占、截留、挪用资金额3倍以下的罚款。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资金额</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1.造成严重后果或恶劣影响的，系数为2。2.存在基准2.1.3规定情形的，系数按照相关规定确定（基准2.1.3.5不适用）。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罚款金额=资金额×（1+情节系数）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项目法人未经批准擅自调整或者修改移民安置规划大纲</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违反条款：第九条第二款、第十五条第二款；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处罚条款：第五十八条第二款，责令改正，处10万元以上50万元以下的罚款；对直接负责的主管人员和其他直接责任人员处1万元以上5万元以下的罚款。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14" w:name="_Toc218468882"/>
            <w:bookmarkStart w:id="315" w:name="_Toc2133140433"/>
            <w:r>
              <w:rPr>
                <w:rFonts w:hint="eastAsia" w:ascii="黑体" w:hAnsi="黑体" w:eastAsia="黑体" w:cs="黑体"/>
                <w:color w:val="auto"/>
                <w:kern w:val="0"/>
                <w:sz w:val="28"/>
                <w:szCs w:val="28"/>
                <w:highlight w:val="none"/>
              </w:rPr>
              <w:t>防汛抗旱管理方面</w:t>
            </w:r>
            <w:bookmarkEnd w:id="314"/>
            <w:bookmarkEnd w:id="31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6" w:name="_Toc218468883"/>
            <w:bookmarkStart w:id="317" w:name="_Toc1256384997"/>
            <w:r>
              <w:rPr>
                <w:rFonts w:hint="eastAsia" w:ascii="宋体" w:hAnsi="宋体" w:eastAsia="宋体" w:cs="宋体"/>
                <w:b/>
                <w:bCs/>
                <w:color w:val="auto"/>
                <w:kern w:val="0"/>
                <w:szCs w:val="21"/>
                <w:highlight w:val="none"/>
              </w:rPr>
              <w:t>《中华人民共和国抗旱条例》案由4项</w:t>
            </w:r>
            <w:bookmarkEnd w:id="316"/>
            <w:bookmarkEnd w:id="31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水库、水电站、拦河闸坝等工程的管理单位以及其他经营工程设施的经营者拒不服从统一调度和指挥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处罚条款：第六十条，责令改正，给予警告；拒不改正的，强制执行，处1万元以上5万元以下的罚款。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拒不改正的，处以下罚款：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侵占、破坏水源和抗旱设施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处罚条款：第六十一条，责令停止违法行为，采取补救措施，处1万元以上5万元以下的罚款。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阻碍、威胁防汛抗旱指挥机构、水行政主管部门或者流域管理机构的工作人员依法执行职务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处罚条款：第六十三条，责令改正，予以警告。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抢水、非法引水、截水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处罚条款：第六十二条，责令停止违法行为，予以警告。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18" w:name="_Toc218468884"/>
            <w:bookmarkStart w:id="319" w:name="_Toc712088661"/>
            <w:r>
              <w:rPr>
                <w:rFonts w:hint="eastAsia" w:ascii="宋体" w:hAnsi="宋体" w:eastAsia="宋体" w:cs="宋体"/>
                <w:b/>
                <w:bCs/>
                <w:color w:val="auto"/>
                <w:kern w:val="0"/>
                <w:szCs w:val="21"/>
                <w:highlight w:val="none"/>
              </w:rPr>
              <w:t>《中华人民共和国河道管理条例》案由1项</w:t>
            </w:r>
            <w:bookmarkEnd w:id="318"/>
            <w:bookmarkEnd w:id="31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汛期违反防汛指挥部的规定或者指令</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处罚条款：第四十四条第一款第（八）项，责令其纠正违法行为、采取补救措施外，可以并处警告、罚款、没收非法所得。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20" w:name="_Toc218468885"/>
            <w:bookmarkStart w:id="321" w:name="_Toc1594994354"/>
            <w:r>
              <w:rPr>
                <w:rFonts w:hint="eastAsia" w:ascii="黑体" w:hAnsi="黑体" w:eastAsia="黑体" w:cs="黑体"/>
                <w:color w:val="auto"/>
                <w:kern w:val="0"/>
                <w:sz w:val="28"/>
                <w:szCs w:val="28"/>
                <w:highlight w:val="none"/>
              </w:rPr>
              <w:t>水利项目招投标管理方面</w:t>
            </w:r>
            <w:bookmarkEnd w:id="320"/>
            <w:bookmarkEnd w:id="32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22" w:name="_Toc218468886"/>
            <w:bookmarkStart w:id="323" w:name="_Toc1290780609"/>
            <w:r>
              <w:rPr>
                <w:rFonts w:hint="eastAsia" w:ascii="宋体" w:hAnsi="宋体" w:eastAsia="宋体" w:cs="宋体"/>
                <w:b/>
                <w:bCs/>
                <w:color w:val="auto"/>
                <w:kern w:val="0"/>
                <w:szCs w:val="21"/>
                <w:highlight w:val="none"/>
              </w:rPr>
              <w:t>《中华人民共和国招标投标法》《中华人民共和国招标投标法实施条例》案由9项</w:t>
            </w:r>
            <w:bookmarkEnd w:id="322"/>
            <w:bookmarkEnd w:id="32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必须进行招标的项目而不招标，或者将必须进行招标的项目化整为零或者以其他任何方式规避招标（水利项目）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处罚条款：《招标投标法》第四十九条，责令限期改正，可以处项目合同金额千分之五以上千分之十以下的罚款。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项目合同金额×5‰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1.项目合同金额＜法定必须招标的金额标准2倍，系数为0；2.法定必须招标的金额标准2倍≤项目合同金额＜法定必须招标的金额标准5倍，系数为0.5；3.法定必须招标的金额标准5倍≤项目合同金额或造成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罚款金额=项目合同金额×5‰×（1+情节系数）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招标代理机构泄露应当保密的与招标投标活动有关的情况和资料，或者与招标人、投标人串通损害国家利益、社会公共利益或者他人合法权益（水利项目）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条，处五万元以上二十五万元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1.招标控制价＜法定必须招标的金额标准2倍，系数为0；2.法定必须招标的金额标准2倍≤招标控制价＜法定必须招标的金额标准5倍，系数为0.5；3.法定必须招标的金额标准5倍≤招标控制价或造成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招标人以不合理的条件限制或者排斥潜在投标人，对潜在投标人实行歧视待遇，强制要求投标人组成联合体共同投标，或者限制投标人之间竞争（水利项目）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处罚条款：《招标投标法》第五十一条，责令改正，可以处一万元以上五万元以下的罚款。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依法必须进行招标的项目的招标人向他人透露已获取招标文件的潜在投标人的名称、数量或者可能影响公平竞争的有关招标投标的其他情况，或者泄露标底（水利项目）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处罚条款：《招标投标法》第五十二条，给予警告，可以并处一万元以上十万元以下的罚款。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招标控制价＜法定必须招标的金额标准2倍，系数为0；2.法定必须招标的金额标准2倍≤招标控制价＜法定必须招标的金额标准3倍，系数为2；3.法定必须招标的金额标准3倍≤招标控制价＜法定必须招标的金额标准4倍，系数为4；4.法定必须招标的金额标准4倍≤招标控制价＜法定必须招标的金额标准5倍，系数为6；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投标人相互串通投标或者与招标人串通投标，投标人以向招标人或者评标委员会成员行贿的手段谋取中标（水利项目）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三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投标人以他人名义投标或者以其他方式弄虚作假，骗取中标（水利项目）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四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情节严重从《中华人民共和国招标投标法实施条例》规定。</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评标委员会成员收受投标人的财物或者其他好处，评标委员会成员或者参加评标的有关工作人员向他人透露对投标文件的评审和比较、中标候选人的推荐以及与评标有关的其他情况（水利项目）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处罚条款：《招标投标法》第五十六条，给予警告，没收收受的财物，可以并处三千元以上五万元以下的罚款。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没收收受的财物，并处以下罚款：1.招标项目合同金额＜法定必须招标的金额标准2倍，系数为0；2.法定必须招标的金额标准2倍≤招标项目合同金额＜法定必须招标的金额标准5倍，系数为4；3.法定必须招标的金额标准5倍≤招标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需要作出3000元以上5000元以下罚款决定的，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违反规定转让、分包中标项目（水利项目）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处罚条款：《招标投标法》第五十八条，处转让、分包项目金额千分之五以上千分之十以下的罚款；有违法所得的，并处没收违法所得。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转让、分包项目金额×5‰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让、分包项目金额＜200万元，系数为0；2.200万元≤转让、分包项目金额＜300万元，系数为0.25；3.300万元≤转让、分包项目金额＜400万元，系数为0.5；4.400万元≤转让、分包项目金额＜500万元，系数为0.75；5.500万元≤转让、分包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招标人与中标人不按照招标文件和中标人的投标文件订立合同，或者合同的主要条款与招标文件、中标人的投标文件的内容不一致，或者招标人、中标人订立背离合同实质性内容的协议的（水利项目）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违反条款：《招标投标法》第四十六条第一款；《条例》第五十七条第一款；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处罚条款：《招标投标法》第五十九条，责令改正，可以处中标项目金额千分之五以上千分之十以下的罚款；《条例》第七十五条，责令改正，可以处中标项目金额5‰以上10‰以下的罚款。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24" w:name="_Toc218468887"/>
            <w:bookmarkStart w:id="325" w:name="_Toc251657955"/>
            <w:r>
              <w:rPr>
                <w:rFonts w:hint="eastAsia" w:ascii="宋体" w:hAnsi="宋体" w:eastAsia="宋体" w:cs="宋体"/>
                <w:b/>
                <w:bCs/>
                <w:color w:val="auto"/>
                <w:kern w:val="0"/>
                <w:szCs w:val="21"/>
                <w:highlight w:val="none"/>
              </w:rPr>
              <w:t>《中华人民共和国招标投标法实施条例》案由12项</w:t>
            </w:r>
            <w:bookmarkEnd w:id="324"/>
            <w:bookmarkEnd w:id="32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招标人违法组建评标委员会，或者违法确定、更换评标委员会成员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处罚条款：第七十条第一款，责令改正，可以处10万元以下的罚款。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招标人无正当理由不与中标人订立合同（水利项目）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处罚条款：第七十三条第（四）项，责令改正，可以处中标项目金额10‰以下的罚款。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招标人在订立合同时向中标人提出附加条件（水利项目）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处罚条款：第七十三条第（五）项，责令改正，可以处中标项目金额10‰以下的罚款。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中标人无正当理由不与招标人订立合同，在签订合同时向招标人提出附加条件，或者不按照招标文件要求提交履约保证金（水利项目）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处罚条款：第七十四条，责令改正，可以处中标项目金额10‰以下的罚款。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招标人招标文件、资格预审文件的发售、澄清、修改的时限，或者确定的提交资格预审申请文件、投标文件的时限不符合法规规定（水利项目）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违反条款：第十六条第一款、第二十一条；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处罚条款：第六十四条第一款第（二）项，责令改正，可以处10万元以下的罚款。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招标人接受未通过资格预审的单位或者个人参加投标（水利项目）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处罚条款：第六十四条第（三）项，责令改正，可以处10万元以下的罚款。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招标人接受应当拒收的投标文件（水利项目）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处罚条款：第六十四条第（四）项，责令改正，可以处10万元以下的罚款。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招标人超过法规规定的比例收取投标保证金、履约保证金或者不按照规定退还投标保证金及银行同期存款利息（水利项目）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违反条款：第二十六条第一款、第五十七条第二款、第五十八条；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处罚条款：第六十六条，责令改正，可以处5万元以下的罚款。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保证金超过规定比例＜20%或逾期退还天数＜15天，系数为0；2.20％≤保证金超过规定比例＜30%或15天≤逾期退还天数＜30天，系数为2；3.30％≤保证金超过规定比例＜40%或30天≤逾期退还天数＜45天，系数为4；4.40％≤保证金超过规定比例＜50%或45天≤逾期退还天数＜60天，系数为6；5.50％≤保证金超过规定比例或60天≤逾期退还天数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招标人无正当理由不发出中标通知书（水利项目）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处罚条款：第七十三条第（一）项，责令改正，可以处中标项目金额10‰以下的罚款。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招标人不按照规定确定中标人（水利项目）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处罚条款：第七十三条第（二）项，责令改正，可以处中标项目金额10‰以下的罚款。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招标人中标通知书发出后无正当理由改变中标结果（水利项目）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处罚条款：第七十三条第（三）项，责令改正，可以处中标项目金额10‰以下的罚款。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招标人依法应当公开招标而采用邀请招标（水利项目）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处罚条款：第六十四条第一款第（一）项，责令改正，可以处10万元以下的罚款。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ascii="Times New Roman" w:hAnsi="Times New Roman" w:eastAsia="宋体" w:cs="Times New Roman"/>
                <w:color w:val="auto"/>
                <w:kern w:val="0"/>
                <w:szCs w:val="21"/>
                <w:highlight w:val="none"/>
              </w:rPr>
            </w:pPr>
            <w:bookmarkStart w:id="326" w:name="_Toc218468888"/>
            <w:bookmarkStart w:id="327" w:name="_Toc271718657"/>
            <w:r>
              <w:rPr>
                <w:rFonts w:hint="eastAsia" w:ascii="宋体" w:hAnsi="宋体" w:eastAsia="宋体" w:cs="宋体"/>
                <w:b/>
                <w:bCs/>
                <w:color w:val="auto"/>
                <w:kern w:val="0"/>
                <w:szCs w:val="21"/>
                <w:highlight w:val="none"/>
              </w:rPr>
              <w:t>《工程建设项目施工招标投标办法》案由1项</w:t>
            </w:r>
            <w:bookmarkEnd w:id="326"/>
            <w:bookmarkEnd w:id="32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依法必须进行招标的项目，招标人违法与投标人就投标价格、投标方案等实质性内容进行谈判（水利项目）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违反条款：第七十六条；</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处罚条款：第七十六条，给予警告。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auto"/>
                <w:kern w:val="0"/>
                <w:sz w:val="15"/>
                <w:szCs w:val="15"/>
                <w:highlight w:val="none"/>
                <w:lang w:eastAsia="zh-CN"/>
              </w:rPr>
            </w:pPr>
            <w:r>
              <w:rPr>
                <w:rFonts w:hint="eastAsia" w:ascii="Times New Roman" w:hAnsi="Times New Roman" w:eastAsia="宋体" w:cs="Times New Roman"/>
                <w:color w:val="auto"/>
                <w:kern w:val="0"/>
                <w:sz w:val="15"/>
                <w:szCs w:val="15"/>
                <w:highlight w:val="none"/>
                <w:lang w:eastAsia="zh-CN"/>
              </w:rPr>
              <w:t>市级</w:t>
            </w:r>
            <w:r>
              <w:rPr>
                <w:rFonts w:hint="eastAsia" w:ascii="Times New Roman" w:hAnsi="Times New Roman" w:eastAsia="宋体" w:cs="Times New Roman"/>
                <w:color w:val="auto"/>
                <w:kern w:val="0"/>
                <w:sz w:val="15"/>
                <w:szCs w:val="15"/>
                <w:highlight w:val="none"/>
                <w:lang w:eastAsia="zh-CN"/>
              </w:rPr>
              <w:br w:type="textWrapping"/>
            </w:r>
            <w:r>
              <w:rPr>
                <w:rFonts w:hint="eastAsia" w:ascii="Times New Roman" w:hAnsi="Times New Roman" w:eastAsia="宋体" w:cs="Times New Roman"/>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28" w:name="_Toc218468889"/>
            <w:bookmarkStart w:id="329" w:name="_Toc692384715"/>
            <w:r>
              <w:rPr>
                <w:rFonts w:hint="eastAsia" w:ascii="黑体" w:hAnsi="黑体" w:eastAsia="黑体" w:cs="黑体"/>
                <w:color w:val="auto"/>
                <w:kern w:val="0"/>
                <w:sz w:val="28"/>
                <w:szCs w:val="28"/>
                <w:highlight w:val="none"/>
              </w:rPr>
              <w:t>水利建设勘察设计管理方面</w:t>
            </w:r>
            <w:bookmarkEnd w:id="328"/>
            <w:bookmarkEnd w:id="32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30" w:name="_Toc218468890"/>
            <w:bookmarkStart w:id="331" w:name="_Toc1421892656"/>
            <w:r>
              <w:rPr>
                <w:rFonts w:hint="eastAsia" w:ascii="宋体" w:hAnsi="宋体" w:eastAsia="宋体" w:cs="宋体"/>
                <w:b/>
                <w:bCs/>
                <w:color w:val="auto"/>
                <w:kern w:val="0"/>
                <w:szCs w:val="21"/>
                <w:highlight w:val="none"/>
              </w:rPr>
              <w:t>《建设工程勘察设计管理条例》案由5项</w:t>
            </w:r>
            <w:bookmarkEnd w:id="330"/>
            <w:bookmarkEnd w:id="33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水利建设工程勘察、设计单位以其他单位的名义承揽业务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处罚条款：第三十五条第一款，责令停止违法行为，处合同约定的勘察费、设计费1倍以上2倍以下的罚款，有违法所得的，予以没收；可以责令停业整顿，降低资质等级；情节严重的，吊销资质证书。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未经注册，擅自从事水利建设工程勘察、设计活动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处罚条款：第三十六条，责令停止违法行为，没收违法所得，处违法所得2倍以上5倍以下罚款。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得执业资格但未注册从事相应资质活动，系数为0；2.未取得执业资格从事活动或取得执业资格从事高于注册资质等级活动，系数为1；3.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建设工程勘察、设计注册执业人员和其他专业技术人员未受聘于一个建设工程勘察、设计单位或者同时受聘于两个以上建设工程勘察、设计单位，从事水利建设工程勘察、设计活动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处罚条款：第三十七条，责令停止违法行为，没收违法所得，处违法所得2倍以上5倍以下的罚款；情节严重的，可以责令停止执行业务或者吊销资格证书。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受聘或同时受聘两个及以上单位从事工程勘察、设计乙级资质活动，系数为0；2.未受聘或同时受聘两个单位从事工程勘察、设计涉及甲级资质活动，系数为1；3.同时受聘三个及以上单位从事工程勘察、设计活动或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止执行业务或吊销资格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发包方将水利建设工程勘察、设计业务发包给不具有相应资质等级的水利建设工程勘察、设计单位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0.2；3.300万元≤勘察或设计费＜400万元，系数为0.4；4.400万元≤勘察或设计费＜500万元，系数为0.6；5.500万元≤勘察或设计费＜600万元，系数为0.8；6.600万元≤勘察或设计费，系数为1；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勘察、设计单位未按照要求编制建设工程勘察、设计文件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处罚条款：第四十条，责令限期改正，逾期不改正的，处10万元以上30万元以下的罚款，造成工程质量事故或者环境污染和生态破坏的，责令停业整顿，降低资质等级，情节严重的，吊销资质证书。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0.4；3.300万元≤勘察或设计费＜400万元，系数为0.8；4.400万元≤勘察或设计费＜500万元，系数为1.2；5.500万元≤勘察或设计费＜600万元，系数为1.6；6.600万元≤勘察或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32" w:name="_Toc218468891"/>
            <w:bookmarkStart w:id="333" w:name="_Toc1861553303"/>
            <w:r>
              <w:rPr>
                <w:rFonts w:ascii="Times New Roman" w:hAnsi="Times New Roman" w:eastAsia="宋体" w:cs="Times New Roman"/>
                <w:b/>
                <w:bCs/>
                <w:color w:val="auto"/>
                <w:kern w:val="0"/>
                <w:szCs w:val="21"/>
                <w:highlight w:val="none"/>
              </w:rPr>
              <w:t>《建设工程质量管理条例》《水利工程质量管理规定》案由4项</w:t>
            </w:r>
            <w:bookmarkEnd w:id="332"/>
            <w:bookmarkEnd w:id="33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建设工程勘察、设计单位将所承揽的水利建设工程勘察、设计转包或者违法分包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strike/>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25%以上50%以下的罚款，可以责令停业整顿，降低资质等级，情节严重的，吊销资质证书；《规定》第二十一条，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设计单位未根据勘察成果文件进行水利工程设计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违反条款：《条例》第二十一条第一款；《规定》第二十五条第一款；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二）项，责令改正，处10万元以上30万元以下的罚款；《条例》第六十三条第二款，有前款所列行为，造成工程质量事故的，责令停业整顿，降低资质等级；情节严重的，吊销资质证书。《规定》第六十六条第一款第（二）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较大及以上安全事故；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设计单位违反规定指定生产厂、供应商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违反条款：《条例》第二十二条第二款；《规定》第二十六条第二款；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处罚条款：《条例》第六十三条第一款第（三）项，责令改正，处10万元以上30万元以下的罚款；《规定》第六十六条第一款第（三）项，责令改正，处10万元以上30万元以下的罚款。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设计单位未按照工程建设强制性标准进行水利工程设计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处罚条款：《条例》第六十三条第一款第（四）项，责令改正，处10万元以上30万元以下的罚款；《规定》第六十六条第一款第（四）项，责令改正，处10万元以上30万元以下的罚款。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34" w:name="_Toc218468892"/>
            <w:bookmarkStart w:id="335" w:name="_Toc1091748133"/>
            <w:r>
              <w:rPr>
                <w:rFonts w:ascii="Times New Roman" w:hAnsi="Times New Roman" w:eastAsia="宋体" w:cs="Times New Roman"/>
                <w:b/>
                <w:bCs/>
                <w:color w:val="auto"/>
                <w:kern w:val="0"/>
                <w:szCs w:val="21"/>
                <w:highlight w:val="none"/>
              </w:rPr>
              <w:t>《建设工程勘察质量管理办法》案由17项</w:t>
            </w:r>
            <w:bookmarkEnd w:id="334"/>
            <w:bookmarkEnd w:id="33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工程勘察企业法定代表人未建立或者落实本单位勘察质量管理制度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建立勘察质量管理制度但落实管理要求，系数为0；2.建立勘察质量管理制度但未落实管理要求，系数为1；3.未建立勘察质量管理制度且未落实管理要求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工程勘察企业法定代表人授权不具备相应资格的项目负责人开展勘察工作</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工程勘察企业项目负责人未执行勘察纲要和工程建设强制性标准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工程勘察企业项目负责人未落实本单位勘察质量管理制度或者未制定项目质量保证措施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工程勘察企业项目负责人未对原始记录进行验收并签字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进行验收并签字1处，系数为0；2.未进行验收并签字2处，系数为1；3.未进行验收并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工程勘察企业项目负责人未对归档资料签字确认</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归档资料签字确认1处，系数为0；2.未对归档资料签字确认2处，系数为1；3.未对归档资料签字确认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工程勘察企业原始记录弄虚作假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1.弄虚作假1处，系数为0；2.弄虚作假2处，系数为1；3.弄虚作假3处及以上或造成其他恶劣影响或造成工程质量事故的，系数为2。4.存在基准2.1.3规定情形的，系数按照相关规定确定（基准2.1.3.5不适用）。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工程勘察企业未将钻探、取样、原位测试、室内试验等主要过程的影像资料留存备查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留存影像资料1份，系数为0；2.未留存影像资料2份，系数为1；3.未留存影像资料3份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工程勘察企业未按规定参加工程勘察技术交底和施工验槽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处罚条款：第二十四条第（三）项，责令改正，处1万元以上3万元以下的罚款。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工程勘察企业未按规定及时将勘察文件和勘探、试验、测试原始记录及成果、质量安全管理记录归档保存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处罚条款：第二十四条第（六）项，责令改正，处1万元以上3万元以下的罚款。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工程建设单位、勘察企业的法定代表人和其他直接责任人员因企业受到罚款处罚的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处罚条款：第二十七条，处以企业罚款数额的5%以上10%以下的罚款。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企业罚款数额的5%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0.5；3.500万≤项目勘察费或造成其他恶劣影响或造成工程质量事故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罚款金额=企业罚款数额的5%×（1+情节系数）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建设单位未提供必要的现场工作条件或者提供与工程勘察有关的原始资料不真实、不可靠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处罚条款：第二十二条第（一）项</w:t>
            </w:r>
            <w:r>
              <w:rPr>
                <w:rFonts w:hint="eastAsia" w:ascii="宋体" w:hAnsi="宋体" w:eastAsia="宋体" w:cs="宋体"/>
                <w:color w:val="auto"/>
                <w:kern w:val="0"/>
                <w:sz w:val="15"/>
                <w:szCs w:val="15"/>
                <w:highlight w:val="none"/>
                <w:lang w:eastAsia="zh-CN"/>
              </w:rPr>
              <w:t>、第（二）项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工程勘察企业关键岗位工作人员未接受专业培训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接受专业培训的关键岗位作业人员1人，系数为0；2.未接受专业培训的关键岗位作业人员2人，系数为1；3.未接受专业培训的关键岗位作业人员3人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建设单位未组织工程勘察技术交底或者未组织验槽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w:t>
            </w:r>
            <w:r>
              <w:rPr>
                <w:rFonts w:hint="eastAsia" w:ascii="宋体" w:hAnsi="宋体" w:eastAsia="宋体" w:cs="宋体"/>
                <w:color w:val="auto"/>
                <w:kern w:val="0"/>
                <w:sz w:val="15"/>
                <w:szCs w:val="15"/>
                <w:highlight w:val="none"/>
                <w:lang w:eastAsia="zh-CN"/>
              </w:rPr>
              <w:t>（三）项、第（四）项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工程勘察企业使用的勘察仪器、设备不满足相关规定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不满足相关规定的勘察仪器、设备1个，系数为0；2.使用不满足相关规定的勘察仪器、设备2个，系数为1；3.使用不满足相关规定的勘察仪器、设备3个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工程勘察企业法定代表人未按规定在工程勘察文件上签字或者盖章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五</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或者盖章1处，系数为0；2.未签字或者盖章2处，系数为1；3.未签字或者盖章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工程勘察企业项目负责人未按规定在工程勘察文件上签字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六</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1.未签字1处，系数为0；2.未签字2处，系数为1；3.未签字3处及以上或造成其他恶劣影响或造成工程质量事故的，系数为2。4.存在基准2.1.3规定情形的，系数按照相关规定确定（基准2.1.3.5不适用）。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36" w:name="_Toc218468893"/>
            <w:bookmarkStart w:id="337" w:name="_Toc10612826"/>
            <w:r>
              <w:rPr>
                <w:rFonts w:hint="eastAsia" w:ascii="宋体" w:hAnsi="宋体" w:eastAsia="宋体" w:cs="宋体"/>
                <w:b/>
                <w:bCs/>
                <w:color w:val="auto"/>
                <w:kern w:val="0"/>
                <w:szCs w:val="21"/>
                <w:highlight w:val="none"/>
              </w:rPr>
              <w:t>《建设工程勘察设计资质管理规定》案由4项</w:t>
            </w:r>
            <w:bookmarkEnd w:id="336"/>
            <w:bookmarkEnd w:id="33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水利建设工程勘察、工程设计企业隐瞒有关情况或者提供虚假材料申请资质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处罚条款：第二十八条，并给予警告，该企业在1年内不得再次申请该资质。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拟作出1年内不得再次申请该资质的(限制生产经营)，在作出处罚决定前，要邀请行业主管部门共同会商。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建设工程勘察、工程设计企业以欺骗、贿赂等不正当手段取得资质证书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处罚条款：第二十九条，给予警告，并依法处以罚款；该企业在3年内不得再次申请该资质。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拟作出吊销资质证书、3年内不得再次申请该资质的(限制生产经营)，在作出处罚决定前，要邀请行业主管部门共同会商。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以欺骗手段取得资质证书承揽工程的适用《建设工程质量管理条例》。</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建设工程勘察、工程设计企业未按照规定提供信用档案信息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处罚条款：第三十一条，给予警告，责令限期改正；逾期未改正的，可处以1000元以上1万元以下的罚款。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未改正的，处以下罚款：1.企业逾期提供信用档案信息＜3天，系数为0；2.3天≤企业逾期提供信用档案信息＜5天，系数为2；3.5天≤企业逾期提供信用档案信息＜7天，系数为4；4.7天≤企业逾期提供信用档案信息，系数为6；5.企业无法提供信用档案信息的，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建设工程勘察、工程设计企业涂改、倒卖、出租、出借或者以其他形式非法转让资质证书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处罚条款：第三十二条，给予警告，责令改正，并处以1万元以上3万元以下的罚款。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涉及乙级资质，系数为0；2.涉及甲级资质，系数为1；3.涉及多个资质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38" w:name="_Toc218468894"/>
            <w:bookmarkStart w:id="339" w:name="_Toc1687757927"/>
            <w:r>
              <w:rPr>
                <w:rFonts w:hint="eastAsia" w:ascii="黑体" w:hAnsi="黑体" w:eastAsia="黑体" w:cs="黑体"/>
                <w:color w:val="auto"/>
                <w:kern w:val="0"/>
                <w:sz w:val="28"/>
                <w:szCs w:val="28"/>
                <w:highlight w:val="none"/>
              </w:rPr>
              <w:t>水利工程建设质量管理方面</w:t>
            </w:r>
            <w:bookmarkEnd w:id="338"/>
            <w:bookmarkEnd w:id="33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40" w:name="_Toc218468895"/>
            <w:bookmarkStart w:id="341" w:name="_Toc2000827251"/>
            <w:r>
              <w:rPr>
                <w:rFonts w:ascii="Times New Roman" w:hAnsi="Times New Roman" w:eastAsia="宋体" w:cs="Times New Roman"/>
                <w:b/>
                <w:bCs/>
                <w:color w:val="auto"/>
                <w:kern w:val="0"/>
                <w:szCs w:val="21"/>
                <w:highlight w:val="none"/>
              </w:rPr>
              <w:t>《中华人民共和国建筑法》案由1项</w:t>
            </w:r>
            <w:bookmarkEnd w:id="340"/>
            <w:bookmarkEnd w:id="34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建筑设计单位不按照建筑工程质量、安全标准进行水利工程设计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处罚条款：第七十三条，责令改正，处以罚款；造成工程质量事故的，责令停业整顿，降低资质等级或者吊销资质证书，没收违法所得，并处罚款。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2" w:name="_Toc218468896"/>
            <w:bookmarkStart w:id="343" w:name="_Toc1175397027"/>
            <w:r>
              <w:rPr>
                <w:rFonts w:hint="eastAsia" w:ascii="宋体" w:hAnsi="宋体" w:eastAsia="宋体" w:cs="宋体"/>
                <w:b/>
                <w:bCs/>
                <w:color w:val="auto"/>
                <w:kern w:val="0"/>
                <w:szCs w:val="21"/>
                <w:highlight w:val="none"/>
              </w:rPr>
              <w:t>《建设工程质量管理条例》《水利工程质量管理规定》案由28项</w:t>
            </w:r>
            <w:bookmarkEnd w:id="342"/>
            <w:bookmarkEnd w:id="34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水利工程建设单位将建设工程发包给不具有相应资质等级的勘察、设计、施工单位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违反条款：《条例》第七条第一款；《规定》第十一条；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或工程合同价款＜1000万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或1000万元≤工程合同价款＜2000万元，系数为0.2；3.300万元≤勘察或设计费＜400万元或2000万元≤工程合同价款＜3000万元，系数为0.4；4.400万元≤勘察或设计费＜500万元或3000万元≤工程合同价款＜4000万元，系数为0.6；5.500万元≤勘察或设计费＜600万元或4000万元≤工程合同价款＜5000万元，系数为0.8；6.600万元≤勘察或设计费或5000万元≤工程合同价款，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水利工程建设单位将建设工程肢解发包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处罚条款：《条例》第五十五条，责令改正，处工程合同价款0.5%以上1%以下的罚款。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肢解发包为2个建设工程，系数为0；2.肢解发包为3个建设工程，系数为0.5；3.肢解发包为4个建设工程及以上或肢解发包后降低原有所需资质等级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水利工程建设单位迫使承包方以低于成本的价格竞标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处罚条款：《条例》第五十六条第一款第（一）项，责令改正，处20万元以上50万元以下的罚款；《规定》第六十条第一款第（一）项，责令改正，处20万元以上50万元以下的罚款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竞标价低于成本价＜10%，系数为0；2.10%≤竞标价低于成本价偏差＜15%，系数为0.3；3.15%≤竞标价低于成本价偏差＜20%，系数为0.6；4.20%≤竞标价低于成本价偏差＜25%，系数为0.9；5.25%≤竞标价低于成本价偏差＜30%，系数为1.2；6.30%≤竞标价低于成本价偏差，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水利工程建设单位任意压缩合理工期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处罚条款：《条例》第五十六条第一款第（二）项，责令改正，处20万元以上50万元以下的罚款；《规定》第六十条第一款第（二）项，责令改正，处20万元以上50万元以下的罚款。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水利工程建设单位明示或者暗示有关单位违反工程建设强制性标准，降低工程质量</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处罚条款：《条例》第五十六条第一款第（三）项，责令改正，处20万元以上50万元以下的罚款；《规定》第六十条第一款第（三）项，责令改正，处20万元以上50万元以下的罚款。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或施工标准与强制性标准存在偏差1处，系数为0；每增加1处，系数加0.3；偏差≥6处，系数为1.5；2.存在重大质量问题或造成生产安全事故，系数为1.5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将建设工程委托给不具有相应资质等级的工程监理单位进行监理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违反条款：《条例》第十二条第一款；《规定》第十一条第一款；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水利工程未按照国家规定办理工程质量监督手续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违反条款：《条例》第十三条；《规定》第十三条；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处罚条款：《条例》第五十六条第一款第（六）项，责令改正，处20万元以上50万元以下的罚款；《规定》第六十条第一款第（五）项，责令改正，处20万元以上50万元以下的罚款。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明示或者暗示施工单位使用不合格的建筑材料、建筑构配件和设备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处罚条款：《条例》第五十六条第一款第（七）项，责令改正，处20万元以上50万元以下的罚款；《规定》第六十条第一款第（六）项，责令改正，处20万元以上50万元以下的罚款。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水利工程建设单位未按照国家规定将竣工验收报告、有关认可文件或者准许使用文件报送备案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处罚条款：《条例》第五十六条第一款第（八）项，责令改正，处20万元以上50万元以下的罚款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备案时间＜5天，系数为0；2.5天≤逾期备案时间＜10天，系数为0.3；3.10天≤逾期备案时间＜15天，系数为0.6；4.15天≤逾期备案时间＜20天，系数为0.9；5.20天≤逾期备案时间＜25天，系数为1.2；6.25天≤逾期备案时间，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水利工程建设单位未组织竣工验收擅自将水利工程交付使用（不含防洪工程）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处罚条款：《条例》第五十八条第一款第（一）项，责令改正，处工程合同价款2%以上4%以下的罚款。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水利工程建设单位将验收不合格的水利工程擅自交付使用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处罚条款：《条例》第五十八条第一款第（二）项，责令改正，处工程合同价款2%以上4%以下的罚款。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水利工程建设单位将不合格的建设工程按照合格工程验收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处罚条款：《条例》第五十八条第一款第（三）项，责令改正，处工程合同价款2%以上4%以下的罚款。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0.5；3.10天≤违法行为持续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spacing w:after="240"/>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水利工程竣工验收后未移交建设项目档案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违反条款：《条例》第十七条；《规定》第十九条；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处罚条款：《条例》第五十九条，责令改正，处1万元以上10万元以下的罚款；《规定》第六十一条，责令改正，处1万元以上10万元以下的罚款。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4；3.10天≤违法行为持续时间或存在重大质量问题或造成生产安全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施工单位在水利工程施工中偷工减料的，使用不合格的建筑材料、建筑构配件和设备，或者有不按照工程设计图纸或者施工技术标准施工的其他行为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违反条款：《条例》第六十四条；《规定》第六十七条；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责令改正，处工程合同价款2%以上4%以下的罚款，情节严重的，责令停业整顿，降低资质等级或者吊销资质证书；《规定》第六十七条，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无严重情节，处以下罚款：1.施工单位以乙级资质承包水利工程的，系数为0；2.施工单位以甲级资质承包水利工程的，系数为0.5。3.存在基准2.1.3规定情形的，系数按照相关规定确定（基准2.1.3.5不适用）。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水利工程施工单位未对建筑材料、建筑构配件、设备和商品混凝土进行检验，或者未对涉及结构安全的试块、试件以及有关材料取样检测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违反条款：《条例》第二十九条、第三十一条；《规定》第三十五条；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处罚条款：《条例》第六十五条，责令改正，处10万元以上20万元以下的罚款；情节严重的，责令停业整顿，降低资质等级或者吊销资质证书；《规定》第六十八条，责令改正，处10万元以上20万元以下的罚款。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无严重情节，处以下罚款：1.施工单位未进行检验检测1处，系数为0；每增加1处，系数加0.2；未进行检验检测≥6处，系数为1。2.存在基准2.1.3规定情形的，系数按照相关规定确定（基准2.1.3.5不适用）。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水利工程施工单位不履行保修义务或者拖延履行保修义务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违反条款：《条例》第四十一条；《规定》第三十九条；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处罚条款：《条例》第六十六条，责令改正，处10万元以上20万元以下的罚款；《规定》第六十九条，责令改正，处10万元以上20万元以下的罚款。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履行保修义务或者拖延履行保修义务导致发生1处质量问题，系数为0；每增加1处，系数加0.2；质量问题≥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涉及建筑主体或者承重结构变动的水利设施装修工程没有设计方案擅自施工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处罚条款：《条例》第六十九条第一款，责令改正，处50万元以上100万元以下的罚款。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装修工程合同金额＜50万元，系数为0；2.50万元≤装修工程合同金额＜60万元，系数为0.2；3.60万元≤装修工程合同金额＜70万元，系数为0.4；4.70万元≤装修工程合同金额＜80万元，系数为0.6；5.80万元≤装修工程合同金额＜100万元，系数为0.8；6.100万元≤装修工程合同金额，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水利工程建设项目必须实行建设监理而未实行</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水利工程建设监理单位转让监理业务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1"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w:t>
            </w:r>
            <w:r>
              <w:rPr>
                <w:rFonts w:hint="eastAsia" w:ascii="宋体" w:hAnsi="宋体" w:eastAsia="宋体" w:cs="宋体"/>
                <w:color w:val="auto"/>
                <w:kern w:val="0"/>
                <w:sz w:val="15"/>
                <w:szCs w:val="15"/>
                <w:highlight w:val="none"/>
                <w:lang w:eastAsia="zh-CN"/>
              </w:rPr>
              <w:t>项目法人或者被监理单位</w:t>
            </w:r>
            <w:r>
              <w:rPr>
                <w:rFonts w:hint="eastAsia" w:ascii="宋体" w:hAnsi="宋体" w:eastAsia="宋体" w:cs="宋体"/>
                <w:color w:val="auto"/>
                <w:kern w:val="0"/>
                <w:sz w:val="15"/>
                <w:szCs w:val="15"/>
                <w:highlight w:val="none"/>
              </w:rPr>
              <w:t>串通，弄虚作假、降低工程质量</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违反条款：《条例》第三十六条；</w:t>
            </w:r>
            <w:r>
              <w:rPr>
                <w:rFonts w:hint="eastAsia" w:ascii="宋体" w:hAnsi="宋体" w:eastAsia="宋体" w:cs="宋体"/>
                <w:color w:val="auto"/>
                <w:kern w:val="0"/>
                <w:sz w:val="15"/>
                <w:szCs w:val="15"/>
                <w:highlight w:val="none"/>
                <w:lang w:eastAsia="zh-CN"/>
              </w:rPr>
              <w:t>《水利工程建设监理规定》第二十六条第二款；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处罚条款：《条例》第六十七条第（一）项，责令改正，处50万元以上100万元以下的罚款，降低资质等级或者吊销资质证书；有违法所得的，予以没收。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水利工程建设监理单位将不合格的建设工程、原材料、中间产品和设备按照合格签字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违反条款：《条例》第六十七条第（二）项；《规定》第七十条第二款；</w:t>
            </w:r>
            <w:r>
              <w:rPr>
                <w:rFonts w:hint="eastAsia" w:ascii="宋体" w:hAnsi="宋体" w:eastAsia="宋体" w:cs="宋体"/>
                <w:color w:val="auto"/>
                <w:kern w:val="0"/>
                <w:sz w:val="15"/>
                <w:szCs w:val="15"/>
                <w:highlight w:val="none"/>
                <w:lang w:eastAsia="zh-CN"/>
              </w:rPr>
              <w:t>《水利工程建设监理规定》第二十一条第一款；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二）项，责令改正，处50万元以上100万元以下的罚款，降低资质等级或者吊销资质证书，有违法所得的，予以没收；《规定》第七十条第二款，责令改正，处50万元以上100万元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水利工程建设监理单位与被监理工程的施工单位以及原材料、中间产品和设备供应单位有隶属关系或者其他利害关系</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违反条款：《条例》第三十五条；</w:t>
            </w:r>
            <w:r>
              <w:rPr>
                <w:rFonts w:hint="eastAsia" w:ascii="宋体" w:hAnsi="宋体" w:eastAsia="宋体" w:cs="宋体"/>
                <w:color w:val="auto"/>
                <w:kern w:val="0"/>
                <w:sz w:val="15"/>
                <w:szCs w:val="15"/>
                <w:highlight w:val="none"/>
                <w:lang w:eastAsia="zh-CN"/>
              </w:rPr>
              <w:t>《水利工程建设监理规定》第二十六条第一款；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处罚条款：《条例》第六十八条，责令改正，处5万元以上10万元以下的罚款，降低资质等级或者吊销资质证书；有违法所得的，予以没收。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处以下罚款，有违法所得的，没收违法所得：1.资质等级为乙级，系数为0；2.资质等级为甲级</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勘察、设计单位将承包的工程转包或者违法分包的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百分之二十五以上百分之五十以下的罚款，可以责令停业整顿，降低资质等级，情节严重的，吊销资质证书；《规定》第六十四条第一款，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处罚条款：《条例》第六十二条第一款，责令改正，没收违法所得，处工程合同价款0.5%以上1%以下的罚款，可以责令停业整顿，降低资质等级；情节严重的，吊销资质证书。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有违法所得的，没收违法所得，并处以下罚款：1.资质等级为二级，系数为0；2.资质等级为一级或存在重大质量问题或造成生产安全事故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工程监理单位将承包的水利工程转包或者违法分包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勘察、设计、施工、监理单位允许其他单位或者个人以本单位名义承揽水利工程业务</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责令改正，没收违法所得，对勘察、设计单位和工程监理单位处合同约定的勘察费、设计费和监理合同价款1倍以上2倍以下的罚款；对施工单位处工程合同价款2%以上4%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勘察费、设计费、监理合同价款×1倍（对勘察、设计、监理单位）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罚款金额=勘察费、设计费、监理合同价款×（1+情节系数）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水利工程建设单位未对施工图设计文件进行审查或者审查不合格，擅自施工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违反条款：《条例》第十一条第二款；《规定》第十五条第一款；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处罚条款：《条例》第五十六条第（四）项，责令改正，处20万元以上50万元以下的罚款；《规定》第六十条第（四）项，责令改正，处20万元以上50万元以下的罚款。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工程勘察企业未按照工程建设强制性标准进行勘察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处罚条款：《条例》第六十三条第一款第（一）项，责令改正，处10万元以上30万元以下的罚款；《规定》第六十六条第一款第（一）项，责令改正，处10万元以上30万元以下的罚款。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标准与强制性标准存在偏差1处，系数为0；每增加1处，系数加0.4；偏差≥6处，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4" w:name="_Toc218468897"/>
            <w:bookmarkStart w:id="345" w:name="_Toc1953609231"/>
            <w:r>
              <w:rPr>
                <w:rFonts w:hint="eastAsia" w:ascii="宋体" w:hAnsi="宋体" w:eastAsia="宋体" w:cs="宋体"/>
                <w:b/>
                <w:bCs/>
                <w:color w:val="auto"/>
                <w:kern w:val="0"/>
                <w:szCs w:val="21"/>
                <w:highlight w:val="none"/>
              </w:rPr>
              <w:t>《水利工程质量管理规定》案由1项</w:t>
            </w:r>
            <w:bookmarkEnd w:id="344"/>
            <w:bookmarkEnd w:id="34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水利工程质量检测单位伪造检测数据，出具虚假质量检测报告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处罚条款：第七十二条，责令改正，给予警告或者通报批评，处10万元以下罚款。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或通报批评，处以下罚款：1.伪造检测数据，出具虚假质量检测报告1份，系数为0；每增加1份，系数加1；报告≥10份，系数为9；2.存在重大质量问题或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需要作出除30000以外罚款决定的，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6" w:name="_Toc218468898"/>
            <w:bookmarkStart w:id="347" w:name="_Toc1476253435"/>
            <w:r>
              <w:rPr>
                <w:rFonts w:hint="eastAsia" w:ascii="宋体" w:hAnsi="宋体" w:eastAsia="宋体" w:cs="宋体"/>
                <w:b/>
                <w:bCs/>
                <w:color w:val="auto"/>
                <w:kern w:val="0"/>
                <w:szCs w:val="21"/>
                <w:highlight w:val="none"/>
              </w:rPr>
              <w:t>《水利工程质量检测管理规定》案由11项</w:t>
            </w:r>
            <w:bookmarkEnd w:id="346"/>
            <w:bookmarkEnd w:id="34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水利工程质量检测单位使用不符合条件的检测人员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处罚条款：第二十七条第（三）项，责令改正，有违法所得的，没收违法所得，可并处1万元以上3万元以下的罚款。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使用不符合条件的检测人员1人，系数为0；2.使用不符合条件的检测人员2人，系数为1；3.使用不符合条件的检测人员3人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水利工程质量检测单位未按规定上报发现的违法违规行为和检测不合格事项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处罚条款：第二十七条第（四）项，责令改正，有违法所得的，没收违法所得，可并处1万元以上3万元以下的罚款。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上报发现的违法违规行为和检测不合格事项1处（项），系数为0；2.未按规定上报发现的违法违规行为和检测不合格事项2处（项），系数为1；3.未按规定上报发现的违法违规行为和检测不合格事项3处（项）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水利工程质量检测单位未按规定在质量检测报告上签字盖章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处罚条款：第二十七条第（五）项，责令改正，有违法所得的，没收违法所得，可并处1万元以上3万元以下的罚款。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签字盖章的质量检测报告1份，系数为0；2.未按规定签字盖章的质量检测报告2份，系数为1；3.未按规定签字盖章的质量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水利工程质量检测单位未按照国家和行业标准进行检测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处罚条款：第二十七条第（六）项，责令改正，有违法所得的，没收违法所得，可并处1万元以上3万元以下的罚款。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照国家和行业标准进行检测1次，系数为0；2.未按照国家和行业标准进行检测2次，系数为1；3.未按照国家和行业标准进行检测3次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水利工程质量检测单位档案资料管理混乱，造成检测数据无法追溯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处罚条款：第二十七条第（七）项，责令改正，有违法所得的，没收违法所得，可并处1万元以上3万元以下的罚款。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档案资料管理混乱造成检测数据无法追溯1处，系数为0；2.档案资料管理混乱造成检测数据无法追溯2处，系数为1；3.档案资料管理混乱造成检测数据无法追溯3处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水利工程质量检测单位转包、违规分包检测业务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处罚条款：第二十七条第（八）项，责令改正，有违法所得的，没收违法所得，可并处1万元以上3万元以下的罚款。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转包、分包金额＜50万元，系数为0；2.50万元≤转包、分包金额＜100万元，系数为1；3.100万元≤转包、分包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委托未取得相应资质的单位进行水利工程质量检测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处罚条款：第二十九条第（一）项，责令改正，可并处1万元以上3万元以下的罚款。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明示或暗示检测单位出具虚假检测报告，篡改或伪造水利工程质量检测报告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明示或暗示检测单位出具虚假检测报告，篡改或伪造检测报告1份，系数为0；2.明示或暗示检测单位出具虚假检测报告，篡改或伪造检测报告2份，系数为1；3.明示或暗示检测单位出具虚假检测报告，篡改或伪造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送检的水利工程质量检测试样弄虚作假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的送检试样样本1个，系数为0；2.弄虚作假的送检试样样本2个，系数为1；3.弄虚作假的送检试样样本3个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检测人员从事质量检测活动中弄虚作假、伪造数据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弄虚作假、伪造数据1处，系数为0；2.弄虚作假、伪造数据2处，系数为0.5；3.弄虚作假、伪造数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水利工程质量检测人员从事检测活动中不如实记录，随意取舍数据，弄虚作假，伪造数据的，未执行法律、法规和强制性条文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处罚条款：第三十条第（一）项，责令改正，给予警告，可并处1千元以下罚款。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给予警告，并处以下罚款：1.存在1种行为，系数为0；2.存在2种及以上行为，系数为1。3.存在基准2.1.3规定情形的，系数按照相关规定确定（基准2.1.3.5不适用）。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8" w:name="_Toc218468899"/>
            <w:bookmarkStart w:id="349" w:name="_Toc1284289362"/>
            <w:r>
              <w:rPr>
                <w:rFonts w:hint="eastAsia" w:ascii="宋体" w:hAnsi="宋体" w:eastAsia="宋体" w:cs="宋体"/>
                <w:b/>
                <w:bCs/>
                <w:color w:val="auto"/>
                <w:kern w:val="0"/>
                <w:szCs w:val="21"/>
                <w:highlight w:val="none"/>
              </w:rPr>
              <w:t>《水利工程建设监理规定》案由</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项</w:t>
            </w:r>
            <w:bookmarkEnd w:id="348"/>
            <w:bookmarkEnd w:id="34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水利工程项目法人及其工作人员</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w:t>
            </w:r>
            <w:r>
              <w:rPr>
                <w:rFonts w:hint="eastAsia" w:ascii="宋体" w:hAnsi="宋体" w:eastAsia="宋体" w:cs="宋体"/>
                <w:color w:val="000000"/>
                <w:kern w:val="0"/>
                <w:sz w:val="15"/>
                <w:szCs w:val="15"/>
                <w:highlight w:val="none"/>
                <w:lang w:eastAsia="zh-CN"/>
              </w:rPr>
              <w:t>第十二条；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三十四</w:t>
            </w:r>
            <w:r>
              <w:rPr>
                <w:rFonts w:hint="eastAsia" w:ascii="宋体" w:hAnsi="宋体" w:eastAsia="宋体" w:cs="宋体"/>
                <w:color w:val="000000"/>
                <w:kern w:val="0"/>
                <w:sz w:val="15"/>
                <w:szCs w:val="15"/>
                <w:highlight w:val="none"/>
              </w:rPr>
              <w:t>条，处违法所得3倍以下且不超过</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违法所得</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收受监理单位贿赂1次，系数为0；2.</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收受监理单位贿赂2次，系数为1；3.</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收受监理单位贿赂3次及以上或</w:t>
            </w:r>
            <w:r>
              <w:rPr>
                <w:rFonts w:hint="eastAsia" w:ascii="宋体" w:hAnsi="宋体" w:eastAsia="宋体" w:cs="宋体"/>
                <w:color w:val="000000"/>
                <w:kern w:val="0"/>
                <w:sz w:val="15"/>
                <w:szCs w:val="15"/>
                <w:highlight w:val="none"/>
                <w:lang w:val="en-US" w:eastAsia="zh-CN"/>
              </w:rPr>
              <w:t>造成严重影响的</w:t>
            </w:r>
            <w:r>
              <w:rPr>
                <w:rFonts w:hint="eastAsia" w:ascii="宋体" w:hAnsi="宋体" w:eastAsia="宋体" w:cs="宋体"/>
                <w:color w:val="000000"/>
                <w:kern w:val="0"/>
                <w:sz w:val="15"/>
                <w:szCs w:val="15"/>
                <w:highlight w:val="none"/>
              </w:rPr>
              <w:t>，系数为2。4.存在基准2.1.3规定情形的，系数按照相关规定确定（基准2.1.3.5不适用）。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0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2</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水利工程建设监理单位以串通、欺诈、胁迫、贿赂等不正当竞争手段承揽监理业务</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十四</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1.资质等级为乙级，系数为0；2.资质等级为甲级,系数为1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3.造成严重影响的，系数加1</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33"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3</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监理单位安排本单位注册监理工程师超出其注册专业对应范围从事监理执业活动</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十六</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三款、第四款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3项及以上或造成严重影响的，系数为2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7"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4</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监理单位拒绝或者阻碍监督检查人员依法履行职责</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二十九</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五</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val="en-US" w:eastAsia="zh-CN"/>
              </w:rPr>
              <w:t>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3"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5</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因监理单位过错造成质量事故</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一般质量事故</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较大质量事故</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3.重大及以上质量事故，系数为2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05"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6</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监理单位未检查并复核原材料、中间产品和设备质量</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二十一</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2类及以上的，通报批评；（二）情节严重，处以下罚款：1.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材料、产品、设备中2类的，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材料、产品、设备中3类的，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7</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未如实复核并签认工程量的</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二十三</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2项及以上，通报批评；（二）情节严重，处以下罚款：1.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3项及以上，</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3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水利工程建设监理人员</w:t>
            </w:r>
            <w:r>
              <w:rPr>
                <w:rFonts w:hint="eastAsia" w:ascii="宋体" w:hAnsi="宋体" w:eastAsia="宋体" w:cs="宋体"/>
                <w:strike w:val="0"/>
                <w:dstrike w:val="0"/>
                <w:color w:val="000000"/>
                <w:kern w:val="0"/>
                <w:sz w:val="15"/>
                <w:szCs w:val="15"/>
                <w:highlight w:val="none"/>
              </w:rPr>
              <w:t>利用执（从）业上的便利，索取或者收受被监理工程的施工单位以及原材料、中间产品和设备供应单位贿赂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1"/>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无严重情节，</w:t>
            </w:r>
            <w:r>
              <w:rPr>
                <w:rFonts w:hint="eastAsia" w:ascii="宋体" w:hAnsi="宋体" w:eastAsia="宋体" w:cs="宋体"/>
                <w:color w:val="000000"/>
                <w:kern w:val="0"/>
                <w:sz w:val="15"/>
                <w:szCs w:val="15"/>
                <w:highlight w:val="none"/>
                <w:lang w:eastAsia="zh-CN"/>
              </w:rPr>
              <w:t>给予警告或通报批评</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（二）</w:t>
            </w:r>
            <w:r>
              <w:rPr>
                <w:rFonts w:hint="eastAsia" w:ascii="宋体" w:hAnsi="宋体" w:eastAsia="宋体" w:cs="宋体"/>
                <w:color w:val="000000"/>
                <w:kern w:val="0"/>
                <w:sz w:val="15"/>
                <w:szCs w:val="15"/>
                <w:highlight w:val="none"/>
                <w:lang w:eastAsia="zh-CN"/>
              </w:rPr>
              <w:t>情节严重</w:t>
            </w:r>
            <w:r>
              <w:rPr>
                <w:rFonts w:hint="eastAsia" w:ascii="宋体" w:hAnsi="宋体" w:eastAsia="宋体" w:cs="宋体"/>
                <w:color w:val="000000"/>
                <w:kern w:val="0"/>
                <w:sz w:val="15"/>
                <w:szCs w:val="15"/>
                <w:highlight w:val="none"/>
              </w:rPr>
              <w:t>，并处以下罚款：1.索取或收受财物1次，系数为0；2.索取或收受财物2次，系数为</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.索取或收受财物</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次及以上或造成其它恶劣影响，系数为</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或者严重影响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95"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与被监理工程的项目法人、施工单位以及原材料、中间产品和设备供应单位串通，谋取不正当利益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2"/>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，并处以下罚款：1.谋取不正当利益1次，系数为0；2.谋取不正当利益2次，系数为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.谋取不正当利益</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bookmarkStart w:id="350" w:name="_Toc218468900"/>
            <w:r>
              <w:rPr>
                <w:rFonts w:hint="eastAsia" w:ascii="宋体" w:hAnsi="宋体" w:eastAsia="宋体" w:cs="宋体"/>
                <w:color w:val="000000"/>
                <w:kern w:val="0"/>
                <w:sz w:val="15"/>
                <w:szCs w:val="15"/>
                <w:highlight w:val="none"/>
                <w:lang w:val="en-US" w:eastAsia="zh-CN"/>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监理人员非法泄露执（从）业中应当保守的秘密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六款</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w:t>
            </w:r>
            <w:r>
              <w:rPr>
                <w:rFonts w:hint="eastAsia" w:ascii="宋体" w:hAnsi="宋体" w:eastAsia="宋体" w:cs="宋体"/>
                <w:color w:val="000000"/>
                <w:kern w:val="0"/>
                <w:sz w:val="15"/>
                <w:szCs w:val="15"/>
                <w:highlight w:val="none"/>
              </w:rPr>
              <w:t>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3"/>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，并处以下罚款：1.泄露秘密1次，系数为0；2.泄露秘密2次，系数为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.泄露秘密</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1" w:name="_Toc13477572"/>
            <w:r>
              <w:rPr>
                <w:rFonts w:hint="eastAsia" w:ascii="宋体" w:hAnsi="宋体" w:eastAsia="宋体" w:cs="宋体"/>
                <w:b/>
                <w:bCs/>
                <w:color w:val="auto"/>
                <w:kern w:val="0"/>
                <w:szCs w:val="21"/>
                <w:highlight w:val="none"/>
              </w:rPr>
              <w:t>《水利工程质量事故处理规定》案由1项</w:t>
            </w:r>
            <w:bookmarkEnd w:id="350"/>
            <w:bookmarkEnd w:id="35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事故相关单位迟报、谎报、瞒报水利工程质量事故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处罚条款：第二十九条，责令改正，给予警告或者通报批评，情节严重的，处5万元以上10万元以下的罚款。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eastAsia="zh-CN"/>
              </w:rPr>
              <w:t>（一）</w:t>
            </w:r>
            <w:r>
              <w:rPr>
                <w:rFonts w:hint="eastAsia" w:ascii="宋体" w:hAnsi="宋体" w:eastAsia="宋体" w:cs="宋体"/>
                <w:b w:val="0"/>
                <w:bCs w:val="0"/>
                <w:color w:val="auto"/>
                <w:kern w:val="0"/>
                <w:sz w:val="15"/>
                <w:szCs w:val="15"/>
                <w:highlight w:val="none"/>
              </w:rPr>
              <w:t>无严重情节（迟报），迟报但未对事故处理造成实际影响，给予警告。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rPr>
              <w:t>（二）情节严重（迟报且对事故处理造成实际影响、谎报、瞒报），通报批评，并处以下罚款：1.发生一般安全事故，系数为0；2.发生较大安全事故，系数为0.5；3.发生重大及以上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2" w:name="_Toc1559739163"/>
            <w:bookmarkStart w:id="353" w:name="_Toc218468901"/>
            <w:r>
              <w:rPr>
                <w:rFonts w:hint="eastAsia" w:ascii="宋体" w:hAnsi="宋体" w:eastAsia="宋体" w:cs="宋体"/>
                <w:b/>
                <w:bCs/>
                <w:color w:val="auto"/>
                <w:kern w:val="0"/>
                <w:szCs w:val="21"/>
                <w:highlight w:val="none"/>
              </w:rPr>
              <w:t>《实施工程建设强制性标准监督规定》案由1项</w:t>
            </w:r>
            <w:bookmarkEnd w:id="352"/>
            <w:bookmarkEnd w:id="35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水利工程施工单位违反建设强制性标准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处罚条款：第十八条，责令改正，处工程合同价款2％以上4％以下的罚款，情节严重的，责令停业整顿，降低资质等级或者吊销资质证书。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施工标准与强制性标准存在偏差1处，系数为0；2.施工标准与强制性标准存在偏差2处，系数为0.5；3.施工标准与强制性标准存在偏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4" w:name="_Toc218468902"/>
            <w:bookmarkStart w:id="355" w:name="_Toc1499445565"/>
            <w:r>
              <w:rPr>
                <w:rFonts w:hint="eastAsia" w:ascii="宋体" w:hAnsi="宋体" w:eastAsia="宋体" w:cs="宋体"/>
                <w:b/>
                <w:bCs/>
                <w:color w:val="auto"/>
                <w:kern w:val="0"/>
                <w:szCs w:val="21"/>
                <w:highlight w:val="none"/>
              </w:rPr>
              <w:t>《建设工程勘察质量管理办法》案由1项</w:t>
            </w:r>
            <w:bookmarkEnd w:id="354"/>
            <w:bookmarkEnd w:id="35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工程勘察企业弄虚作假、提供虚假成果资料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处罚条款：第二十三条，责令改正，处10万元以上30万元以下的罚款，造成工程质量事故的，责令停业整顿，降低资质等级，情节严重的，吊销资质证书。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提供虚假成果材料1份，系数为0；每增加1份，系数加0.4；材料≥6份，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6" w:name="_Toc218468903"/>
            <w:bookmarkStart w:id="357" w:name="_Toc881673313"/>
            <w:r>
              <w:rPr>
                <w:rFonts w:hint="eastAsia" w:ascii="宋体" w:hAnsi="宋体" w:eastAsia="宋体" w:cs="宋体"/>
                <w:b/>
                <w:bCs/>
                <w:color w:val="auto"/>
                <w:kern w:val="0"/>
                <w:szCs w:val="21"/>
                <w:highlight w:val="none"/>
              </w:rPr>
              <w:t>《北京市建设工程质量条例》案由28项</w:t>
            </w:r>
            <w:bookmarkEnd w:id="356"/>
            <w:bookmarkEnd w:id="35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建设单位未及时出具撤销保函申请书或者返还保证金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处罚条款：第一百零一条，责令限期改正，逾期未改正的，处10万元以上50万元以下的罚款。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1.逾期撤销或返还＜5天，系数为0；2.5天≤逾期撤销或返还＜10天，系数为1；3.10天≤逾期撤销或返还＜15天，系数为2；4.15天≤逾期撤销或返还＜20天，系数为3；5.20天≤逾期撤销或返还或造成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建设、施工、监理单位未在3日内报告涉及结构安全的重大工程质量问题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处罚条款：第九十二条，责令改正，处3万元以上10万元以下的罚款。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1.逾期上报＜1日，系数为0；2.1日≤逾期上报＜3日，系数为1；3.3日≤逾期上报＜5日，系数为2；4.5日≤逾期上报或造成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施工单位使用未经监理单位审查的建筑材料、建筑构配件和设备、预拌混凝土、混凝土预制构件及有关专业工程材料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处罚条款：第八十七条第（一）项，责令改正，处3万元以上10万元以下的罚款；造成质量事故的，责令停业整顿，降低资质等级或者吊销资质证书。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施工单位对送检样品或者进场检验弄虚作假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处罚条款：第八十七条第（二）项，责令改正，处3万元以上10万元以下的罚款；造成质量事故的，责令停业整顿，降低资质等级或者吊销资质证书。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弄虚作假1次，系数为0；2.弄虚作假2次，系数为1；3.弄虚作假3次，系数为2；4.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施工单位对隐蔽工程、检验批、分项工程、分部工程未经监理单位验收或者验收不合格，进行下一工序施工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处罚条款：第八十七条第（三）项，责令改正，处3万元以上10万元以下的罚款；造成质量事故的，责令停业整顿，降低资质等级或者吊销资质证书。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监理单位未对关键部位和关键工序进行旁站，或者见证过程弄虚作假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处罚条款：第八十五条，责令改正，处3万元以上10万元以下的罚款。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旁站或见证过程弄虚作假1次，系数为0；2.未旁站或见证过程弄虚作假2次，系数为1；3.未旁站或见证过程弄虚作假3次，系数为2；4.未旁站或见证过程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相关单位未按规定签署工程质量终身责任承诺书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违反条款：第十六条第二款、第十八条第二款；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1.逾期签署＜5天，系数为0；2.5天≤逾期签署＜10天，系数为1；3.10天≤逾期签署或存在重大质量问题或造成生产安全事故，系数为2。4.存在基准2.1.3规定情形的，系数按照相关规定确定（基准2.1.3.5不适用）。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建设单位未提交工程质量终身责任承诺书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提交工程质量终身责任承诺书＜5天，系数为0；2.5天≤逾期提交工程质量终身责任承诺书＜10天，系数为1；3.10天≤逾期提交工程质量终身责任承诺书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建设、施工、监理等单位在单位工程质量竣工验收中将不合格工程按照合格验收</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处罚条款：第九十三条第一款，责令改正，对建设单位处单位工程合同价款百分之二以上百分之四以下的罚款，对负有责任的施工、监理单位处10万元以上20万元以下的罚款。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（建设单位）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（施工、监理单位）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按照合格验收的不合格单元工程1处，系数为0；每增加1处，系数加0.2；不合格单元工程≥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建设单位未按照规定设置永久性标识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处罚条款：第九十五条，责令限期改正，逾期未改正的，处3万元的罚款。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处3万元的罚款。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监理单位将不合格的隐蔽工程、检验批、分项工程和分部工程按照合格进行验收，或者在单位工程质量竣工预验收中将质量不合格工程按照质量合格工程预验收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违反条款：第四十四条第二款、第四十七条第一款；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处罚条款：第九十一条，责令改正，处3万元以上10万元以下的罚款。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监理合同价款＜50万，系数为0；2.50万≤监理合同价款＜120万，系数为1；3.120万≤监理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施工单位不执行监理单位停工整改要求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处罚条款：第九十条第二款，责令改正，处3万元以上10万元以下的罚款。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3000万，系数为0；2.3000万≤工程合同价款＜5000万，系数为1；3.5000万≤工程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任意压缩合理勘察、设计周期或者施工工期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处罚条款：第九十九条，责令改正，处20万元以上50万元以下的罚款。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篡改或者伪造检测报告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处罚条款：第八十九条，责令改正，处3万元以上10万元以下的罚款。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篡改或伪造检测报告1份，系数为0；2.篡改或伪造检测报告2份，系数为1；3.篡改或伪造检测报告3份，系数为2；4.篡改或伪造检测报告4份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建设单位未履行质量保修义务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处罚条款：第九十六条，责令改正，处10万元以上50万元以下的罚款。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履行质量保修义务1次，系数为0；2.未履行质量保修义务2次，系数为1；3.未履行质量保修义务3次，系数为2；4.未履行质量保修义务4次，系数为3；5.未履行质量保修义务5次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施工单位通过挂靠方式，以其他施工单位的名义承揽工程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处罚条款：第八十四条第二款，责令停止违法行为，没收违法所得，处工程合同价款百分之二以上百分之四以下的罚款，可以责令停业整顿，降低资质等级；情节严重的，吊销资质证书。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或施工单位未取得资质证书通过挂靠承揽工程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从事工程建设活动的专业技术人员签署虚假、错误技术文件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署虚假、错误技术文件1份，系数为0；2.签署虚假、错误技术文件2份，系数为1；3.签署虚假、错误技术文件3份，系数为2；4.签署虚假、错误技术文件4份，系数为3；5.签署虚假、错误技术文件5份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建设单位未按照规定委托检测单位进行检测的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处罚条款：第八十八条，责令改正，处10万元以上30万元以下的罚款。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元≤工程合同价款＜2000万元，系数为0.4；3.2000万元≤工程合同价款＜3000万元，系数为0.8；4.3000万元≤工程合同价款＜4000万元，系数为1.2；5.4000万元≤工程合同价款＜5000万元，系数为1.6；6.5000万元≤工程合同价款，系数为2；7.存在重大质量问题或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建设工程有关单位使用不符合要求的人员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处罚条款：第八十一条第（一）项、第（二）项、第（三）项、第（四）项，责令改正，处1万元以上5万元以下的罚款。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使用不符合要求人员＜3人，系数为0；2.3人≤使用不具备相应专业资质或资格人员＜7人，系数为1；3.7人≤使用不具备相应专业资质或资格人员＜11人，系数为2；4.11人≤使用不具备相应专业资质或资格人员＜15人，系数为3；5.15人≤使用不具备相应专业资质或资格人员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建设工程有关单位未建立一线作业人员教育培训制度或未按照教育培训制度定期对一线作业人员开展职业技能培训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处罚条款：第八十一条第（五）项，责令改正，处1万元以上5万元以下的罚款。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建立教育培训制度但定期开展教育培训，系数为0；2.建立教育培训制度但未定期开展教育培训，系数为2；3.未建立教育培训制度且未定期开展教育培训或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建设单位将一个单位工程发包给两个以上的施工单位，或者将预拌混凝土直接发包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处罚条款：第八十二条，责令改正，处单位工程合同价款百分之零点五以上百分之一以下的罚款。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1.承包单位应当为乙级资质，系数为0；2.承包单位应当为甲级资质，系数为0.5；3.存在重大质量问题或造成生产安全事故，系数为1。4.存在基准2.1.3规定情形的，系数按照相关规定确定（基准2.1.3.5不适用）。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施工单位允许其他单位或者个人通过挂靠方式，以本单位的名义承揽工程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处罚条款：第八十四条第一款，责令改正，没收违法所得，处工程合同价款百分之二以上百分之四以下的罚款；可以责令停业整顿，降低资质等级；情节严重的，吊销资质证书。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施工单位在工程竣工验收中将不合格工程按照合格验收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处罚条款：第九十四条第一款，责令改正，处工程合同价款百分之一以上百分之二以下的罚款。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工程合同价款×1%</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工程合同价款＜3000万，系数为0.25；3.3000万≤工程合同价款＜5000万，系数为0.5；4.5000万≤工程合同价款，系数为0.75；5.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监理单位未要求施工单位立即停工整改，或者施工单位拒不停工整改时未报告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违反条款：第四十三条第二款和第三款、第四十四条第二款、第四十五条；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处罚条款：第九十条第一款，责令改正，处1万元以上5万元以下的罚款。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2；3.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建设单位未按规定组织到货检验或者将不合格的建筑材料、建筑构配件和设备用于工程的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处罚条款：第八十六条，未组织到货检验的，责令改正，处10万以上20万以下的罚款；不合格且用于工程的，责令改正，处20万元以上50万元以下的罚款。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100000（到货检验）</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采购后未组织验货的货物价值＜300万元，系数为0；2.300万元≤采购后未组织验货的货物价值＜600万元，系数为0.2；3.600万元≤采购后未组织验货的货物价值＜900万元，系数为0.4；4.900万元≤采购后未组织验货的货物价值＜1200万元，系数为0.6；5.1200万元≤采购后未组织验货的货物价值＜1500万元，系数为0.8；6.1500万元≤采购后未组织验货的货物价值，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（不合格）</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用于工程的不合格建筑材料、建筑构配件和设备的价值＜300万元，系数为0；2.300万元≤用于工程的不合格建筑材料、建筑构配件和设备的价值＜600万元，系数为0.3；3.600万元≤用于工程的不合格建筑材料、建筑构配件和设备的价值＜900万元，系数为0.6；4.900万元≤用于工程的不合格建筑材料、建筑构配件和设备的价值＜1200万元，系数为0.9；5.1200万元≤用于工程的不合格建筑材料、建筑构配件和设备的价值＜1500万元，系数为1.2；6.1500万元≤用于工程的不合格建筑材料、建筑构配件和设备的价值，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预拌混凝土生产单位未进行配合比设计或者未按照配合比通知单生产、使用未经检验或者检验不合格的原材料、供应未经验收或者验收不合格的预拌混凝土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处罚条款：第七十九条，责令改正，处10万元以上20万元以下的罚款；情节严重的，责令停业整顿或者吊销资质证书。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符合要求预拌混凝土1批次，系数为0；每增加1批次，系数加0.2；不符合要求预拌混凝土≥6批次，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合同双方订立背离备案合同实质性内容协议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处罚条款：第九十八条，责令改正，可以处合同价款百分之零点五以上百分之一以下的罚款。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订合同价款＜1000万元，系数为0；2.1000万元≤签订合同价款＜3000万元，系数为0.25；3.3000万元≤签订合同价款＜5000万元，系数为0.5；4.5000万元≤签订合同价款＜7000万元，系数为0.75；5.7000万元≤签订合同价款或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给予单位罚款处罚的，建设单位、勘察、设计、施工、监理单位直接负责的主管人员和其他直接责任人进行处罚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违反条款：第一百零二条；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处罚条款：第一百零二条，处单位罚款数额百分之五以上百分之十以下的罚款。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被处罚单位为乙级或二级资质的，系数为0；2.被处罚单位为甲级或一级资质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58" w:name="_Toc218468904"/>
            <w:bookmarkStart w:id="359" w:name="_Toc1608422631"/>
            <w:r>
              <w:rPr>
                <w:rFonts w:hint="eastAsia" w:ascii="黑体" w:hAnsi="黑体" w:eastAsia="黑体" w:cs="黑体"/>
                <w:color w:val="auto"/>
                <w:kern w:val="0"/>
                <w:sz w:val="28"/>
                <w:szCs w:val="28"/>
                <w:highlight w:val="none"/>
              </w:rPr>
              <w:t>水利建设工程安全生产管理方面</w:t>
            </w:r>
            <w:bookmarkEnd w:id="358"/>
            <w:bookmarkEnd w:id="35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60" w:name="_Toc218468905"/>
            <w:bookmarkStart w:id="361" w:name="_Toc1021843706"/>
            <w:r>
              <w:rPr>
                <w:rFonts w:ascii="Times New Roman" w:hAnsi="Times New Roman" w:eastAsia="宋体" w:cs="Times New Roman"/>
                <w:b/>
                <w:bCs/>
                <w:color w:val="auto"/>
                <w:kern w:val="0"/>
                <w:szCs w:val="21"/>
                <w:highlight w:val="none"/>
              </w:rPr>
              <w:t>《建设工程安全生产管理条例》《水利工程建设监理规定》案由28项</w:t>
            </w:r>
            <w:bookmarkEnd w:id="360"/>
            <w:bookmarkEnd w:id="36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水利工程建设监理单位未对施工组织设计中的安全技术措施或者专项施工方案进行审查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违反条款：《条例》第十四条第一款 、《规定》</w:t>
            </w:r>
            <w:r>
              <w:rPr>
                <w:rFonts w:hint="eastAsia" w:ascii="Times New Roman" w:hAnsi="Times New Roman" w:eastAsia="宋体" w:cs="Times New Roman"/>
                <w:strike w:val="0"/>
                <w:dstrike w:val="0"/>
                <w:color w:val="000000"/>
                <w:kern w:val="0"/>
                <w:sz w:val="15"/>
                <w:szCs w:val="15"/>
                <w:highlight w:val="none"/>
                <w:lang w:eastAsia="zh-CN"/>
              </w:rPr>
              <w:t>第二十四条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水利工程建设监理单位发现安全事故隐患未及时要求施工单位整改或者暂时停止施工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水利工程建设监理单位发现施工单位拒不整改或者不停止施工，未及时报告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w:t>
            </w:r>
            <w:r>
              <w:rPr>
                <w:rFonts w:hint="eastAsia" w:ascii="Times New Roman" w:hAnsi="Times New Roman" w:cs="Times New Roman"/>
                <w:color w:val="000000"/>
                <w:kern w:val="0"/>
                <w:sz w:val="15"/>
                <w:szCs w:val="15"/>
                <w:highlight w:val="none"/>
                <w:lang w:eastAsia="zh-CN"/>
              </w:rPr>
              <w:t>二</w:t>
            </w:r>
            <w:r>
              <w:rPr>
                <w:rFonts w:hint="eastAsia" w:ascii="Times New Roman" w:hAnsi="Times New Roman" w:eastAsia="宋体" w:cs="Times New Roman"/>
                <w:color w:val="000000"/>
                <w:kern w:val="0"/>
                <w:sz w:val="15"/>
                <w:szCs w:val="15"/>
                <w:highlight w:val="none"/>
                <w:lang w:eastAsia="zh-CN"/>
              </w:rPr>
              <w:t>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水利工程建设监理单位未依照法律、法规和工程建设强制性标准实施监理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违反条款：《条例》第十四条第三款 、《规定》</w:t>
            </w:r>
            <w:r>
              <w:rPr>
                <w:rFonts w:hint="eastAsia" w:ascii="Times New Roman" w:hAnsi="Times New Roman" w:eastAsia="宋体" w:cs="Times New Roman"/>
                <w:color w:val="000000"/>
                <w:kern w:val="0"/>
                <w:sz w:val="15"/>
                <w:szCs w:val="15"/>
                <w:highlight w:val="none"/>
                <w:lang w:eastAsia="zh-CN"/>
              </w:rPr>
              <w:t>第六条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涉及1处法律法规条款或强制性条文，系数为0；2.涉及2处法律法规条款或强制性条文，系数为0.4；3.涉及3处法律法规条款或强制性条文，系数为0.8；4.涉及4处法律法规条款或强制性条文，系数为1.2；5.涉及5处法律法规条款或强制性条文，系数为1.6；6.涉及6处及以上法律法规条款或强制性条文，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建设单位未提供建设工程安全生产作业环境及安全施工措施所需费用且逾期未改正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处罚条款：《条例》第五十四条第一款，责令限期改正；逾期未改正的，责令该建设工程停止施工。</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建设单位对勘察、设计、施工、监理等单位提出不符合安全生产法律、法规和强制性标准规定的要求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处罚条款：《条例》第五十五条第一款第（一）项，责令限期改正，处20万元以上50万元以下的罚款。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提出不符合相关规定要求的事项1个，系数为0；2.提出不符合相关规定要求的事项2个，系数为0.3；3.提出不符合相关规定要求的事项3个，系数为0.6；4.提出不符合相关规定要求的事项4个，系数为0.9；5.提出不符合相关规定要求的事项5个，系数为1.2；6.提出不符合相关规定要求的事项≥6个，系数为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5"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建设单位要求施工单位压缩合同约定的工期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工期＜10%，系数为0；2.10%≤压缩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工期＜15%，系数为0.3；3.15%≤压缩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工期＜20%，系数为0.6；4.20%≤压缩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工期＜25%，系数为0.9；5.25%≤压缩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工期＜30%，系数为1.2；6.30%≤压缩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工期，系数为 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采用新结构、新材料、新工艺的建设工程和特殊结构的建设工程，设计单位未在设计中提出保障施工作业人员安全和预防生产安全事故的措施建议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处罚条款：《条例》第五十六条第一款第（二）项，责令限期改正，处10万元以上30万元以下的罚款；情节严重的，责令停业整顿，降低资质等级，直至吊销资质证书。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为建设工程提供机械设备和配件的单位，未按照安全施工的要求配备齐全有效的保险、限位等安全设施和装置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处罚条款：《条例》第五十九条，责令限期改正，处合同价款1倍以上3倍以下的罚款。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1.不符合要求的安全设施或装备1个，系数为0；2.不符合要求的安全设施或装备2个，系数为1；3.不符合要求的安全设施或装备1个或造成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参与水利工程建设活动的施工起重机械和整体提升脚手架、模板等自升式架设设施安装、拆卸单位未编制拆装方案、制定安全施工措施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处罚条款：《条例》第六十一条第一款第（一）项，责令限期改正，处5万元以上10万元以下的罚款；情节严重的，责令停业整顿，降低资质等级，直至吊销资质证书。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参与水利工程建设活动的施工起重机械和整体提升脚手架、模板等自升式架设设施安装、拆卸单位未由专业技术人员现场监督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处罚条款：《条例》第六十一条第一款第（二）项，责令限期改正，处5万元以上10万元以下的罚款；情节严重的，责令停业整顿，降低资质等级，直至吊销资质证书。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参与水利工程建设活动的施工起重机械和整体提升脚手架、模板等自升式架设设施安装、拆卸单位未出具自检合格证明或者出具虚假证明</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处罚条款：《条例》第六十一条第一款第（三）项，责令限期改正，处5万元以上10万元以下的罚款；情节严重的，责令停业整顿，降低资质等级，直至吊销资质证书。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参与水利工程建设活动的施工起重机械和整体提升脚手架、模板等自升式架设设施安装、拆卸单位未向施工单位进行安全使用说明，办理移交手续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处罚条款：《条例》第六十一条第一款第（四）项，责令限期改正，处5万元以上10万元以下的罚款；情节严重的，责令停业整顿，降低资质等级，直至吊销资质证书。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6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施工单位未按照规定在施工起重机械和整体提升脚手架、模板等自升式架设设施验收合格后登记</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 第六十二条第（五）项，责令限期改正；逾期未改正的，责令停业整顿，依照《中华人民共和国安全生产法》的有关规定处以罚款。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施工单位挪用列入建设工程概算的安全生产作业环境及安全施工措施所需费用的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处罚条款：《条例》第六十三条，责令限期改正，处挪用费用20%以上50%以下的罚款。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挪用费用×20%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1.挪用费用/安全生产总费用＜10%，系数为0;2.10%≤挪用费用/安全生产总费用＜30%，系数为0.5;3.30%≤挪用费用/安全生产总费用＜50%，系数为1;4.50%≤挪用费用/安全生产总费用或造成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罚款金额=挪用费用20%×（1+情节系数）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施工单位施工前未对有关安全施工的技术要求作出详细说明</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处罚条款：《条例》第六十四条第一款第（一）项，责令限期改正；逾期未改正的，责令停业整顿，并处5万元以上10万元以下的罚款。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施工单位在尚未竣工的建筑物内设置员工集体宿舍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处罚条款：《条例》第六十四条第一款第（三）项，责令限期改正；逾期未改正的，责令停业整顿，并处5万元以上10万元以下的罚款。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对施工单位未根据不同施工阶段和周围环境及季节、气候的变化，在施工现场采取相应的安全施工措施，或者在城市市区内的建设工程的施工现场未实行封闭围挡的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违反条款：《条例》第二十八条第二款、第三十条第三款；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处罚条款：《条例》第六十四条第一款第（二）项，责令限期改正；逾期未改正的，责令停业整顿，并处5万元以上10万元以下的罚款。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施工单位施工现场临时搭建的建筑物不符合安全使用要求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处罚条款：《条例》第六十四条第一款第（四）项，责令限期改正；逾期未改正的，责令停业整顿，并处5万元以上10万元以下的罚款。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施工单位未对因建设工程施工可能造成损害的毗邻建筑物、构筑物和地下管线等采取专项防护措施的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处罚条款：《条例》第六十四条第一款第（五）项，责令限期改正；逾期未改正的，责令停业整顿，并处5万元以上10万元以下的罚款。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施工单位安全防护用具、机械设备、施工机具及配件在进入施工现场前未经查验或者查验不合格即投入使用的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经查验或者查验不合格＜5件，系数为0；2.5件≤未经查验或查验不合格的件数＜7件，系数为0.4；3.7件≤未经查验或查验不合格的件数＜9件，系数为0.8；4.9件≤未经查验或查验不合格的件数＜11件，系数为1.2；5.11件≤未经查验或查验不合格的件数＜13件，系数为1.6；6.13件≤未经查验或查验不合格的件数，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施工单位使用未经验收或者验收不合格的施工起重机械和整体提升脚手架、模板等自升式架设设施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1台（处），系数为0；2.使用2台（处），系数为0.4；3.使用3台（处），系数为0.8；4.使用4台（处），系数为1.2；5.使用5台（处），系数为1.6；6.使用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施工单位委托不具有相应资质的单位承担施工现场安装、拆卸施工起重机械和整体提升脚手架、模板等自升式架设设施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安装或拆卸1台（处），系数为0；2.安装或拆卸2台（处），系数为0.4；3.安装或拆卸3台（处），系数为0.8；4.安装或拆卸4台（处），系数为1.2；5.安装或拆卸5台（处），系数为1.6；6.安装或拆卸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施工单位在施工组织设计中未编制安全技术措施、施工现场临时用电方案或者专项施工方案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1类专项施工方案，系数为0；2.涉及2类专项施工方案，系数为0.4；3.涉及3类专项施工方案，系数为0.8；4.涉及4类专项施工方案，系数为1.2；5.涉及5类专项施工方案，系数为1.6；6.涉及6类及以上专项施工方案，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施工单位的主要负责人、项目负责人未履行安全生产管理职责，尚未构成犯罪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处罚条款：《条例》第六十六条第一款，责令限期改正；逾期未改正的，责令施工单位停业整顿；第六十六条第三款，处2万元以上20万元以下的罚款。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履行1项安全生产管理职责，系数为0；每增加1项，系数加1；未履行安全生产管理职责≥10项，系数为9；2.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施工单位取得资质证书后，降低安全生产条件，经整改仍未达到与其资质等级相适应的安全生产条件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处罚条款：《条例》第六十七条，责令限期改正；经整改仍未达到与其资质等级相适应的安全生产条件的，责令停业整顿，降低其资质等级直至吊销资质证书。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建设单位未将保证安全施工的措施或者拆除工程的有关资料报送有关部门备案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违反条款：《条例》第十条第二款、第十一条第二款第（一）项、第（二）项；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处罚条款：《条例》第五十四条第二款，责令限期改正，给予警告。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出租单位出租未经安全性能检测或者经检测不合格的机械设备和施工机具及配件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处罚条款：《条例》第六十条，责令停业整顿，并处5万元以上10万元以下的罚款。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出租未经安全性能检测或者经检测不合格的机械设备和施工机具及配件数量＜2台（件），系数为0；2.2台（件）≤出租未经安全性能检测或者经检测不合格的机械设备和施工机具及配件数量＜5台（件），系数为0.5；3.5台（件）≤出租未经安全性能检测或者经检测不合格的机械设备和施工机具及配件数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bl>
    <w:p>
      <w:pPr>
        <w:pStyle w:val="8"/>
        <w:rPr>
          <w:color w:val="auto"/>
          <w:highlight w:val="none"/>
        </w:rPr>
      </w:pPr>
    </w:p>
    <w:p>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72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Calibri Light">
    <w:altName w:val="Calibri"/>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multilevel"/>
    <w:tmpl w:val="85DDEF8A"/>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A974AF0F"/>
    <w:multiLevelType w:val="singleLevel"/>
    <w:tmpl w:val="A974AF0F"/>
    <w:lvl w:ilvl="0" w:tentative="0">
      <w:start w:val="1"/>
      <w:numFmt w:val="chineseCounting"/>
      <w:suff w:val="nothing"/>
      <w:lvlText w:val="（%1）"/>
      <w:lvlJc w:val="left"/>
      <w:rPr>
        <w:rFonts w:hint="eastAsia"/>
      </w:rPr>
    </w:lvl>
  </w:abstractNum>
  <w:abstractNum w:abstractNumId="2">
    <w:nsid w:val="B7F5427C"/>
    <w:multiLevelType w:val="singleLevel"/>
    <w:tmpl w:val="B7F5427C"/>
    <w:lvl w:ilvl="0" w:tentative="0">
      <w:start w:val="1"/>
      <w:numFmt w:val="decimal"/>
      <w:suff w:val="space"/>
      <w:lvlText w:val="%1."/>
      <w:lvlJc w:val="left"/>
    </w:lvl>
  </w:abstractNum>
  <w:abstractNum w:abstractNumId="3">
    <w:nsid w:val="BF0754D2"/>
    <w:multiLevelType w:val="singleLevel"/>
    <w:tmpl w:val="BF0754D2"/>
    <w:lvl w:ilvl="0" w:tentative="0">
      <w:start w:val="1"/>
      <w:numFmt w:val="decimal"/>
      <w:suff w:val="space"/>
      <w:lvlText w:val="%1."/>
      <w:lvlJc w:val="left"/>
    </w:lvl>
  </w:abstractNum>
  <w:abstractNum w:abstractNumId="4">
    <w:nsid w:val="BFE2BC99"/>
    <w:multiLevelType w:val="singleLevel"/>
    <w:tmpl w:val="BFE2BC99"/>
    <w:lvl w:ilvl="0" w:tentative="0">
      <w:start w:val="1"/>
      <w:numFmt w:val="chineseCounting"/>
      <w:suff w:val="nothing"/>
      <w:lvlText w:val="（%1）"/>
      <w:lvlJc w:val="left"/>
      <w:rPr>
        <w:rFonts w:hint="eastAsia"/>
      </w:rPr>
    </w:lvl>
  </w:abstractNum>
  <w:abstractNum w:abstractNumId="5">
    <w:nsid w:val="DFDE10FF"/>
    <w:multiLevelType w:val="singleLevel"/>
    <w:tmpl w:val="DFDE10FF"/>
    <w:lvl w:ilvl="0" w:tentative="0">
      <w:start w:val="1"/>
      <w:numFmt w:val="decimal"/>
      <w:suff w:val="space"/>
      <w:lvlText w:val="%1."/>
      <w:lvlJc w:val="left"/>
    </w:lvl>
  </w:abstractNum>
  <w:abstractNum w:abstractNumId="6">
    <w:nsid w:val="EFFE277D"/>
    <w:multiLevelType w:val="singleLevel"/>
    <w:tmpl w:val="EFFE277D"/>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EDE682"/>
    <w:multiLevelType w:val="singleLevel"/>
    <w:tmpl w:val="FEEDE682"/>
    <w:lvl w:ilvl="0" w:tentative="0">
      <w:start w:val="1"/>
      <w:numFmt w:val="chineseCounting"/>
      <w:suff w:val="nothing"/>
      <w:lvlText w:val="（%1）"/>
      <w:lvlJc w:val="left"/>
      <w:rPr>
        <w:rFonts w:hint="eastAsia"/>
      </w:rPr>
    </w:lvl>
  </w:abstractNum>
  <w:abstractNum w:abstractNumId="9">
    <w:nsid w:val="FEFE7387"/>
    <w:multiLevelType w:val="singleLevel"/>
    <w:tmpl w:val="FEFE7387"/>
    <w:lvl w:ilvl="0" w:tentative="0">
      <w:start w:val="1"/>
      <w:numFmt w:val="chineseCounting"/>
      <w:suff w:val="nothing"/>
      <w:lvlText w:val="（%1）"/>
      <w:lvlJc w:val="left"/>
      <w:rPr>
        <w:rFonts w:hint="eastAsia"/>
      </w:rPr>
    </w:lvl>
  </w:abstractNum>
  <w:abstractNum w:abstractNumId="10">
    <w:nsid w:val="FFD1728C"/>
    <w:multiLevelType w:val="singleLevel"/>
    <w:tmpl w:val="FFD1728C"/>
    <w:lvl w:ilvl="0" w:tentative="0">
      <w:start w:val="1"/>
      <w:numFmt w:val="chineseCounting"/>
      <w:suff w:val="nothing"/>
      <w:lvlText w:val="（%1）"/>
      <w:lvlJc w:val="left"/>
      <w:rPr>
        <w:rFonts w:hint="eastAsia"/>
      </w:rPr>
    </w:lvl>
  </w:abstractNum>
  <w:abstractNum w:abstractNumId="11">
    <w:nsid w:val="5FDEA46E"/>
    <w:multiLevelType w:val="singleLevel"/>
    <w:tmpl w:val="5FDEA46E"/>
    <w:lvl w:ilvl="0" w:tentative="0">
      <w:start w:val="1"/>
      <w:numFmt w:val="chineseCounting"/>
      <w:suff w:val="nothing"/>
      <w:lvlText w:val="（%1）"/>
      <w:lvlJc w:val="left"/>
      <w:rPr>
        <w:rFonts w:hint="eastAsia"/>
      </w:rPr>
    </w:lvl>
  </w:abstractNum>
  <w:abstractNum w:abstractNumId="12">
    <w:nsid w:val="6BEE3C38"/>
    <w:multiLevelType w:val="singleLevel"/>
    <w:tmpl w:val="6BEE3C38"/>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3"/>
  </w:num>
  <w:num w:numId="6">
    <w:abstractNumId w:val="2"/>
  </w:num>
  <w:num w:numId="7">
    <w:abstractNumId w:val="0"/>
  </w:num>
  <w:num w:numId="8">
    <w:abstractNumId w:val="1"/>
  </w:num>
  <w:num w:numId="9">
    <w:abstractNumId w:val="11"/>
  </w:num>
  <w:num w:numId="10">
    <w:abstractNumId w:val="9"/>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7634CC"/>
    <w:rsid w:val="06E5FA60"/>
    <w:rsid w:val="09F64F97"/>
    <w:rsid w:val="0A0D460E"/>
    <w:rsid w:val="0AEF46DA"/>
    <w:rsid w:val="0B9F92F6"/>
    <w:rsid w:val="0BB55F0B"/>
    <w:rsid w:val="0BF216FD"/>
    <w:rsid w:val="0BFBDC50"/>
    <w:rsid w:val="0C14055E"/>
    <w:rsid w:val="0D7E46F1"/>
    <w:rsid w:val="0DB203EF"/>
    <w:rsid w:val="0EA6FEA5"/>
    <w:rsid w:val="0EC7610D"/>
    <w:rsid w:val="0EEE2A65"/>
    <w:rsid w:val="0EFBC5A6"/>
    <w:rsid w:val="0F260DF9"/>
    <w:rsid w:val="0FAD61F6"/>
    <w:rsid w:val="0FBFF7C9"/>
    <w:rsid w:val="0FC138D0"/>
    <w:rsid w:val="0FD550EB"/>
    <w:rsid w:val="0FDE9848"/>
    <w:rsid w:val="0FEFC186"/>
    <w:rsid w:val="1126007C"/>
    <w:rsid w:val="11443462"/>
    <w:rsid w:val="11AE7893"/>
    <w:rsid w:val="11BB0CCA"/>
    <w:rsid w:val="12EF1C78"/>
    <w:rsid w:val="13391315"/>
    <w:rsid w:val="139C4A79"/>
    <w:rsid w:val="139F60FB"/>
    <w:rsid w:val="13EE4AF4"/>
    <w:rsid w:val="142313E0"/>
    <w:rsid w:val="15BBDD74"/>
    <w:rsid w:val="15BFBDD0"/>
    <w:rsid w:val="15D74C1C"/>
    <w:rsid w:val="15F589D8"/>
    <w:rsid w:val="15FBD6F7"/>
    <w:rsid w:val="15FEFF7A"/>
    <w:rsid w:val="15FF6BF6"/>
    <w:rsid w:val="16AFC733"/>
    <w:rsid w:val="16BC7E7D"/>
    <w:rsid w:val="17515270"/>
    <w:rsid w:val="17746151"/>
    <w:rsid w:val="17893B6A"/>
    <w:rsid w:val="178B26DA"/>
    <w:rsid w:val="17CEEBA9"/>
    <w:rsid w:val="17D3217B"/>
    <w:rsid w:val="17F5BC6F"/>
    <w:rsid w:val="17FEE426"/>
    <w:rsid w:val="17FFDA05"/>
    <w:rsid w:val="18747E96"/>
    <w:rsid w:val="19376D81"/>
    <w:rsid w:val="1ADCBA5F"/>
    <w:rsid w:val="1AEE8DC9"/>
    <w:rsid w:val="1AFF4782"/>
    <w:rsid w:val="1B0BDA71"/>
    <w:rsid w:val="1B644773"/>
    <w:rsid w:val="1B7D324B"/>
    <w:rsid w:val="1BEF7657"/>
    <w:rsid w:val="1BF35E59"/>
    <w:rsid w:val="1BFE9E91"/>
    <w:rsid w:val="1C0F2D2D"/>
    <w:rsid w:val="1C4C4F36"/>
    <w:rsid w:val="1CD3427C"/>
    <w:rsid w:val="1CDEA6F5"/>
    <w:rsid w:val="1CEDBEA8"/>
    <w:rsid w:val="1D56F24F"/>
    <w:rsid w:val="1D916302"/>
    <w:rsid w:val="1DF7C2DA"/>
    <w:rsid w:val="1E3C30A0"/>
    <w:rsid w:val="1E3DAADE"/>
    <w:rsid w:val="1E3F8C2A"/>
    <w:rsid w:val="1E3F93AF"/>
    <w:rsid w:val="1E7236B6"/>
    <w:rsid w:val="1E9BF98F"/>
    <w:rsid w:val="1EC60A0F"/>
    <w:rsid w:val="1EC77D42"/>
    <w:rsid w:val="1ECB3ED3"/>
    <w:rsid w:val="1ECEB824"/>
    <w:rsid w:val="1ED33082"/>
    <w:rsid w:val="1EFD25F9"/>
    <w:rsid w:val="1F56FFA1"/>
    <w:rsid w:val="1F7E0EE0"/>
    <w:rsid w:val="1FA61EEB"/>
    <w:rsid w:val="1FAF9374"/>
    <w:rsid w:val="1FBD9899"/>
    <w:rsid w:val="1FBFF6EA"/>
    <w:rsid w:val="1FCF9E2A"/>
    <w:rsid w:val="1FD9E9C8"/>
    <w:rsid w:val="1FDF0654"/>
    <w:rsid w:val="1FE716A2"/>
    <w:rsid w:val="1FEC0A29"/>
    <w:rsid w:val="1FEF8B73"/>
    <w:rsid w:val="1FF061BE"/>
    <w:rsid w:val="1FFFD3DA"/>
    <w:rsid w:val="22C62F3A"/>
    <w:rsid w:val="23415B68"/>
    <w:rsid w:val="23F10D53"/>
    <w:rsid w:val="23F6AEF3"/>
    <w:rsid w:val="23FF2E7D"/>
    <w:rsid w:val="23FFEB2E"/>
    <w:rsid w:val="245E2EB0"/>
    <w:rsid w:val="24AA73A6"/>
    <w:rsid w:val="24D3A756"/>
    <w:rsid w:val="24E81237"/>
    <w:rsid w:val="24FEEDB8"/>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8FF876"/>
    <w:rsid w:val="29CE0AFE"/>
    <w:rsid w:val="2A050A46"/>
    <w:rsid w:val="2A6D712E"/>
    <w:rsid w:val="2A9BAECF"/>
    <w:rsid w:val="2AA74037"/>
    <w:rsid w:val="2AFDAF60"/>
    <w:rsid w:val="2B9EE5ED"/>
    <w:rsid w:val="2BD27518"/>
    <w:rsid w:val="2BF7CC53"/>
    <w:rsid w:val="2BFA0AF0"/>
    <w:rsid w:val="2BFD14DB"/>
    <w:rsid w:val="2BFE9CF9"/>
    <w:rsid w:val="2BFEB9B3"/>
    <w:rsid w:val="2BFFA8A5"/>
    <w:rsid w:val="2C555706"/>
    <w:rsid w:val="2C7DBA9F"/>
    <w:rsid w:val="2D7CE878"/>
    <w:rsid w:val="2D860E5E"/>
    <w:rsid w:val="2D88708D"/>
    <w:rsid w:val="2D9E7B63"/>
    <w:rsid w:val="2DA489B3"/>
    <w:rsid w:val="2DB91642"/>
    <w:rsid w:val="2DBF8C46"/>
    <w:rsid w:val="2DDBB70C"/>
    <w:rsid w:val="2DE79E48"/>
    <w:rsid w:val="2DF1864B"/>
    <w:rsid w:val="2DF77DAF"/>
    <w:rsid w:val="2DF8EFDA"/>
    <w:rsid w:val="2E04154E"/>
    <w:rsid w:val="2E39630E"/>
    <w:rsid w:val="2E6DCBCF"/>
    <w:rsid w:val="2E6F47F6"/>
    <w:rsid w:val="2E9B49AF"/>
    <w:rsid w:val="2EB70BE4"/>
    <w:rsid w:val="2EBF45EA"/>
    <w:rsid w:val="2EEE6647"/>
    <w:rsid w:val="2EF515A8"/>
    <w:rsid w:val="2EFB4327"/>
    <w:rsid w:val="2F54530E"/>
    <w:rsid w:val="2F776DEB"/>
    <w:rsid w:val="2F8215FD"/>
    <w:rsid w:val="2F8D0557"/>
    <w:rsid w:val="2F9FED17"/>
    <w:rsid w:val="2FB7E173"/>
    <w:rsid w:val="2FBD08A7"/>
    <w:rsid w:val="2FBD937F"/>
    <w:rsid w:val="2FBF4E4B"/>
    <w:rsid w:val="2FBF6FB8"/>
    <w:rsid w:val="2FD88657"/>
    <w:rsid w:val="2FDF2FBB"/>
    <w:rsid w:val="2FE1EA2D"/>
    <w:rsid w:val="2FF78CBA"/>
    <w:rsid w:val="2FF85BCB"/>
    <w:rsid w:val="2FFD1DA2"/>
    <w:rsid w:val="30921B85"/>
    <w:rsid w:val="32D103B5"/>
    <w:rsid w:val="335F5F1A"/>
    <w:rsid w:val="335FA238"/>
    <w:rsid w:val="3377848B"/>
    <w:rsid w:val="337F4580"/>
    <w:rsid w:val="337FEAF9"/>
    <w:rsid w:val="33AD165B"/>
    <w:rsid w:val="33BE9CD5"/>
    <w:rsid w:val="33C02300"/>
    <w:rsid w:val="33E7DEB3"/>
    <w:rsid w:val="33EFA73C"/>
    <w:rsid w:val="33F5E36A"/>
    <w:rsid w:val="33FF701F"/>
    <w:rsid w:val="3475285E"/>
    <w:rsid w:val="34790FFC"/>
    <w:rsid w:val="34DFCC51"/>
    <w:rsid w:val="353F41D3"/>
    <w:rsid w:val="357513AA"/>
    <w:rsid w:val="357DCF0A"/>
    <w:rsid w:val="357F2124"/>
    <w:rsid w:val="35913FBB"/>
    <w:rsid w:val="35B768EC"/>
    <w:rsid w:val="35DF3AB2"/>
    <w:rsid w:val="35EBEF8A"/>
    <w:rsid w:val="35EFA8B9"/>
    <w:rsid w:val="362B56C3"/>
    <w:rsid w:val="363FA653"/>
    <w:rsid w:val="36BA8AD2"/>
    <w:rsid w:val="36DCBF6A"/>
    <w:rsid w:val="36EDADB4"/>
    <w:rsid w:val="372FEB04"/>
    <w:rsid w:val="373F77D0"/>
    <w:rsid w:val="375EA094"/>
    <w:rsid w:val="3777F3BA"/>
    <w:rsid w:val="379234A4"/>
    <w:rsid w:val="379E6A40"/>
    <w:rsid w:val="37BEE8F8"/>
    <w:rsid w:val="37BFE79D"/>
    <w:rsid w:val="37CC04CE"/>
    <w:rsid w:val="37DF2DD6"/>
    <w:rsid w:val="37DF700B"/>
    <w:rsid w:val="37EE409E"/>
    <w:rsid w:val="37F2F170"/>
    <w:rsid w:val="37F31E21"/>
    <w:rsid w:val="37F46EF3"/>
    <w:rsid w:val="37FB87C7"/>
    <w:rsid w:val="38F3C42B"/>
    <w:rsid w:val="38FBB1AF"/>
    <w:rsid w:val="393138B8"/>
    <w:rsid w:val="39A91B73"/>
    <w:rsid w:val="39B23F7D"/>
    <w:rsid w:val="39B345ED"/>
    <w:rsid w:val="39D7FC96"/>
    <w:rsid w:val="39F9FF79"/>
    <w:rsid w:val="39FF8104"/>
    <w:rsid w:val="3AB7A37F"/>
    <w:rsid w:val="3AB89792"/>
    <w:rsid w:val="3AEDF30C"/>
    <w:rsid w:val="3AEF7D57"/>
    <w:rsid w:val="3AF2A20F"/>
    <w:rsid w:val="3AFB607E"/>
    <w:rsid w:val="3AFF2AC7"/>
    <w:rsid w:val="3B2F6A62"/>
    <w:rsid w:val="3B2FF963"/>
    <w:rsid w:val="3B4448CF"/>
    <w:rsid w:val="3B4CE5B0"/>
    <w:rsid w:val="3B5FDE51"/>
    <w:rsid w:val="3B75BF38"/>
    <w:rsid w:val="3B76AC7B"/>
    <w:rsid w:val="3B7B2E0D"/>
    <w:rsid w:val="3B7F89B9"/>
    <w:rsid w:val="3B8A0DC3"/>
    <w:rsid w:val="3BA443B8"/>
    <w:rsid w:val="3BB1D3AC"/>
    <w:rsid w:val="3BB9F82F"/>
    <w:rsid w:val="3BCF19F8"/>
    <w:rsid w:val="3BD35445"/>
    <w:rsid w:val="3BD3A284"/>
    <w:rsid w:val="3BDF39C1"/>
    <w:rsid w:val="3BDF8995"/>
    <w:rsid w:val="3BE7BB5B"/>
    <w:rsid w:val="3BE9ECFC"/>
    <w:rsid w:val="3BEC33D1"/>
    <w:rsid w:val="3BEFA896"/>
    <w:rsid w:val="3BF1F4CB"/>
    <w:rsid w:val="3BF96EE7"/>
    <w:rsid w:val="3BFA26FF"/>
    <w:rsid w:val="3BFBF558"/>
    <w:rsid w:val="3BFD2A30"/>
    <w:rsid w:val="3BFE3B7E"/>
    <w:rsid w:val="3BFF34DA"/>
    <w:rsid w:val="3BFF979F"/>
    <w:rsid w:val="3BFFE858"/>
    <w:rsid w:val="3C5D639A"/>
    <w:rsid w:val="3C6E3153"/>
    <w:rsid w:val="3C9EB686"/>
    <w:rsid w:val="3CBF46D4"/>
    <w:rsid w:val="3CDE5245"/>
    <w:rsid w:val="3CEDDB4E"/>
    <w:rsid w:val="3CEF330A"/>
    <w:rsid w:val="3D1D3248"/>
    <w:rsid w:val="3D323C74"/>
    <w:rsid w:val="3D3531B2"/>
    <w:rsid w:val="3D6D1F84"/>
    <w:rsid w:val="3D7E3DA3"/>
    <w:rsid w:val="3D7F81D5"/>
    <w:rsid w:val="3DBB99B1"/>
    <w:rsid w:val="3DBF1DAB"/>
    <w:rsid w:val="3DBF7AC8"/>
    <w:rsid w:val="3DDF7D69"/>
    <w:rsid w:val="3DE75B65"/>
    <w:rsid w:val="3DED0E18"/>
    <w:rsid w:val="3DEF54A2"/>
    <w:rsid w:val="3DEFACC2"/>
    <w:rsid w:val="3DFC7DDF"/>
    <w:rsid w:val="3E1FAF72"/>
    <w:rsid w:val="3E457745"/>
    <w:rsid w:val="3E4A84CF"/>
    <w:rsid w:val="3E6B0E7A"/>
    <w:rsid w:val="3E6C5DD9"/>
    <w:rsid w:val="3E7CD3F2"/>
    <w:rsid w:val="3E7F1755"/>
    <w:rsid w:val="3E8F2131"/>
    <w:rsid w:val="3EAE9719"/>
    <w:rsid w:val="3EAF6F38"/>
    <w:rsid w:val="3EB0A816"/>
    <w:rsid w:val="3EB542D6"/>
    <w:rsid w:val="3EBF469E"/>
    <w:rsid w:val="3ED22BCD"/>
    <w:rsid w:val="3ED728FC"/>
    <w:rsid w:val="3ED75668"/>
    <w:rsid w:val="3EE37829"/>
    <w:rsid w:val="3EEA43EE"/>
    <w:rsid w:val="3EEB4BED"/>
    <w:rsid w:val="3EEC4AB3"/>
    <w:rsid w:val="3EF11695"/>
    <w:rsid w:val="3EF30518"/>
    <w:rsid w:val="3EF7BD61"/>
    <w:rsid w:val="3EF968EE"/>
    <w:rsid w:val="3EFC0F1E"/>
    <w:rsid w:val="3EFF20E1"/>
    <w:rsid w:val="3EFFC066"/>
    <w:rsid w:val="3EFFD3E1"/>
    <w:rsid w:val="3F1EA5F2"/>
    <w:rsid w:val="3F36279F"/>
    <w:rsid w:val="3F4F4430"/>
    <w:rsid w:val="3F4F5A12"/>
    <w:rsid w:val="3F571877"/>
    <w:rsid w:val="3F65688F"/>
    <w:rsid w:val="3F7492D0"/>
    <w:rsid w:val="3F769E93"/>
    <w:rsid w:val="3F7751FA"/>
    <w:rsid w:val="3F7B1D7D"/>
    <w:rsid w:val="3F7BD41F"/>
    <w:rsid w:val="3F7E694B"/>
    <w:rsid w:val="3F7F326C"/>
    <w:rsid w:val="3F7F7C26"/>
    <w:rsid w:val="3F7F7E61"/>
    <w:rsid w:val="3F7FA6F9"/>
    <w:rsid w:val="3F7FF3A7"/>
    <w:rsid w:val="3F800E58"/>
    <w:rsid w:val="3F8CBFBD"/>
    <w:rsid w:val="3F9BE200"/>
    <w:rsid w:val="3F9F7977"/>
    <w:rsid w:val="3F9FBC91"/>
    <w:rsid w:val="3FAD292E"/>
    <w:rsid w:val="3FB640C1"/>
    <w:rsid w:val="3FBB5827"/>
    <w:rsid w:val="3FBBDC6F"/>
    <w:rsid w:val="3FBF5D2C"/>
    <w:rsid w:val="3FD391DE"/>
    <w:rsid w:val="3FDA01DD"/>
    <w:rsid w:val="3FDD87DF"/>
    <w:rsid w:val="3FDDEA02"/>
    <w:rsid w:val="3FDF16C2"/>
    <w:rsid w:val="3FDF830E"/>
    <w:rsid w:val="3FDFAE19"/>
    <w:rsid w:val="3FDFBFB3"/>
    <w:rsid w:val="3FE3037B"/>
    <w:rsid w:val="3FE64F5F"/>
    <w:rsid w:val="3FE9E51A"/>
    <w:rsid w:val="3FEA575E"/>
    <w:rsid w:val="3FEB33DD"/>
    <w:rsid w:val="3FEF1047"/>
    <w:rsid w:val="3FEF1726"/>
    <w:rsid w:val="3FEF2682"/>
    <w:rsid w:val="3FEF3A59"/>
    <w:rsid w:val="3FEF617D"/>
    <w:rsid w:val="3FF200B2"/>
    <w:rsid w:val="3FF7092F"/>
    <w:rsid w:val="3FF7FB14"/>
    <w:rsid w:val="3FF91D4E"/>
    <w:rsid w:val="3FFABA1D"/>
    <w:rsid w:val="3FFAE55B"/>
    <w:rsid w:val="3FFC8C28"/>
    <w:rsid w:val="3FFE6B5A"/>
    <w:rsid w:val="3FFF1AD8"/>
    <w:rsid w:val="3FFFA0C9"/>
    <w:rsid w:val="3FFFC148"/>
    <w:rsid w:val="3FFFFFF3"/>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8DFBCE1"/>
    <w:rsid w:val="49FF1354"/>
    <w:rsid w:val="4A0B2A82"/>
    <w:rsid w:val="4AD50DA1"/>
    <w:rsid w:val="4B240373"/>
    <w:rsid w:val="4B5C669F"/>
    <w:rsid w:val="4B5FD1C2"/>
    <w:rsid w:val="4B7E4857"/>
    <w:rsid w:val="4BBFB59F"/>
    <w:rsid w:val="4BD95C3D"/>
    <w:rsid w:val="4BF9659A"/>
    <w:rsid w:val="4BFF0375"/>
    <w:rsid w:val="4BFF6F01"/>
    <w:rsid w:val="4C9630E6"/>
    <w:rsid w:val="4CF7683F"/>
    <w:rsid w:val="4D796D4B"/>
    <w:rsid w:val="4DA78014"/>
    <w:rsid w:val="4DD29871"/>
    <w:rsid w:val="4DEF0CAE"/>
    <w:rsid w:val="4DEFFB07"/>
    <w:rsid w:val="4DFF9C1C"/>
    <w:rsid w:val="4E7FD645"/>
    <w:rsid w:val="4E9D1594"/>
    <w:rsid w:val="4EBF4AED"/>
    <w:rsid w:val="4ED5FB2D"/>
    <w:rsid w:val="4EE40807"/>
    <w:rsid w:val="4EFEE3CF"/>
    <w:rsid w:val="4EFFCC04"/>
    <w:rsid w:val="4EFFD058"/>
    <w:rsid w:val="4F4DC02C"/>
    <w:rsid w:val="4F4E3BCE"/>
    <w:rsid w:val="4F4F56C9"/>
    <w:rsid w:val="4F6715EE"/>
    <w:rsid w:val="4F7FAC37"/>
    <w:rsid w:val="4FA32AE8"/>
    <w:rsid w:val="4FA6572E"/>
    <w:rsid w:val="4FAB1773"/>
    <w:rsid w:val="4FB77DE6"/>
    <w:rsid w:val="4FBBE42B"/>
    <w:rsid w:val="4FBD579C"/>
    <w:rsid w:val="4FBF8279"/>
    <w:rsid w:val="4FEF7BC4"/>
    <w:rsid w:val="4FFB8451"/>
    <w:rsid w:val="4FFB8E16"/>
    <w:rsid w:val="4FFF3983"/>
    <w:rsid w:val="4FFFB35D"/>
    <w:rsid w:val="50450572"/>
    <w:rsid w:val="51624E8A"/>
    <w:rsid w:val="51DF7224"/>
    <w:rsid w:val="521F3E4B"/>
    <w:rsid w:val="523FA006"/>
    <w:rsid w:val="52EFBDB1"/>
    <w:rsid w:val="52F6FAD5"/>
    <w:rsid w:val="53BD7D95"/>
    <w:rsid w:val="53DE26C8"/>
    <w:rsid w:val="53E7DABE"/>
    <w:rsid w:val="53EE158E"/>
    <w:rsid w:val="53FDFCAE"/>
    <w:rsid w:val="548B2661"/>
    <w:rsid w:val="54F115E0"/>
    <w:rsid w:val="55447A06"/>
    <w:rsid w:val="555BA0AF"/>
    <w:rsid w:val="557F36C1"/>
    <w:rsid w:val="55DF30E4"/>
    <w:rsid w:val="55FA15B7"/>
    <w:rsid w:val="562D8241"/>
    <w:rsid w:val="567F357A"/>
    <w:rsid w:val="567F53D9"/>
    <w:rsid w:val="56B5692E"/>
    <w:rsid w:val="56BEE398"/>
    <w:rsid w:val="56FD9F13"/>
    <w:rsid w:val="57014352"/>
    <w:rsid w:val="5739D327"/>
    <w:rsid w:val="573D63DA"/>
    <w:rsid w:val="576E940A"/>
    <w:rsid w:val="57AFC138"/>
    <w:rsid w:val="57BD67C8"/>
    <w:rsid w:val="57BFE285"/>
    <w:rsid w:val="57D5B179"/>
    <w:rsid w:val="57DBE7AC"/>
    <w:rsid w:val="57DD41C0"/>
    <w:rsid w:val="57DFF4BD"/>
    <w:rsid w:val="57E70F57"/>
    <w:rsid w:val="57EF46D5"/>
    <w:rsid w:val="57EFA361"/>
    <w:rsid w:val="57F5FB92"/>
    <w:rsid w:val="57FBCD8A"/>
    <w:rsid w:val="57FDC686"/>
    <w:rsid w:val="57FFE8DD"/>
    <w:rsid w:val="582A60AC"/>
    <w:rsid w:val="58841836"/>
    <w:rsid w:val="58BFC293"/>
    <w:rsid w:val="58D96099"/>
    <w:rsid w:val="594F9F96"/>
    <w:rsid w:val="597E1BC4"/>
    <w:rsid w:val="598F29B3"/>
    <w:rsid w:val="599FD232"/>
    <w:rsid w:val="59CD9A52"/>
    <w:rsid w:val="59EF0511"/>
    <w:rsid w:val="59FF62C8"/>
    <w:rsid w:val="5A7F463C"/>
    <w:rsid w:val="5ABBDF2B"/>
    <w:rsid w:val="5AEC2D3D"/>
    <w:rsid w:val="5AF956D6"/>
    <w:rsid w:val="5B075C16"/>
    <w:rsid w:val="5B3336B2"/>
    <w:rsid w:val="5B3E2C04"/>
    <w:rsid w:val="5B5642E6"/>
    <w:rsid w:val="5B6F5E56"/>
    <w:rsid w:val="5B7E9F71"/>
    <w:rsid w:val="5B9467C0"/>
    <w:rsid w:val="5B9A48BE"/>
    <w:rsid w:val="5BAFF1B8"/>
    <w:rsid w:val="5BBBAF0A"/>
    <w:rsid w:val="5BD7D220"/>
    <w:rsid w:val="5BDDF1F8"/>
    <w:rsid w:val="5BEE8154"/>
    <w:rsid w:val="5BEF28C6"/>
    <w:rsid w:val="5BF3A74E"/>
    <w:rsid w:val="5BF68CF6"/>
    <w:rsid w:val="5BF8AA04"/>
    <w:rsid w:val="5BFC5027"/>
    <w:rsid w:val="5BFD1224"/>
    <w:rsid w:val="5BFD3CB7"/>
    <w:rsid w:val="5BFDB7EC"/>
    <w:rsid w:val="5BFF147D"/>
    <w:rsid w:val="5C6FBA19"/>
    <w:rsid w:val="5C7EB9DA"/>
    <w:rsid w:val="5C9B734C"/>
    <w:rsid w:val="5CD78333"/>
    <w:rsid w:val="5CEBCAD6"/>
    <w:rsid w:val="5CF1226C"/>
    <w:rsid w:val="5CF3E376"/>
    <w:rsid w:val="5CFF2307"/>
    <w:rsid w:val="5D177A7A"/>
    <w:rsid w:val="5D7F530F"/>
    <w:rsid w:val="5D8CAEE6"/>
    <w:rsid w:val="5D953CD4"/>
    <w:rsid w:val="5DB3473A"/>
    <w:rsid w:val="5DBF23B5"/>
    <w:rsid w:val="5DC67B8B"/>
    <w:rsid w:val="5DC89EF4"/>
    <w:rsid w:val="5DCD2524"/>
    <w:rsid w:val="5DCF3F99"/>
    <w:rsid w:val="5DDB479A"/>
    <w:rsid w:val="5DDD4563"/>
    <w:rsid w:val="5DDD5F91"/>
    <w:rsid w:val="5DED387C"/>
    <w:rsid w:val="5DF5385C"/>
    <w:rsid w:val="5DF7A785"/>
    <w:rsid w:val="5DFDEB58"/>
    <w:rsid w:val="5DFE02C1"/>
    <w:rsid w:val="5DFFBE50"/>
    <w:rsid w:val="5DFFD3FE"/>
    <w:rsid w:val="5DFFFDD5"/>
    <w:rsid w:val="5E2FF403"/>
    <w:rsid w:val="5E336754"/>
    <w:rsid w:val="5E3B697E"/>
    <w:rsid w:val="5E60746C"/>
    <w:rsid w:val="5E7594B2"/>
    <w:rsid w:val="5E937489"/>
    <w:rsid w:val="5EBDBC12"/>
    <w:rsid w:val="5EBE7485"/>
    <w:rsid w:val="5EBFB65F"/>
    <w:rsid w:val="5ECB379A"/>
    <w:rsid w:val="5ECD2796"/>
    <w:rsid w:val="5ED152C2"/>
    <w:rsid w:val="5ED2EC84"/>
    <w:rsid w:val="5EF31FF9"/>
    <w:rsid w:val="5EF7A60A"/>
    <w:rsid w:val="5EFAFDD7"/>
    <w:rsid w:val="5EFD709E"/>
    <w:rsid w:val="5EFDA5E9"/>
    <w:rsid w:val="5EFEADE1"/>
    <w:rsid w:val="5EFFC456"/>
    <w:rsid w:val="5EFFE663"/>
    <w:rsid w:val="5F0D925A"/>
    <w:rsid w:val="5F1F1CEB"/>
    <w:rsid w:val="5F1F70DF"/>
    <w:rsid w:val="5F3EB388"/>
    <w:rsid w:val="5F3F32A1"/>
    <w:rsid w:val="5F3F4069"/>
    <w:rsid w:val="5F3FD55E"/>
    <w:rsid w:val="5F585F83"/>
    <w:rsid w:val="5F5E768E"/>
    <w:rsid w:val="5F5F1521"/>
    <w:rsid w:val="5F771048"/>
    <w:rsid w:val="5F777236"/>
    <w:rsid w:val="5F7D9EDD"/>
    <w:rsid w:val="5F7E2721"/>
    <w:rsid w:val="5F7E5599"/>
    <w:rsid w:val="5F7E7540"/>
    <w:rsid w:val="5F7EDD90"/>
    <w:rsid w:val="5F7F9418"/>
    <w:rsid w:val="5F9D7187"/>
    <w:rsid w:val="5FAA78F5"/>
    <w:rsid w:val="5FAEC1A2"/>
    <w:rsid w:val="5FB621AB"/>
    <w:rsid w:val="5FB9847B"/>
    <w:rsid w:val="5FD5BB1B"/>
    <w:rsid w:val="5FD77564"/>
    <w:rsid w:val="5FD9895F"/>
    <w:rsid w:val="5FDB01DB"/>
    <w:rsid w:val="5FDC4B56"/>
    <w:rsid w:val="5FDF4DD1"/>
    <w:rsid w:val="5FE744AA"/>
    <w:rsid w:val="5FEA9E8D"/>
    <w:rsid w:val="5FEB83AD"/>
    <w:rsid w:val="5FEDD748"/>
    <w:rsid w:val="5FEE3BB2"/>
    <w:rsid w:val="5FEEFD8E"/>
    <w:rsid w:val="5FEF519A"/>
    <w:rsid w:val="5FEF96F0"/>
    <w:rsid w:val="5FEFD330"/>
    <w:rsid w:val="5FF33712"/>
    <w:rsid w:val="5FF58A5E"/>
    <w:rsid w:val="5FF728E5"/>
    <w:rsid w:val="5FF79CF0"/>
    <w:rsid w:val="5FF980EC"/>
    <w:rsid w:val="5FF98146"/>
    <w:rsid w:val="5FF999D4"/>
    <w:rsid w:val="5FFA2044"/>
    <w:rsid w:val="5FFA3473"/>
    <w:rsid w:val="5FFB2E47"/>
    <w:rsid w:val="5FFBE073"/>
    <w:rsid w:val="5FFC2FA4"/>
    <w:rsid w:val="5FFD8E6B"/>
    <w:rsid w:val="5FFDD2DA"/>
    <w:rsid w:val="5FFDEB2B"/>
    <w:rsid w:val="5FFE4EE5"/>
    <w:rsid w:val="5FFF5029"/>
    <w:rsid w:val="5FFF8A47"/>
    <w:rsid w:val="5FFFCE94"/>
    <w:rsid w:val="5FFFFC6E"/>
    <w:rsid w:val="617D4A6A"/>
    <w:rsid w:val="61B31169"/>
    <w:rsid w:val="61D35B82"/>
    <w:rsid w:val="62C73DF1"/>
    <w:rsid w:val="62CF0EFF"/>
    <w:rsid w:val="62FFDDCB"/>
    <w:rsid w:val="6336CD9B"/>
    <w:rsid w:val="638377A8"/>
    <w:rsid w:val="63BEF7C9"/>
    <w:rsid w:val="63EB71E8"/>
    <w:rsid w:val="63EBA89B"/>
    <w:rsid w:val="63FC607C"/>
    <w:rsid w:val="63FF7A03"/>
    <w:rsid w:val="6417516A"/>
    <w:rsid w:val="641F4EE6"/>
    <w:rsid w:val="645D6ED9"/>
    <w:rsid w:val="648835C7"/>
    <w:rsid w:val="653B7765"/>
    <w:rsid w:val="655B3FD7"/>
    <w:rsid w:val="657FC189"/>
    <w:rsid w:val="65C37738"/>
    <w:rsid w:val="65DE580D"/>
    <w:rsid w:val="65E46921"/>
    <w:rsid w:val="65F83F2F"/>
    <w:rsid w:val="6632E133"/>
    <w:rsid w:val="665F83AD"/>
    <w:rsid w:val="66DF7671"/>
    <w:rsid w:val="66F7AB21"/>
    <w:rsid w:val="670C1F82"/>
    <w:rsid w:val="671E9133"/>
    <w:rsid w:val="67755F3D"/>
    <w:rsid w:val="677DC604"/>
    <w:rsid w:val="677DF9AF"/>
    <w:rsid w:val="677FE90B"/>
    <w:rsid w:val="678E41F3"/>
    <w:rsid w:val="67AFF102"/>
    <w:rsid w:val="67B5A5C7"/>
    <w:rsid w:val="67B7B560"/>
    <w:rsid w:val="67BF44E4"/>
    <w:rsid w:val="67CE9F02"/>
    <w:rsid w:val="67D28279"/>
    <w:rsid w:val="67D3E0DC"/>
    <w:rsid w:val="67DD8961"/>
    <w:rsid w:val="67DE850A"/>
    <w:rsid w:val="67EAE887"/>
    <w:rsid w:val="67EDA0B6"/>
    <w:rsid w:val="67EF26A7"/>
    <w:rsid w:val="67F31207"/>
    <w:rsid w:val="67FB8170"/>
    <w:rsid w:val="67FDC720"/>
    <w:rsid w:val="687A614C"/>
    <w:rsid w:val="694D1DDC"/>
    <w:rsid w:val="69774823"/>
    <w:rsid w:val="697E3C46"/>
    <w:rsid w:val="697EDE9E"/>
    <w:rsid w:val="69BC06BD"/>
    <w:rsid w:val="69F6C613"/>
    <w:rsid w:val="69FE0A5F"/>
    <w:rsid w:val="6A3D2095"/>
    <w:rsid w:val="6A4515FF"/>
    <w:rsid w:val="6A723F09"/>
    <w:rsid w:val="6A7D6FBC"/>
    <w:rsid w:val="6A860352"/>
    <w:rsid w:val="6A8B0F56"/>
    <w:rsid w:val="6ABF683F"/>
    <w:rsid w:val="6ABFCBE9"/>
    <w:rsid w:val="6AEC4A2D"/>
    <w:rsid w:val="6AF57D44"/>
    <w:rsid w:val="6AFDA55A"/>
    <w:rsid w:val="6B574B82"/>
    <w:rsid w:val="6B77957B"/>
    <w:rsid w:val="6B7BBC6F"/>
    <w:rsid w:val="6B9F2A24"/>
    <w:rsid w:val="6BBE8DC3"/>
    <w:rsid w:val="6BCF1E9A"/>
    <w:rsid w:val="6BDB9361"/>
    <w:rsid w:val="6BDC5CA0"/>
    <w:rsid w:val="6BDCF144"/>
    <w:rsid w:val="6BDE3CD0"/>
    <w:rsid w:val="6BDFF9FD"/>
    <w:rsid w:val="6BE73003"/>
    <w:rsid w:val="6BEE4A2F"/>
    <w:rsid w:val="6BEF9CDD"/>
    <w:rsid w:val="6BEFAF24"/>
    <w:rsid w:val="6BEFFBC2"/>
    <w:rsid w:val="6BF3BB87"/>
    <w:rsid w:val="6BF73D79"/>
    <w:rsid w:val="6BFD7552"/>
    <w:rsid w:val="6BFE00A3"/>
    <w:rsid w:val="6BFF6CCC"/>
    <w:rsid w:val="6CBB95F6"/>
    <w:rsid w:val="6CBCFB11"/>
    <w:rsid w:val="6CDFFCE1"/>
    <w:rsid w:val="6CED3A7E"/>
    <w:rsid w:val="6CF6358A"/>
    <w:rsid w:val="6CF6948C"/>
    <w:rsid w:val="6CF7D0E3"/>
    <w:rsid w:val="6CFEDE13"/>
    <w:rsid w:val="6CFFEDFD"/>
    <w:rsid w:val="6D3FBD47"/>
    <w:rsid w:val="6D4ED2B5"/>
    <w:rsid w:val="6D57DC9A"/>
    <w:rsid w:val="6D5D17A2"/>
    <w:rsid w:val="6D6B4986"/>
    <w:rsid w:val="6D6E17C5"/>
    <w:rsid w:val="6D7FA425"/>
    <w:rsid w:val="6DB17249"/>
    <w:rsid w:val="6DD73512"/>
    <w:rsid w:val="6DEF69F8"/>
    <w:rsid w:val="6DFAEC05"/>
    <w:rsid w:val="6DFB684D"/>
    <w:rsid w:val="6DFCE492"/>
    <w:rsid w:val="6DFD965B"/>
    <w:rsid w:val="6DFF3DA8"/>
    <w:rsid w:val="6DFF8FE4"/>
    <w:rsid w:val="6DFF93EE"/>
    <w:rsid w:val="6DFFFF41"/>
    <w:rsid w:val="6E182A45"/>
    <w:rsid w:val="6E34AC6A"/>
    <w:rsid w:val="6E4E3658"/>
    <w:rsid w:val="6E5969EA"/>
    <w:rsid w:val="6E65A335"/>
    <w:rsid w:val="6E72127E"/>
    <w:rsid w:val="6E77D2C4"/>
    <w:rsid w:val="6E8EB219"/>
    <w:rsid w:val="6EAB7BCC"/>
    <w:rsid w:val="6EB56785"/>
    <w:rsid w:val="6EBBEFC4"/>
    <w:rsid w:val="6EDF3A8D"/>
    <w:rsid w:val="6EEEA5EE"/>
    <w:rsid w:val="6EEF3DBB"/>
    <w:rsid w:val="6EEF5774"/>
    <w:rsid w:val="6EEFD9AE"/>
    <w:rsid w:val="6EF1815E"/>
    <w:rsid w:val="6EF789A8"/>
    <w:rsid w:val="6EF7BA2F"/>
    <w:rsid w:val="6EFEF699"/>
    <w:rsid w:val="6F070AEF"/>
    <w:rsid w:val="6F2F60A1"/>
    <w:rsid w:val="6F5BAD55"/>
    <w:rsid w:val="6F5E201F"/>
    <w:rsid w:val="6F5ECC87"/>
    <w:rsid w:val="6F6B7400"/>
    <w:rsid w:val="6F7723CE"/>
    <w:rsid w:val="6F7D2977"/>
    <w:rsid w:val="6F7DEA2B"/>
    <w:rsid w:val="6F7E0090"/>
    <w:rsid w:val="6F7FF651"/>
    <w:rsid w:val="6F85C0E4"/>
    <w:rsid w:val="6F9A6F50"/>
    <w:rsid w:val="6F9B5ADC"/>
    <w:rsid w:val="6F9BDB6C"/>
    <w:rsid w:val="6F9D25AC"/>
    <w:rsid w:val="6F9FCFB9"/>
    <w:rsid w:val="6FA58BCC"/>
    <w:rsid w:val="6FAF19E1"/>
    <w:rsid w:val="6FAFF182"/>
    <w:rsid w:val="6FB9C0B3"/>
    <w:rsid w:val="6FBF8E07"/>
    <w:rsid w:val="6FBF955A"/>
    <w:rsid w:val="6FC7935B"/>
    <w:rsid w:val="6FCF9412"/>
    <w:rsid w:val="6FD788F5"/>
    <w:rsid w:val="6FDBE1F6"/>
    <w:rsid w:val="6FDCC4E3"/>
    <w:rsid w:val="6FDD26D2"/>
    <w:rsid w:val="6FDEFEF9"/>
    <w:rsid w:val="6FDF767E"/>
    <w:rsid w:val="6FE644E1"/>
    <w:rsid w:val="6FEB6673"/>
    <w:rsid w:val="6FEB7021"/>
    <w:rsid w:val="6FEB91EC"/>
    <w:rsid w:val="6FF1418F"/>
    <w:rsid w:val="6FF4CBE6"/>
    <w:rsid w:val="6FF5597F"/>
    <w:rsid w:val="6FF76FE9"/>
    <w:rsid w:val="6FFB0603"/>
    <w:rsid w:val="6FFB67C7"/>
    <w:rsid w:val="6FFDC0A3"/>
    <w:rsid w:val="6FFED52C"/>
    <w:rsid w:val="6FFF3CE2"/>
    <w:rsid w:val="6FFFF469"/>
    <w:rsid w:val="706536E9"/>
    <w:rsid w:val="7077A43F"/>
    <w:rsid w:val="707F5F26"/>
    <w:rsid w:val="708B3515"/>
    <w:rsid w:val="70DE537D"/>
    <w:rsid w:val="70F7E6E5"/>
    <w:rsid w:val="70F9B025"/>
    <w:rsid w:val="70FBCB2C"/>
    <w:rsid w:val="712B3822"/>
    <w:rsid w:val="715FC76C"/>
    <w:rsid w:val="71692C8E"/>
    <w:rsid w:val="717DD7B3"/>
    <w:rsid w:val="71844044"/>
    <w:rsid w:val="71884B08"/>
    <w:rsid w:val="719DC92F"/>
    <w:rsid w:val="71BF9D7B"/>
    <w:rsid w:val="71CF8CC8"/>
    <w:rsid w:val="71EF1ABB"/>
    <w:rsid w:val="71F07391"/>
    <w:rsid w:val="71FB4449"/>
    <w:rsid w:val="7273247D"/>
    <w:rsid w:val="72C07827"/>
    <w:rsid w:val="72F87E26"/>
    <w:rsid w:val="72FEEB10"/>
    <w:rsid w:val="72FFC369"/>
    <w:rsid w:val="72FFCBAB"/>
    <w:rsid w:val="72FFCF7B"/>
    <w:rsid w:val="73774FB1"/>
    <w:rsid w:val="737B0ED8"/>
    <w:rsid w:val="737EE920"/>
    <w:rsid w:val="73A7572A"/>
    <w:rsid w:val="73AB40F7"/>
    <w:rsid w:val="73B51EF9"/>
    <w:rsid w:val="73BB12E0"/>
    <w:rsid w:val="73BF3439"/>
    <w:rsid w:val="73C3ABAF"/>
    <w:rsid w:val="73D3A7D2"/>
    <w:rsid w:val="73D68846"/>
    <w:rsid w:val="73D71F7F"/>
    <w:rsid w:val="73DB7784"/>
    <w:rsid w:val="73ED6581"/>
    <w:rsid w:val="73EFF68F"/>
    <w:rsid w:val="73F31CE6"/>
    <w:rsid w:val="73F67713"/>
    <w:rsid w:val="73FB821A"/>
    <w:rsid w:val="73FEF627"/>
    <w:rsid w:val="73FF54A1"/>
    <w:rsid w:val="73FFEA90"/>
    <w:rsid w:val="7474F750"/>
    <w:rsid w:val="7495FE01"/>
    <w:rsid w:val="74D487E0"/>
    <w:rsid w:val="75150BCE"/>
    <w:rsid w:val="754D1B9A"/>
    <w:rsid w:val="757D7A13"/>
    <w:rsid w:val="757DC1AF"/>
    <w:rsid w:val="757F6864"/>
    <w:rsid w:val="758BCED1"/>
    <w:rsid w:val="75AC1E99"/>
    <w:rsid w:val="75B784BA"/>
    <w:rsid w:val="75BBBC97"/>
    <w:rsid w:val="75BFA760"/>
    <w:rsid w:val="75C441C0"/>
    <w:rsid w:val="75E74A0A"/>
    <w:rsid w:val="75F16A70"/>
    <w:rsid w:val="75F6C1F4"/>
    <w:rsid w:val="75FAB8AE"/>
    <w:rsid w:val="75FE53C8"/>
    <w:rsid w:val="75FF384B"/>
    <w:rsid w:val="76206228"/>
    <w:rsid w:val="7639CDBB"/>
    <w:rsid w:val="763C6BA9"/>
    <w:rsid w:val="767D9B7C"/>
    <w:rsid w:val="767E4401"/>
    <w:rsid w:val="767FD516"/>
    <w:rsid w:val="76BB9CA5"/>
    <w:rsid w:val="76BF2308"/>
    <w:rsid w:val="76CB8259"/>
    <w:rsid w:val="76EBB770"/>
    <w:rsid w:val="76EEBDD0"/>
    <w:rsid w:val="76EFB9C9"/>
    <w:rsid w:val="76FBD766"/>
    <w:rsid w:val="76FDA80E"/>
    <w:rsid w:val="76FEFD5E"/>
    <w:rsid w:val="76FF2F91"/>
    <w:rsid w:val="76FF95AE"/>
    <w:rsid w:val="76FFE499"/>
    <w:rsid w:val="7729B9CA"/>
    <w:rsid w:val="775F8ADC"/>
    <w:rsid w:val="776B273C"/>
    <w:rsid w:val="776D9425"/>
    <w:rsid w:val="776EFD4D"/>
    <w:rsid w:val="776FDA2F"/>
    <w:rsid w:val="777E5D5D"/>
    <w:rsid w:val="777ED7C6"/>
    <w:rsid w:val="777F8A55"/>
    <w:rsid w:val="7789629F"/>
    <w:rsid w:val="778BA3BB"/>
    <w:rsid w:val="7797CA11"/>
    <w:rsid w:val="779C1564"/>
    <w:rsid w:val="779F6AA7"/>
    <w:rsid w:val="77B2FF19"/>
    <w:rsid w:val="77BE5ECA"/>
    <w:rsid w:val="77BF26A7"/>
    <w:rsid w:val="77C7E874"/>
    <w:rsid w:val="77CB89BE"/>
    <w:rsid w:val="77CE719C"/>
    <w:rsid w:val="77CF7D19"/>
    <w:rsid w:val="77D0BF8E"/>
    <w:rsid w:val="77D72C19"/>
    <w:rsid w:val="77DB3ADC"/>
    <w:rsid w:val="77DB4BD1"/>
    <w:rsid w:val="77DE42AA"/>
    <w:rsid w:val="77DE9A0D"/>
    <w:rsid w:val="77DEEFAB"/>
    <w:rsid w:val="77DFA61D"/>
    <w:rsid w:val="77EDB1F1"/>
    <w:rsid w:val="77F26746"/>
    <w:rsid w:val="77F58A90"/>
    <w:rsid w:val="77F75A6E"/>
    <w:rsid w:val="77F775FB"/>
    <w:rsid w:val="77F7AFA9"/>
    <w:rsid w:val="77F7F1BE"/>
    <w:rsid w:val="77F95BD2"/>
    <w:rsid w:val="77FB0BBC"/>
    <w:rsid w:val="77FB3E98"/>
    <w:rsid w:val="77FBE5FA"/>
    <w:rsid w:val="77FBF5DF"/>
    <w:rsid w:val="77FCA16E"/>
    <w:rsid w:val="77FCAE37"/>
    <w:rsid w:val="77FDBB8B"/>
    <w:rsid w:val="77FE7B4F"/>
    <w:rsid w:val="77FF077B"/>
    <w:rsid w:val="77FF0D06"/>
    <w:rsid w:val="77FF5B7A"/>
    <w:rsid w:val="77FF7AB8"/>
    <w:rsid w:val="77FFCE46"/>
    <w:rsid w:val="77FFDFF9"/>
    <w:rsid w:val="782B57A7"/>
    <w:rsid w:val="786C74ED"/>
    <w:rsid w:val="78AA05C8"/>
    <w:rsid w:val="78BFC3B0"/>
    <w:rsid w:val="78DF136F"/>
    <w:rsid w:val="78F74BF5"/>
    <w:rsid w:val="78FB78D2"/>
    <w:rsid w:val="78FBA2ED"/>
    <w:rsid w:val="78FD27C7"/>
    <w:rsid w:val="78FE5A63"/>
    <w:rsid w:val="791668EE"/>
    <w:rsid w:val="79516EBF"/>
    <w:rsid w:val="795E8D68"/>
    <w:rsid w:val="795F75BD"/>
    <w:rsid w:val="7965877D"/>
    <w:rsid w:val="798FDD30"/>
    <w:rsid w:val="79AD4284"/>
    <w:rsid w:val="79BB5570"/>
    <w:rsid w:val="79BB5D66"/>
    <w:rsid w:val="79BE15F1"/>
    <w:rsid w:val="79CF6152"/>
    <w:rsid w:val="79D516B2"/>
    <w:rsid w:val="79D945A5"/>
    <w:rsid w:val="79DD9490"/>
    <w:rsid w:val="79DF37F9"/>
    <w:rsid w:val="79E99839"/>
    <w:rsid w:val="79EBD908"/>
    <w:rsid w:val="79F11DD0"/>
    <w:rsid w:val="79F346E7"/>
    <w:rsid w:val="79FBE1F7"/>
    <w:rsid w:val="79FF3494"/>
    <w:rsid w:val="79FFF4D1"/>
    <w:rsid w:val="7A41D3E7"/>
    <w:rsid w:val="7A69D201"/>
    <w:rsid w:val="7A7F267E"/>
    <w:rsid w:val="7A9F2409"/>
    <w:rsid w:val="7AB7FBA4"/>
    <w:rsid w:val="7ABD431C"/>
    <w:rsid w:val="7AC92DCB"/>
    <w:rsid w:val="7ACFF7E7"/>
    <w:rsid w:val="7ADF8D06"/>
    <w:rsid w:val="7AF1E608"/>
    <w:rsid w:val="7AF49052"/>
    <w:rsid w:val="7AF5429E"/>
    <w:rsid w:val="7AF6C64A"/>
    <w:rsid w:val="7AF719A5"/>
    <w:rsid w:val="7AFA1354"/>
    <w:rsid w:val="7AFE99B2"/>
    <w:rsid w:val="7AFF82D2"/>
    <w:rsid w:val="7B15E767"/>
    <w:rsid w:val="7B1E9879"/>
    <w:rsid w:val="7B27FE01"/>
    <w:rsid w:val="7B3BAE17"/>
    <w:rsid w:val="7B3FD99F"/>
    <w:rsid w:val="7B473DF7"/>
    <w:rsid w:val="7B583579"/>
    <w:rsid w:val="7B5E6D67"/>
    <w:rsid w:val="7B757168"/>
    <w:rsid w:val="7B75AA39"/>
    <w:rsid w:val="7B771657"/>
    <w:rsid w:val="7B776EEE"/>
    <w:rsid w:val="7B7966EE"/>
    <w:rsid w:val="7B7B0273"/>
    <w:rsid w:val="7B7CC2A8"/>
    <w:rsid w:val="7B7D0951"/>
    <w:rsid w:val="7B7D4325"/>
    <w:rsid w:val="7B7F93E2"/>
    <w:rsid w:val="7B7FBFEB"/>
    <w:rsid w:val="7B8751BD"/>
    <w:rsid w:val="7BB22958"/>
    <w:rsid w:val="7BB411C3"/>
    <w:rsid w:val="7BB59F4D"/>
    <w:rsid w:val="7BB793CE"/>
    <w:rsid w:val="7BBA1DF7"/>
    <w:rsid w:val="7BBB13C9"/>
    <w:rsid w:val="7BBB924A"/>
    <w:rsid w:val="7BBE0C6B"/>
    <w:rsid w:val="7BBF08EE"/>
    <w:rsid w:val="7BBF1625"/>
    <w:rsid w:val="7BBFB027"/>
    <w:rsid w:val="7BBFFAA8"/>
    <w:rsid w:val="7BC3E1CB"/>
    <w:rsid w:val="7BCF2D92"/>
    <w:rsid w:val="7BCFC438"/>
    <w:rsid w:val="7BD734A3"/>
    <w:rsid w:val="7BDD7B37"/>
    <w:rsid w:val="7BDDA73C"/>
    <w:rsid w:val="7BE3C2A5"/>
    <w:rsid w:val="7BE44CF8"/>
    <w:rsid w:val="7BEA6A05"/>
    <w:rsid w:val="7BEB247B"/>
    <w:rsid w:val="7BED58E8"/>
    <w:rsid w:val="7BEE472A"/>
    <w:rsid w:val="7BEFE6DA"/>
    <w:rsid w:val="7BF3BF39"/>
    <w:rsid w:val="7BF5B9F7"/>
    <w:rsid w:val="7BF70AB0"/>
    <w:rsid w:val="7BF767AD"/>
    <w:rsid w:val="7BFA25E7"/>
    <w:rsid w:val="7BFA4229"/>
    <w:rsid w:val="7BFC3C65"/>
    <w:rsid w:val="7BFD167E"/>
    <w:rsid w:val="7BFD75AE"/>
    <w:rsid w:val="7BFDFC56"/>
    <w:rsid w:val="7BFE72B7"/>
    <w:rsid w:val="7BFEEFEC"/>
    <w:rsid w:val="7BFF41CF"/>
    <w:rsid w:val="7BFF8793"/>
    <w:rsid w:val="7C1FED41"/>
    <w:rsid w:val="7C67BD8A"/>
    <w:rsid w:val="7C7F6893"/>
    <w:rsid w:val="7C8D80B5"/>
    <w:rsid w:val="7C9E0C08"/>
    <w:rsid w:val="7CA3D42B"/>
    <w:rsid w:val="7CD098CE"/>
    <w:rsid w:val="7CD9AB98"/>
    <w:rsid w:val="7CDFF093"/>
    <w:rsid w:val="7CE42760"/>
    <w:rsid w:val="7CF55430"/>
    <w:rsid w:val="7CF5A78E"/>
    <w:rsid w:val="7CFEE297"/>
    <w:rsid w:val="7CFF5F62"/>
    <w:rsid w:val="7CFFB96F"/>
    <w:rsid w:val="7D1F3A6B"/>
    <w:rsid w:val="7D2F8632"/>
    <w:rsid w:val="7D3275AD"/>
    <w:rsid w:val="7D3B2FB6"/>
    <w:rsid w:val="7D3E12FF"/>
    <w:rsid w:val="7D57E2C2"/>
    <w:rsid w:val="7D63146B"/>
    <w:rsid w:val="7D6B8EE6"/>
    <w:rsid w:val="7D6FC3E5"/>
    <w:rsid w:val="7D75143C"/>
    <w:rsid w:val="7D76FDE5"/>
    <w:rsid w:val="7D7B8096"/>
    <w:rsid w:val="7D7C255C"/>
    <w:rsid w:val="7D7F0B43"/>
    <w:rsid w:val="7D7F7F4D"/>
    <w:rsid w:val="7D9E65B5"/>
    <w:rsid w:val="7DA39A1C"/>
    <w:rsid w:val="7DAF3E8B"/>
    <w:rsid w:val="7DBBB1D2"/>
    <w:rsid w:val="7DBD57AF"/>
    <w:rsid w:val="7DBDC376"/>
    <w:rsid w:val="7DBF5AA7"/>
    <w:rsid w:val="7DBFBEF4"/>
    <w:rsid w:val="7DCCA112"/>
    <w:rsid w:val="7DDD376A"/>
    <w:rsid w:val="7DDD9B08"/>
    <w:rsid w:val="7DDF7960"/>
    <w:rsid w:val="7DDF9BC5"/>
    <w:rsid w:val="7DDFF113"/>
    <w:rsid w:val="7DE5B451"/>
    <w:rsid w:val="7DEB9A91"/>
    <w:rsid w:val="7DEF78AE"/>
    <w:rsid w:val="7DF4A9F5"/>
    <w:rsid w:val="7DF5F05D"/>
    <w:rsid w:val="7DF74725"/>
    <w:rsid w:val="7DF790F9"/>
    <w:rsid w:val="7DF84455"/>
    <w:rsid w:val="7DF9B896"/>
    <w:rsid w:val="7DFA3791"/>
    <w:rsid w:val="7DFA7BD2"/>
    <w:rsid w:val="7DFB0C88"/>
    <w:rsid w:val="7DFB4881"/>
    <w:rsid w:val="7DFB7837"/>
    <w:rsid w:val="7DFDF357"/>
    <w:rsid w:val="7DFE5EBD"/>
    <w:rsid w:val="7DFEA849"/>
    <w:rsid w:val="7DFF289B"/>
    <w:rsid w:val="7DFF3F9C"/>
    <w:rsid w:val="7DFF5F42"/>
    <w:rsid w:val="7DFF8CEA"/>
    <w:rsid w:val="7DFFB292"/>
    <w:rsid w:val="7DFFB7A9"/>
    <w:rsid w:val="7DFFE009"/>
    <w:rsid w:val="7DFFE626"/>
    <w:rsid w:val="7DFFEF6C"/>
    <w:rsid w:val="7E07355D"/>
    <w:rsid w:val="7E131720"/>
    <w:rsid w:val="7E5F4FAD"/>
    <w:rsid w:val="7E5F86EE"/>
    <w:rsid w:val="7E5FDE9C"/>
    <w:rsid w:val="7E5FE693"/>
    <w:rsid w:val="7E652F5C"/>
    <w:rsid w:val="7E6DB550"/>
    <w:rsid w:val="7E6F514E"/>
    <w:rsid w:val="7E73B2F5"/>
    <w:rsid w:val="7E7949F8"/>
    <w:rsid w:val="7E7B84EB"/>
    <w:rsid w:val="7E7BA5F5"/>
    <w:rsid w:val="7E884CE2"/>
    <w:rsid w:val="7E88EDCB"/>
    <w:rsid w:val="7E8F5D39"/>
    <w:rsid w:val="7E8F6586"/>
    <w:rsid w:val="7EAD171A"/>
    <w:rsid w:val="7EB9FE92"/>
    <w:rsid w:val="7EBA6A5F"/>
    <w:rsid w:val="7EBD3167"/>
    <w:rsid w:val="7EC7E795"/>
    <w:rsid w:val="7ECF2C7D"/>
    <w:rsid w:val="7ECF8344"/>
    <w:rsid w:val="7ED6FB3E"/>
    <w:rsid w:val="7EDB602D"/>
    <w:rsid w:val="7EDF0B49"/>
    <w:rsid w:val="7EDFEC24"/>
    <w:rsid w:val="7EE9AFF2"/>
    <w:rsid w:val="7EEA44C7"/>
    <w:rsid w:val="7EED2D5B"/>
    <w:rsid w:val="7EEDC4AF"/>
    <w:rsid w:val="7EEE9E16"/>
    <w:rsid w:val="7EF2E440"/>
    <w:rsid w:val="7EF34A6F"/>
    <w:rsid w:val="7EF5BD95"/>
    <w:rsid w:val="7EF7E87F"/>
    <w:rsid w:val="7EF7FB43"/>
    <w:rsid w:val="7EFB0A9E"/>
    <w:rsid w:val="7EFB70CE"/>
    <w:rsid w:val="7EFBDC7D"/>
    <w:rsid w:val="7EFDB6A1"/>
    <w:rsid w:val="7EFDE50D"/>
    <w:rsid w:val="7EFE2D74"/>
    <w:rsid w:val="7EFE5105"/>
    <w:rsid w:val="7EFF1433"/>
    <w:rsid w:val="7EFF16F6"/>
    <w:rsid w:val="7EFF213A"/>
    <w:rsid w:val="7EFF4143"/>
    <w:rsid w:val="7EFF4A0D"/>
    <w:rsid w:val="7EFF5EBE"/>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3FD4AB"/>
    <w:rsid w:val="7F3FD6CF"/>
    <w:rsid w:val="7F4E9C05"/>
    <w:rsid w:val="7F532DA4"/>
    <w:rsid w:val="7F59FBAD"/>
    <w:rsid w:val="7F5A1869"/>
    <w:rsid w:val="7F5D4CA1"/>
    <w:rsid w:val="7F5DCCCD"/>
    <w:rsid w:val="7F62A758"/>
    <w:rsid w:val="7F651B6B"/>
    <w:rsid w:val="7F66564B"/>
    <w:rsid w:val="7F6ECA34"/>
    <w:rsid w:val="7F736BB3"/>
    <w:rsid w:val="7F752089"/>
    <w:rsid w:val="7F759B80"/>
    <w:rsid w:val="7F770235"/>
    <w:rsid w:val="7F7A0D5A"/>
    <w:rsid w:val="7F7D6F11"/>
    <w:rsid w:val="7F7D72E0"/>
    <w:rsid w:val="7F7E62FE"/>
    <w:rsid w:val="7F7F4081"/>
    <w:rsid w:val="7F7F8BA7"/>
    <w:rsid w:val="7F7FD706"/>
    <w:rsid w:val="7F7FE757"/>
    <w:rsid w:val="7F7FEA65"/>
    <w:rsid w:val="7F8DE414"/>
    <w:rsid w:val="7F9509F6"/>
    <w:rsid w:val="7F979FD3"/>
    <w:rsid w:val="7F9A9519"/>
    <w:rsid w:val="7F9BBFCF"/>
    <w:rsid w:val="7F9F12B9"/>
    <w:rsid w:val="7FA73241"/>
    <w:rsid w:val="7FA7E5AA"/>
    <w:rsid w:val="7FA906A8"/>
    <w:rsid w:val="7FAD262F"/>
    <w:rsid w:val="7FADB99B"/>
    <w:rsid w:val="7FAF0973"/>
    <w:rsid w:val="7FAF8336"/>
    <w:rsid w:val="7FB7CA20"/>
    <w:rsid w:val="7FB7DD35"/>
    <w:rsid w:val="7FBC285B"/>
    <w:rsid w:val="7FBDFD35"/>
    <w:rsid w:val="7FBE3F1A"/>
    <w:rsid w:val="7FBEBEB0"/>
    <w:rsid w:val="7FBF0F57"/>
    <w:rsid w:val="7FBF1CE7"/>
    <w:rsid w:val="7FBF505F"/>
    <w:rsid w:val="7FBF919F"/>
    <w:rsid w:val="7FBFB947"/>
    <w:rsid w:val="7FBFE2FD"/>
    <w:rsid w:val="7FCBA216"/>
    <w:rsid w:val="7FCD55B3"/>
    <w:rsid w:val="7FCF1763"/>
    <w:rsid w:val="7FD0EDE2"/>
    <w:rsid w:val="7FD232CF"/>
    <w:rsid w:val="7FD39406"/>
    <w:rsid w:val="7FD500EF"/>
    <w:rsid w:val="7FD5DB77"/>
    <w:rsid w:val="7FD5F6B2"/>
    <w:rsid w:val="7FD71EF4"/>
    <w:rsid w:val="7FD76ED5"/>
    <w:rsid w:val="7FD7DCD4"/>
    <w:rsid w:val="7FD9A709"/>
    <w:rsid w:val="7FDA9C1E"/>
    <w:rsid w:val="7FDB5414"/>
    <w:rsid w:val="7FDD2849"/>
    <w:rsid w:val="7FDD30B5"/>
    <w:rsid w:val="7FDDDA05"/>
    <w:rsid w:val="7FDE0154"/>
    <w:rsid w:val="7FDE2D03"/>
    <w:rsid w:val="7FDF0374"/>
    <w:rsid w:val="7FDF4554"/>
    <w:rsid w:val="7FDF6165"/>
    <w:rsid w:val="7FDF62F6"/>
    <w:rsid w:val="7FDF6EEC"/>
    <w:rsid w:val="7FDF9878"/>
    <w:rsid w:val="7FDFF71C"/>
    <w:rsid w:val="7FE1423F"/>
    <w:rsid w:val="7FE5EE83"/>
    <w:rsid w:val="7FE7A13B"/>
    <w:rsid w:val="7FE7D156"/>
    <w:rsid w:val="7FE81F85"/>
    <w:rsid w:val="7FEA437C"/>
    <w:rsid w:val="7FEAB617"/>
    <w:rsid w:val="7FEB981D"/>
    <w:rsid w:val="7FEB9FD7"/>
    <w:rsid w:val="7FEBC153"/>
    <w:rsid w:val="7FECD89D"/>
    <w:rsid w:val="7FED05D8"/>
    <w:rsid w:val="7FED2FE7"/>
    <w:rsid w:val="7FEE5EC0"/>
    <w:rsid w:val="7FEEA687"/>
    <w:rsid w:val="7FEEA765"/>
    <w:rsid w:val="7FEF3DB7"/>
    <w:rsid w:val="7FEF4DB0"/>
    <w:rsid w:val="7FEF5E61"/>
    <w:rsid w:val="7FEF779A"/>
    <w:rsid w:val="7FEF8320"/>
    <w:rsid w:val="7FEFE316"/>
    <w:rsid w:val="7FEFF3CE"/>
    <w:rsid w:val="7FEFF988"/>
    <w:rsid w:val="7FF3054E"/>
    <w:rsid w:val="7FF3C790"/>
    <w:rsid w:val="7FF3D4B4"/>
    <w:rsid w:val="7FF49BA0"/>
    <w:rsid w:val="7FF57E64"/>
    <w:rsid w:val="7FF59EF7"/>
    <w:rsid w:val="7FF6014E"/>
    <w:rsid w:val="7FF70A8D"/>
    <w:rsid w:val="7FF7841C"/>
    <w:rsid w:val="7FF79A2F"/>
    <w:rsid w:val="7FF79E0F"/>
    <w:rsid w:val="7FF7AD73"/>
    <w:rsid w:val="7FF7AE27"/>
    <w:rsid w:val="7FF95C95"/>
    <w:rsid w:val="7FF9E5DC"/>
    <w:rsid w:val="7FFADCB3"/>
    <w:rsid w:val="7FFB0B36"/>
    <w:rsid w:val="7FFBB955"/>
    <w:rsid w:val="7FFBC8F2"/>
    <w:rsid w:val="7FFBE6EF"/>
    <w:rsid w:val="7FFBECDA"/>
    <w:rsid w:val="7FFC5E41"/>
    <w:rsid w:val="7FFD15EA"/>
    <w:rsid w:val="7FFD647B"/>
    <w:rsid w:val="7FFE0EB7"/>
    <w:rsid w:val="7FFE2D43"/>
    <w:rsid w:val="7FFE3F1F"/>
    <w:rsid w:val="7FFE6059"/>
    <w:rsid w:val="7FFE6B32"/>
    <w:rsid w:val="7FFE90E5"/>
    <w:rsid w:val="7FFEABF9"/>
    <w:rsid w:val="7FFEADFE"/>
    <w:rsid w:val="7FFEDEBC"/>
    <w:rsid w:val="7FFEE11D"/>
    <w:rsid w:val="7FFF38E2"/>
    <w:rsid w:val="7FFF4344"/>
    <w:rsid w:val="7FFF4553"/>
    <w:rsid w:val="7FFF7D41"/>
    <w:rsid w:val="7FFF950B"/>
    <w:rsid w:val="7FFFB338"/>
    <w:rsid w:val="7FFFB69F"/>
    <w:rsid w:val="7FFFE0A9"/>
    <w:rsid w:val="7FFFE917"/>
    <w:rsid w:val="7FFFEF51"/>
    <w:rsid w:val="856769F1"/>
    <w:rsid w:val="878BBF5A"/>
    <w:rsid w:val="886741FE"/>
    <w:rsid w:val="89CF1D98"/>
    <w:rsid w:val="8BBF9311"/>
    <w:rsid w:val="8BDE3ED4"/>
    <w:rsid w:val="8DFBC842"/>
    <w:rsid w:val="8ED7C19A"/>
    <w:rsid w:val="8EEEF1E8"/>
    <w:rsid w:val="8F5527E8"/>
    <w:rsid w:val="8F5FFE66"/>
    <w:rsid w:val="8F738877"/>
    <w:rsid w:val="8F7E7D85"/>
    <w:rsid w:val="8FCFEC67"/>
    <w:rsid w:val="8FFB6887"/>
    <w:rsid w:val="8FFF5A4D"/>
    <w:rsid w:val="8FFFEB91"/>
    <w:rsid w:val="92DEA558"/>
    <w:rsid w:val="92FDB425"/>
    <w:rsid w:val="9379CC95"/>
    <w:rsid w:val="93B96D56"/>
    <w:rsid w:val="93DE452D"/>
    <w:rsid w:val="95B9AA5C"/>
    <w:rsid w:val="96DF0BAC"/>
    <w:rsid w:val="972F6CFF"/>
    <w:rsid w:val="97BBDB9E"/>
    <w:rsid w:val="97E51B79"/>
    <w:rsid w:val="97E5F67E"/>
    <w:rsid w:val="97FDE061"/>
    <w:rsid w:val="99B9F37C"/>
    <w:rsid w:val="99E67E59"/>
    <w:rsid w:val="9B2BF831"/>
    <w:rsid w:val="9B6A78A1"/>
    <w:rsid w:val="9B7F74AA"/>
    <w:rsid w:val="9B7FA5B5"/>
    <w:rsid w:val="9B9ECE6A"/>
    <w:rsid w:val="9BCF3212"/>
    <w:rsid w:val="9BD700FA"/>
    <w:rsid w:val="9BDAE751"/>
    <w:rsid w:val="9BFA4877"/>
    <w:rsid w:val="9BFDA9B9"/>
    <w:rsid w:val="9BFFCE5E"/>
    <w:rsid w:val="9CDD68BD"/>
    <w:rsid w:val="9CF258E2"/>
    <w:rsid w:val="9CFDB1E6"/>
    <w:rsid w:val="9D1D3CE9"/>
    <w:rsid w:val="9DBE0C4A"/>
    <w:rsid w:val="9DED8F43"/>
    <w:rsid w:val="9DEF4AD5"/>
    <w:rsid w:val="9DF9C5D1"/>
    <w:rsid w:val="9DFBB23B"/>
    <w:rsid w:val="9E993BF0"/>
    <w:rsid w:val="9ECCC3CE"/>
    <w:rsid w:val="9EEBC2FA"/>
    <w:rsid w:val="9EECD5E1"/>
    <w:rsid w:val="9EED0E5E"/>
    <w:rsid w:val="9EFF63D0"/>
    <w:rsid w:val="9F33322C"/>
    <w:rsid w:val="9F370502"/>
    <w:rsid w:val="9F5BFDD6"/>
    <w:rsid w:val="9F7DC8E1"/>
    <w:rsid w:val="9F9D467E"/>
    <w:rsid w:val="9FD5BB96"/>
    <w:rsid w:val="9FD7768C"/>
    <w:rsid w:val="9FE36AE0"/>
    <w:rsid w:val="9FEF9D75"/>
    <w:rsid w:val="9FF7D87B"/>
    <w:rsid w:val="9FF7F80E"/>
    <w:rsid w:val="9FFD6819"/>
    <w:rsid w:val="9FFF9EED"/>
    <w:rsid w:val="A38E863A"/>
    <w:rsid w:val="A3DFCF16"/>
    <w:rsid w:val="A575634D"/>
    <w:rsid w:val="A57EDA5E"/>
    <w:rsid w:val="A5ADD129"/>
    <w:rsid w:val="A5FF95BE"/>
    <w:rsid w:val="A75C611E"/>
    <w:rsid w:val="A7974C99"/>
    <w:rsid w:val="A7ED053A"/>
    <w:rsid w:val="A7F7032C"/>
    <w:rsid w:val="A7FF35F6"/>
    <w:rsid w:val="A7FF913D"/>
    <w:rsid w:val="A9BD1F60"/>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B6D13"/>
    <w:rsid w:val="ACDD5308"/>
    <w:rsid w:val="ACDF8080"/>
    <w:rsid w:val="AD7DD8B5"/>
    <w:rsid w:val="AD7F38A2"/>
    <w:rsid w:val="AD7FBA59"/>
    <w:rsid w:val="AD970582"/>
    <w:rsid w:val="ADBB73F3"/>
    <w:rsid w:val="ADC358B8"/>
    <w:rsid w:val="ADFA229E"/>
    <w:rsid w:val="ADFBC9D7"/>
    <w:rsid w:val="ADFFBFB8"/>
    <w:rsid w:val="AE066B85"/>
    <w:rsid w:val="AE752BEC"/>
    <w:rsid w:val="AEF50F84"/>
    <w:rsid w:val="AEFA1BCF"/>
    <w:rsid w:val="AF6CC4AE"/>
    <w:rsid w:val="AF6F6C5F"/>
    <w:rsid w:val="AF79B496"/>
    <w:rsid w:val="AF7F4095"/>
    <w:rsid w:val="AFAFBBDE"/>
    <w:rsid w:val="AFD7123F"/>
    <w:rsid w:val="AFDF88B5"/>
    <w:rsid w:val="AFEA9A4C"/>
    <w:rsid w:val="AFEFFB0A"/>
    <w:rsid w:val="AFFB00C9"/>
    <w:rsid w:val="AFFB2892"/>
    <w:rsid w:val="AFFD34CA"/>
    <w:rsid w:val="AFFD6E8F"/>
    <w:rsid w:val="AFFD6EFB"/>
    <w:rsid w:val="AFFED56E"/>
    <w:rsid w:val="AFFF8A59"/>
    <w:rsid w:val="AFFFD2AB"/>
    <w:rsid w:val="AFFFED7B"/>
    <w:rsid w:val="B1FA728C"/>
    <w:rsid w:val="B2DF8DD8"/>
    <w:rsid w:val="B2F47022"/>
    <w:rsid w:val="B33C0D29"/>
    <w:rsid w:val="B3C458EF"/>
    <w:rsid w:val="B3E984D7"/>
    <w:rsid w:val="B3EFAFEC"/>
    <w:rsid w:val="B3F148B5"/>
    <w:rsid w:val="B3FE2263"/>
    <w:rsid w:val="B3FFC48B"/>
    <w:rsid w:val="B4FF9ACA"/>
    <w:rsid w:val="B5B576AC"/>
    <w:rsid w:val="B69BA5DD"/>
    <w:rsid w:val="B6F7CE56"/>
    <w:rsid w:val="B6F7EEC1"/>
    <w:rsid w:val="B6FEDD84"/>
    <w:rsid w:val="B733BC76"/>
    <w:rsid w:val="B747879A"/>
    <w:rsid w:val="B763EBBC"/>
    <w:rsid w:val="B76E694E"/>
    <w:rsid w:val="B76EFA11"/>
    <w:rsid w:val="B77ABF78"/>
    <w:rsid w:val="B77FC831"/>
    <w:rsid w:val="B78F7E39"/>
    <w:rsid w:val="B797D9A9"/>
    <w:rsid w:val="B79CE169"/>
    <w:rsid w:val="B79FF465"/>
    <w:rsid w:val="B7DFD8DF"/>
    <w:rsid w:val="B7EAB405"/>
    <w:rsid w:val="B7EDC966"/>
    <w:rsid w:val="B7F386E3"/>
    <w:rsid w:val="B7FB4C34"/>
    <w:rsid w:val="B7FC70DB"/>
    <w:rsid w:val="B7FF314F"/>
    <w:rsid w:val="B7FFB16E"/>
    <w:rsid w:val="B7FFD648"/>
    <w:rsid w:val="B8E7C6C0"/>
    <w:rsid w:val="B97FDCA6"/>
    <w:rsid w:val="B9BEC646"/>
    <w:rsid w:val="B9DE29B9"/>
    <w:rsid w:val="B9FA9178"/>
    <w:rsid w:val="B9FCE0B5"/>
    <w:rsid w:val="B9FF7F8E"/>
    <w:rsid w:val="B9FFB879"/>
    <w:rsid w:val="BA791E88"/>
    <w:rsid w:val="BAD603D9"/>
    <w:rsid w:val="BAEE8A21"/>
    <w:rsid w:val="BAEF907E"/>
    <w:rsid w:val="BAF9BF7C"/>
    <w:rsid w:val="BAFD707E"/>
    <w:rsid w:val="BB5D2838"/>
    <w:rsid w:val="BB7BF0F9"/>
    <w:rsid w:val="BB7D94EC"/>
    <w:rsid w:val="BB9F79A6"/>
    <w:rsid w:val="BBBC522F"/>
    <w:rsid w:val="BBBF8519"/>
    <w:rsid w:val="BBDA4C2A"/>
    <w:rsid w:val="BBDE722F"/>
    <w:rsid w:val="BBE69964"/>
    <w:rsid w:val="BBEF346B"/>
    <w:rsid w:val="BBEFF16C"/>
    <w:rsid w:val="BBF74192"/>
    <w:rsid w:val="BBFFE190"/>
    <w:rsid w:val="BC7F820E"/>
    <w:rsid w:val="BCB96F65"/>
    <w:rsid w:val="BCEF1F60"/>
    <w:rsid w:val="BCF70CED"/>
    <w:rsid w:val="BCF786A8"/>
    <w:rsid w:val="BCFFFB96"/>
    <w:rsid w:val="BD3710E7"/>
    <w:rsid w:val="BD3F42D7"/>
    <w:rsid w:val="BD4F02D5"/>
    <w:rsid w:val="BD5DDE85"/>
    <w:rsid w:val="BD7F915C"/>
    <w:rsid w:val="BDB98D7B"/>
    <w:rsid w:val="BDBD2207"/>
    <w:rsid w:val="BDBF922D"/>
    <w:rsid w:val="BDBFD108"/>
    <w:rsid w:val="BDD09CDB"/>
    <w:rsid w:val="BDD3C732"/>
    <w:rsid w:val="BDDB8DED"/>
    <w:rsid w:val="BDED2E20"/>
    <w:rsid w:val="BDF278CE"/>
    <w:rsid w:val="BDF62023"/>
    <w:rsid w:val="BDF78910"/>
    <w:rsid w:val="BDFBC3F4"/>
    <w:rsid w:val="BDFFAC50"/>
    <w:rsid w:val="BE0F68B4"/>
    <w:rsid w:val="BE16CC4E"/>
    <w:rsid w:val="BE3BE464"/>
    <w:rsid w:val="BE5F612F"/>
    <w:rsid w:val="BE5FDFDF"/>
    <w:rsid w:val="BE6F8172"/>
    <w:rsid w:val="BE6FD314"/>
    <w:rsid w:val="BE7F5975"/>
    <w:rsid w:val="BE963ED3"/>
    <w:rsid w:val="BE9A7990"/>
    <w:rsid w:val="BEB746B8"/>
    <w:rsid w:val="BEBB3B93"/>
    <w:rsid w:val="BEC63099"/>
    <w:rsid w:val="BEDCFFDE"/>
    <w:rsid w:val="BEDE62FB"/>
    <w:rsid w:val="BEED22AE"/>
    <w:rsid w:val="BEEFA20C"/>
    <w:rsid w:val="BEEFB08B"/>
    <w:rsid w:val="BEEFD233"/>
    <w:rsid w:val="BEF89F54"/>
    <w:rsid w:val="BEFD56AD"/>
    <w:rsid w:val="BEFD774F"/>
    <w:rsid w:val="BEFD8481"/>
    <w:rsid w:val="BF192104"/>
    <w:rsid w:val="BF1AA928"/>
    <w:rsid w:val="BF3BCDCD"/>
    <w:rsid w:val="BF3F0BF6"/>
    <w:rsid w:val="BF675C6D"/>
    <w:rsid w:val="BF757860"/>
    <w:rsid w:val="BF765913"/>
    <w:rsid w:val="BF76CF20"/>
    <w:rsid w:val="BF79BC79"/>
    <w:rsid w:val="BF7F3043"/>
    <w:rsid w:val="BF8B6E62"/>
    <w:rsid w:val="BF8F42E7"/>
    <w:rsid w:val="BFAF6BEA"/>
    <w:rsid w:val="BFB3220D"/>
    <w:rsid w:val="BFB71D93"/>
    <w:rsid w:val="BFB7BE07"/>
    <w:rsid w:val="BFBBE20F"/>
    <w:rsid w:val="BFBE9210"/>
    <w:rsid w:val="BFBE9B55"/>
    <w:rsid w:val="BFBED6FD"/>
    <w:rsid w:val="BFBFC2B5"/>
    <w:rsid w:val="BFC5A207"/>
    <w:rsid w:val="BFC70874"/>
    <w:rsid w:val="BFD64240"/>
    <w:rsid w:val="BFD7EC7E"/>
    <w:rsid w:val="BFD99681"/>
    <w:rsid w:val="BFDBAB17"/>
    <w:rsid w:val="BFED66DB"/>
    <w:rsid w:val="BFEF1CF0"/>
    <w:rsid w:val="BFEFCAFA"/>
    <w:rsid w:val="BFF211F5"/>
    <w:rsid w:val="BFF2FED5"/>
    <w:rsid w:val="BFF6098A"/>
    <w:rsid w:val="BFF6ABA0"/>
    <w:rsid w:val="BFF79ED1"/>
    <w:rsid w:val="BFF7F2DC"/>
    <w:rsid w:val="BFFA9525"/>
    <w:rsid w:val="BFFABA5D"/>
    <w:rsid w:val="BFFBC0B7"/>
    <w:rsid w:val="BFFDB49D"/>
    <w:rsid w:val="BFFDD965"/>
    <w:rsid w:val="BFFE9173"/>
    <w:rsid w:val="BFFF05AA"/>
    <w:rsid w:val="BFFF2794"/>
    <w:rsid w:val="BFFF2E6D"/>
    <w:rsid w:val="BFFFD7C6"/>
    <w:rsid w:val="BFFFDD6C"/>
    <w:rsid w:val="C175FC02"/>
    <w:rsid w:val="C22D1432"/>
    <w:rsid w:val="C377D33E"/>
    <w:rsid w:val="C3817AF8"/>
    <w:rsid w:val="C45F861A"/>
    <w:rsid w:val="C57F61B2"/>
    <w:rsid w:val="C6BF8044"/>
    <w:rsid w:val="C6F79AA3"/>
    <w:rsid w:val="C6FF5552"/>
    <w:rsid w:val="C74F1025"/>
    <w:rsid w:val="C7A6E0C6"/>
    <w:rsid w:val="C7D5E229"/>
    <w:rsid w:val="C7DF748C"/>
    <w:rsid w:val="C8DC7459"/>
    <w:rsid w:val="C9269BA7"/>
    <w:rsid w:val="C97B931B"/>
    <w:rsid w:val="C9F79D00"/>
    <w:rsid w:val="CADC6933"/>
    <w:rsid w:val="CADFB2B8"/>
    <w:rsid w:val="CAFAA37E"/>
    <w:rsid w:val="CAFF248B"/>
    <w:rsid w:val="CB3F4CF6"/>
    <w:rsid w:val="CB75B92C"/>
    <w:rsid w:val="CBB7F621"/>
    <w:rsid w:val="CBD7FC94"/>
    <w:rsid w:val="CC4EC24D"/>
    <w:rsid w:val="CCDEA039"/>
    <w:rsid w:val="CD2F8F6B"/>
    <w:rsid w:val="CD3FEDD1"/>
    <w:rsid w:val="CD43FCA8"/>
    <w:rsid w:val="CDB6A013"/>
    <w:rsid w:val="CDD794E5"/>
    <w:rsid w:val="CDE3ACC7"/>
    <w:rsid w:val="CDEF313F"/>
    <w:rsid w:val="CE59865A"/>
    <w:rsid w:val="CEE3C93B"/>
    <w:rsid w:val="CEEF2283"/>
    <w:rsid w:val="CEEF9173"/>
    <w:rsid w:val="CEF962AC"/>
    <w:rsid w:val="CF3D4C14"/>
    <w:rsid w:val="CF6FEB97"/>
    <w:rsid w:val="CF7ACD1D"/>
    <w:rsid w:val="CF7BCA57"/>
    <w:rsid w:val="CF9FE00B"/>
    <w:rsid w:val="CFB3E3C7"/>
    <w:rsid w:val="CFB439D7"/>
    <w:rsid w:val="CFB62C4F"/>
    <w:rsid w:val="CFB765EE"/>
    <w:rsid w:val="CFCF5FAD"/>
    <w:rsid w:val="CFD4E29C"/>
    <w:rsid w:val="CFD744CA"/>
    <w:rsid w:val="CFFB8D17"/>
    <w:rsid w:val="CFFD05AF"/>
    <w:rsid w:val="CFFF309A"/>
    <w:rsid w:val="CFFF87B9"/>
    <w:rsid w:val="CFFF9A12"/>
    <w:rsid w:val="CFFFD98E"/>
    <w:rsid w:val="D0F8E025"/>
    <w:rsid w:val="D1AC3D17"/>
    <w:rsid w:val="D1F2D687"/>
    <w:rsid w:val="D2E7FAF9"/>
    <w:rsid w:val="D36F8E10"/>
    <w:rsid w:val="D3AF74CA"/>
    <w:rsid w:val="D3B189C1"/>
    <w:rsid w:val="D3BB345C"/>
    <w:rsid w:val="D3F1EEC3"/>
    <w:rsid w:val="D3F76A6F"/>
    <w:rsid w:val="D427A4B1"/>
    <w:rsid w:val="D4BF6AC9"/>
    <w:rsid w:val="D5080E33"/>
    <w:rsid w:val="D57A9E7B"/>
    <w:rsid w:val="D5E8B31C"/>
    <w:rsid w:val="D5E8D377"/>
    <w:rsid w:val="D5FB38B5"/>
    <w:rsid w:val="D5FE677E"/>
    <w:rsid w:val="D657661F"/>
    <w:rsid w:val="D67F4E7E"/>
    <w:rsid w:val="D6DF4AEF"/>
    <w:rsid w:val="D6EB6563"/>
    <w:rsid w:val="D73E3470"/>
    <w:rsid w:val="D75F352F"/>
    <w:rsid w:val="D75FED38"/>
    <w:rsid w:val="D76B9FBD"/>
    <w:rsid w:val="D7762C20"/>
    <w:rsid w:val="D77D4576"/>
    <w:rsid w:val="D787430D"/>
    <w:rsid w:val="D79D7F56"/>
    <w:rsid w:val="D7A7460B"/>
    <w:rsid w:val="D7A9E1F3"/>
    <w:rsid w:val="D7DBC2D6"/>
    <w:rsid w:val="D7DF94DA"/>
    <w:rsid w:val="D7E7FDB1"/>
    <w:rsid w:val="D7EB2526"/>
    <w:rsid w:val="D7EBD1A5"/>
    <w:rsid w:val="D7EED989"/>
    <w:rsid w:val="D7EF7522"/>
    <w:rsid w:val="D7F62A5C"/>
    <w:rsid w:val="D7F6EC94"/>
    <w:rsid w:val="D7FB7081"/>
    <w:rsid w:val="D7FB92C9"/>
    <w:rsid w:val="D7FD752F"/>
    <w:rsid w:val="D7FDE049"/>
    <w:rsid w:val="D7FE3BC1"/>
    <w:rsid w:val="D7FF623E"/>
    <w:rsid w:val="D8FD8BAE"/>
    <w:rsid w:val="D9DB3543"/>
    <w:rsid w:val="D9EFD876"/>
    <w:rsid w:val="D9F6D5BA"/>
    <w:rsid w:val="DA1E7371"/>
    <w:rsid w:val="DA9DC0C0"/>
    <w:rsid w:val="DA9FB462"/>
    <w:rsid w:val="DABFE3D1"/>
    <w:rsid w:val="DACDB64B"/>
    <w:rsid w:val="DADB344B"/>
    <w:rsid w:val="DAE7EB47"/>
    <w:rsid w:val="DB370689"/>
    <w:rsid w:val="DB3F8FB7"/>
    <w:rsid w:val="DB5D723C"/>
    <w:rsid w:val="DB5FD143"/>
    <w:rsid w:val="DB65D867"/>
    <w:rsid w:val="DB6FB61A"/>
    <w:rsid w:val="DB73D7DF"/>
    <w:rsid w:val="DB7920D3"/>
    <w:rsid w:val="DB7DAEAA"/>
    <w:rsid w:val="DB7E8835"/>
    <w:rsid w:val="DBBD03E2"/>
    <w:rsid w:val="DBBF8FCF"/>
    <w:rsid w:val="DBBFE949"/>
    <w:rsid w:val="DBD34663"/>
    <w:rsid w:val="DBE6FA4B"/>
    <w:rsid w:val="DBEAF5C3"/>
    <w:rsid w:val="DBEAFEFE"/>
    <w:rsid w:val="DBEB2DA7"/>
    <w:rsid w:val="DBEB7774"/>
    <w:rsid w:val="DBEF9235"/>
    <w:rsid w:val="DBF51F05"/>
    <w:rsid w:val="DBFBF72A"/>
    <w:rsid w:val="DBFFA3A0"/>
    <w:rsid w:val="DBFFE62A"/>
    <w:rsid w:val="DCA61F6F"/>
    <w:rsid w:val="DCBE0BF0"/>
    <w:rsid w:val="DCEFDE86"/>
    <w:rsid w:val="DD36A020"/>
    <w:rsid w:val="DD7DD9E1"/>
    <w:rsid w:val="DD7F06CB"/>
    <w:rsid w:val="DD7F2E4B"/>
    <w:rsid w:val="DDA3173A"/>
    <w:rsid w:val="DDBB2901"/>
    <w:rsid w:val="DDBF6199"/>
    <w:rsid w:val="DDDDC088"/>
    <w:rsid w:val="DDEBBDBE"/>
    <w:rsid w:val="DDEF4DF2"/>
    <w:rsid w:val="DDF7B4D3"/>
    <w:rsid w:val="DDF95F57"/>
    <w:rsid w:val="DDFA1386"/>
    <w:rsid w:val="DDFCBE8A"/>
    <w:rsid w:val="DDFF957E"/>
    <w:rsid w:val="DDFFF738"/>
    <w:rsid w:val="DE4F234D"/>
    <w:rsid w:val="DE6F166E"/>
    <w:rsid w:val="DE7BBBFD"/>
    <w:rsid w:val="DE7EE9F8"/>
    <w:rsid w:val="DE9B9269"/>
    <w:rsid w:val="DEA70FC3"/>
    <w:rsid w:val="DEDD4511"/>
    <w:rsid w:val="DEED798E"/>
    <w:rsid w:val="DEEE2340"/>
    <w:rsid w:val="DEF5439C"/>
    <w:rsid w:val="DEF773E0"/>
    <w:rsid w:val="DEFA25C8"/>
    <w:rsid w:val="DEFBAEFB"/>
    <w:rsid w:val="DEFD88FB"/>
    <w:rsid w:val="DEFD9079"/>
    <w:rsid w:val="DEFFC765"/>
    <w:rsid w:val="DEFFF55F"/>
    <w:rsid w:val="DF1E23E0"/>
    <w:rsid w:val="DF1FFAD4"/>
    <w:rsid w:val="DF2BE63B"/>
    <w:rsid w:val="DF2C3AB6"/>
    <w:rsid w:val="DF55E0BC"/>
    <w:rsid w:val="DF56764C"/>
    <w:rsid w:val="DF5758BD"/>
    <w:rsid w:val="DF752FFD"/>
    <w:rsid w:val="DF758D7C"/>
    <w:rsid w:val="DF7748EA"/>
    <w:rsid w:val="DF7D6912"/>
    <w:rsid w:val="DF7DECCB"/>
    <w:rsid w:val="DF7E224E"/>
    <w:rsid w:val="DF7F5067"/>
    <w:rsid w:val="DF7FB3AB"/>
    <w:rsid w:val="DF7FE7C4"/>
    <w:rsid w:val="DF9EA8A9"/>
    <w:rsid w:val="DF9EDCB7"/>
    <w:rsid w:val="DFA77D30"/>
    <w:rsid w:val="DFAB3F56"/>
    <w:rsid w:val="DFAB9A55"/>
    <w:rsid w:val="DFADB1E4"/>
    <w:rsid w:val="DFB7D4DA"/>
    <w:rsid w:val="DFBF3DB0"/>
    <w:rsid w:val="DFBFB69D"/>
    <w:rsid w:val="DFD5D6FB"/>
    <w:rsid w:val="DFDB6BDD"/>
    <w:rsid w:val="DFDCBDA7"/>
    <w:rsid w:val="DFDD2D3B"/>
    <w:rsid w:val="DFDF25CB"/>
    <w:rsid w:val="DFE3D864"/>
    <w:rsid w:val="DFE71C10"/>
    <w:rsid w:val="DFE734D9"/>
    <w:rsid w:val="DFEAD540"/>
    <w:rsid w:val="DFEDD5D1"/>
    <w:rsid w:val="DFEF9143"/>
    <w:rsid w:val="DFEFBEAE"/>
    <w:rsid w:val="DFEFC296"/>
    <w:rsid w:val="DFF51B9C"/>
    <w:rsid w:val="DFF57B4B"/>
    <w:rsid w:val="DFF70781"/>
    <w:rsid w:val="DFF7BB33"/>
    <w:rsid w:val="DFF7D1B1"/>
    <w:rsid w:val="DFFA0F0D"/>
    <w:rsid w:val="DFFA2D74"/>
    <w:rsid w:val="DFFAE45C"/>
    <w:rsid w:val="DFFB920F"/>
    <w:rsid w:val="DFFBDD6E"/>
    <w:rsid w:val="DFFD987D"/>
    <w:rsid w:val="DFFDA77F"/>
    <w:rsid w:val="DFFDB25B"/>
    <w:rsid w:val="DFFF1FED"/>
    <w:rsid w:val="DFFF5D80"/>
    <w:rsid w:val="DFFF7A38"/>
    <w:rsid w:val="DFFFDC09"/>
    <w:rsid w:val="E19F74C6"/>
    <w:rsid w:val="E1BE4097"/>
    <w:rsid w:val="E1F7CD63"/>
    <w:rsid w:val="E1FDD30A"/>
    <w:rsid w:val="E22E61CF"/>
    <w:rsid w:val="E297809D"/>
    <w:rsid w:val="E2F57C1B"/>
    <w:rsid w:val="E2FF1653"/>
    <w:rsid w:val="E35CC2CE"/>
    <w:rsid w:val="E37FE289"/>
    <w:rsid w:val="E385F030"/>
    <w:rsid w:val="E3D9B64D"/>
    <w:rsid w:val="E3EBB47D"/>
    <w:rsid w:val="E3EE2D82"/>
    <w:rsid w:val="E5B5433D"/>
    <w:rsid w:val="E5D8E41E"/>
    <w:rsid w:val="E5DBD33F"/>
    <w:rsid w:val="E5EF2851"/>
    <w:rsid w:val="E5F7D947"/>
    <w:rsid w:val="E66BF51E"/>
    <w:rsid w:val="E6BF21F0"/>
    <w:rsid w:val="E6BF619F"/>
    <w:rsid w:val="E6E3C5F0"/>
    <w:rsid w:val="E6EFE6BD"/>
    <w:rsid w:val="E6F30116"/>
    <w:rsid w:val="E6FEFB7B"/>
    <w:rsid w:val="E6FF0D20"/>
    <w:rsid w:val="E6FF1BD9"/>
    <w:rsid w:val="E72B99B6"/>
    <w:rsid w:val="E7785746"/>
    <w:rsid w:val="E779E75A"/>
    <w:rsid w:val="E78FF6AA"/>
    <w:rsid w:val="E7AFCCAB"/>
    <w:rsid w:val="E7BBBE69"/>
    <w:rsid w:val="E7CFD029"/>
    <w:rsid w:val="E7EF5D44"/>
    <w:rsid w:val="E7EFD7B3"/>
    <w:rsid w:val="E7F1DFBF"/>
    <w:rsid w:val="E7F47F0E"/>
    <w:rsid w:val="E7FB6BAA"/>
    <w:rsid w:val="E7FBC160"/>
    <w:rsid w:val="E7FD447C"/>
    <w:rsid w:val="E7FE694C"/>
    <w:rsid w:val="E7FF9A1A"/>
    <w:rsid w:val="E7FFC760"/>
    <w:rsid w:val="E7FFCEF3"/>
    <w:rsid w:val="E879A845"/>
    <w:rsid w:val="E8EF498B"/>
    <w:rsid w:val="E8FAACB0"/>
    <w:rsid w:val="E97B7F01"/>
    <w:rsid w:val="E97F6AF6"/>
    <w:rsid w:val="E9B838B1"/>
    <w:rsid w:val="E9D36EAE"/>
    <w:rsid w:val="E9D78029"/>
    <w:rsid w:val="E9E62B3C"/>
    <w:rsid w:val="E9EF6A48"/>
    <w:rsid w:val="E9F410F8"/>
    <w:rsid w:val="E9FCF86D"/>
    <w:rsid w:val="E9FD3D14"/>
    <w:rsid w:val="E9FEB65B"/>
    <w:rsid w:val="E9FF567C"/>
    <w:rsid w:val="EA5F8B2D"/>
    <w:rsid w:val="EA7A1829"/>
    <w:rsid w:val="EA7FE300"/>
    <w:rsid w:val="EAAEE141"/>
    <w:rsid w:val="EAB7969D"/>
    <w:rsid w:val="EABFA8D8"/>
    <w:rsid w:val="EAE6EC88"/>
    <w:rsid w:val="EAF627E0"/>
    <w:rsid w:val="EAF66968"/>
    <w:rsid w:val="EAF74962"/>
    <w:rsid w:val="EAFDA722"/>
    <w:rsid w:val="EAFF4BEE"/>
    <w:rsid w:val="EB1750F4"/>
    <w:rsid w:val="EB317784"/>
    <w:rsid w:val="EB3937BB"/>
    <w:rsid w:val="EB3DA1F8"/>
    <w:rsid w:val="EB4D66A3"/>
    <w:rsid w:val="EB560F3D"/>
    <w:rsid w:val="EB6EB4A9"/>
    <w:rsid w:val="EB7781B6"/>
    <w:rsid w:val="EB7A728C"/>
    <w:rsid w:val="EBABBC6B"/>
    <w:rsid w:val="EBBF0073"/>
    <w:rsid w:val="EBBF6C36"/>
    <w:rsid w:val="EBD7AB46"/>
    <w:rsid w:val="EBDB6EAD"/>
    <w:rsid w:val="EBDD4880"/>
    <w:rsid w:val="EBDD5028"/>
    <w:rsid w:val="EBE98177"/>
    <w:rsid w:val="EBF5DABD"/>
    <w:rsid w:val="EBF725E6"/>
    <w:rsid w:val="EBF7F250"/>
    <w:rsid w:val="EBFD5800"/>
    <w:rsid w:val="EBFF99F0"/>
    <w:rsid w:val="EBFFED65"/>
    <w:rsid w:val="EC3F4107"/>
    <w:rsid w:val="ECBE870D"/>
    <w:rsid w:val="ECCFCABF"/>
    <w:rsid w:val="ECF68357"/>
    <w:rsid w:val="ED3AF84A"/>
    <w:rsid w:val="ED3E8DCE"/>
    <w:rsid w:val="ED457A82"/>
    <w:rsid w:val="ED5E20C3"/>
    <w:rsid w:val="ED5E5821"/>
    <w:rsid w:val="ED77F700"/>
    <w:rsid w:val="ED7D5FB0"/>
    <w:rsid w:val="ED7EBBBE"/>
    <w:rsid w:val="ED7F9B2E"/>
    <w:rsid w:val="ED7FFD62"/>
    <w:rsid w:val="ED994E17"/>
    <w:rsid w:val="EDBDE35A"/>
    <w:rsid w:val="EDC7B50C"/>
    <w:rsid w:val="EDDA24FC"/>
    <w:rsid w:val="EDFB7A63"/>
    <w:rsid w:val="EDFB834E"/>
    <w:rsid w:val="EDFBC016"/>
    <w:rsid w:val="EDFBF0DA"/>
    <w:rsid w:val="EDFDFC5A"/>
    <w:rsid w:val="EDFF379D"/>
    <w:rsid w:val="EDFFAE75"/>
    <w:rsid w:val="EDFFB065"/>
    <w:rsid w:val="EE1E7BE7"/>
    <w:rsid w:val="EE579B44"/>
    <w:rsid w:val="EE6AFA59"/>
    <w:rsid w:val="EE758774"/>
    <w:rsid w:val="EE8E1C73"/>
    <w:rsid w:val="EE994E30"/>
    <w:rsid w:val="EEC79FA8"/>
    <w:rsid w:val="EED7DF33"/>
    <w:rsid w:val="EEE7829C"/>
    <w:rsid w:val="EEF3B7B9"/>
    <w:rsid w:val="EEF7689D"/>
    <w:rsid w:val="EEFB9D6E"/>
    <w:rsid w:val="EEFCD448"/>
    <w:rsid w:val="EEFD4566"/>
    <w:rsid w:val="EEFF5EDE"/>
    <w:rsid w:val="EEFFBB87"/>
    <w:rsid w:val="EF3F75F6"/>
    <w:rsid w:val="EF5BBB3E"/>
    <w:rsid w:val="EF5C3C20"/>
    <w:rsid w:val="EF675FF1"/>
    <w:rsid w:val="EF76C74D"/>
    <w:rsid w:val="EF780C29"/>
    <w:rsid w:val="EF792A50"/>
    <w:rsid w:val="EF7B671B"/>
    <w:rsid w:val="EF7BA553"/>
    <w:rsid w:val="EF7D3048"/>
    <w:rsid w:val="EF7E6D7C"/>
    <w:rsid w:val="EF7EF8DA"/>
    <w:rsid w:val="EF7F4021"/>
    <w:rsid w:val="EF7FBE4D"/>
    <w:rsid w:val="EFA59F96"/>
    <w:rsid w:val="EFABE406"/>
    <w:rsid w:val="EFAF001D"/>
    <w:rsid w:val="EFB747A0"/>
    <w:rsid w:val="EFBBA7C0"/>
    <w:rsid w:val="EFBE49D2"/>
    <w:rsid w:val="EFBF197E"/>
    <w:rsid w:val="EFBFA87B"/>
    <w:rsid w:val="EFBFE406"/>
    <w:rsid w:val="EFC924B6"/>
    <w:rsid w:val="EFCA3BB0"/>
    <w:rsid w:val="EFD62B0C"/>
    <w:rsid w:val="EFD9A1D8"/>
    <w:rsid w:val="EFDA80BF"/>
    <w:rsid w:val="EFDDE47A"/>
    <w:rsid w:val="EFDE9B51"/>
    <w:rsid w:val="EFDEB539"/>
    <w:rsid w:val="EFE6ECB7"/>
    <w:rsid w:val="EFE7B998"/>
    <w:rsid w:val="EFE7E5EC"/>
    <w:rsid w:val="EFEA7D5B"/>
    <w:rsid w:val="EFED498C"/>
    <w:rsid w:val="EFED99BF"/>
    <w:rsid w:val="EFEECDB7"/>
    <w:rsid w:val="EFEF2906"/>
    <w:rsid w:val="EFEF6CDC"/>
    <w:rsid w:val="EFEF72BD"/>
    <w:rsid w:val="EFEFF34A"/>
    <w:rsid w:val="EFF3BFB7"/>
    <w:rsid w:val="EFF68A98"/>
    <w:rsid w:val="EFF7934C"/>
    <w:rsid w:val="EFF7DFA3"/>
    <w:rsid w:val="EFF934BE"/>
    <w:rsid w:val="EFFA70B7"/>
    <w:rsid w:val="EFFD145C"/>
    <w:rsid w:val="EFFDB996"/>
    <w:rsid w:val="EFFF2C9B"/>
    <w:rsid w:val="EFFF3F43"/>
    <w:rsid w:val="EFFF6748"/>
    <w:rsid w:val="EFFF6840"/>
    <w:rsid w:val="EFFF7A1B"/>
    <w:rsid w:val="EFFF9B30"/>
    <w:rsid w:val="EFFFB189"/>
    <w:rsid w:val="EFFFE599"/>
    <w:rsid w:val="F0F94EE3"/>
    <w:rsid w:val="F0FB4779"/>
    <w:rsid w:val="F14E68EB"/>
    <w:rsid w:val="F17F8C07"/>
    <w:rsid w:val="F18C82C3"/>
    <w:rsid w:val="F1BA25BA"/>
    <w:rsid w:val="F1BF1234"/>
    <w:rsid w:val="F1BFDF14"/>
    <w:rsid w:val="F1DFCCE8"/>
    <w:rsid w:val="F1EAAB38"/>
    <w:rsid w:val="F1FC4347"/>
    <w:rsid w:val="F1FFB93C"/>
    <w:rsid w:val="F21FBA6B"/>
    <w:rsid w:val="F27B7141"/>
    <w:rsid w:val="F27FA38A"/>
    <w:rsid w:val="F2BB2614"/>
    <w:rsid w:val="F2CFD35C"/>
    <w:rsid w:val="F2DF6F80"/>
    <w:rsid w:val="F2F83809"/>
    <w:rsid w:val="F2FB1ABA"/>
    <w:rsid w:val="F2FD2B9E"/>
    <w:rsid w:val="F2FF12B4"/>
    <w:rsid w:val="F2FF721A"/>
    <w:rsid w:val="F36F20A8"/>
    <w:rsid w:val="F3724F2C"/>
    <w:rsid w:val="F37D22E1"/>
    <w:rsid w:val="F37D89A6"/>
    <w:rsid w:val="F37F4A1B"/>
    <w:rsid w:val="F37F60F1"/>
    <w:rsid w:val="F3B2C41A"/>
    <w:rsid w:val="F3B57471"/>
    <w:rsid w:val="F3BE45FB"/>
    <w:rsid w:val="F3C7602B"/>
    <w:rsid w:val="F3CEB86F"/>
    <w:rsid w:val="F3D294D4"/>
    <w:rsid w:val="F3D9CD8D"/>
    <w:rsid w:val="F3DB2C35"/>
    <w:rsid w:val="F3EB7093"/>
    <w:rsid w:val="F3F7D134"/>
    <w:rsid w:val="F3F7F6B9"/>
    <w:rsid w:val="F3FBEC53"/>
    <w:rsid w:val="F3FE868E"/>
    <w:rsid w:val="F3FEA41B"/>
    <w:rsid w:val="F3FEF4FE"/>
    <w:rsid w:val="F46DC9F9"/>
    <w:rsid w:val="F49B07CE"/>
    <w:rsid w:val="F4B95111"/>
    <w:rsid w:val="F4CA5E92"/>
    <w:rsid w:val="F4ED4C53"/>
    <w:rsid w:val="F4FDB1E4"/>
    <w:rsid w:val="F53DFE23"/>
    <w:rsid w:val="F552A8DB"/>
    <w:rsid w:val="F56B5BAD"/>
    <w:rsid w:val="F5729ABB"/>
    <w:rsid w:val="F57EA537"/>
    <w:rsid w:val="F57F4DA8"/>
    <w:rsid w:val="F58FFD66"/>
    <w:rsid w:val="F5B9D0C9"/>
    <w:rsid w:val="F5BDD1EE"/>
    <w:rsid w:val="F5CF8F43"/>
    <w:rsid w:val="F5E7485D"/>
    <w:rsid w:val="F5E78F19"/>
    <w:rsid w:val="F5EA8D2E"/>
    <w:rsid w:val="F5EBBEC7"/>
    <w:rsid w:val="F5F58577"/>
    <w:rsid w:val="F5F7717B"/>
    <w:rsid w:val="F5F7CC98"/>
    <w:rsid w:val="F5F908CE"/>
    <w:rsid w:val="F5F91F09"/>
    <w:rsid w:val="F5FE5C2F"/>
    <w:rsid w:val="F5FFBB49"/>
    <w:rsid w:val="F62D44B6"/>
    <w:rsid w:val="F6BF00C6"/>
    <w:rsid w:val="F6F5656B"/>
    <w:rsid w:val="F6F7948A"/>
    <w:rsid w:val="F6FA9E45"/>
    <w:rsid w:val="F6FB0B5E"/>
    <w:rsid w:val="F6FBD95B"/>
    <w:rsid w:val="F6FD14F3"/>
    <w:rsid w:val="F6FF5BCE"/>
    <w:rsid w:val="F6FFD7B4"/>
    <w:rsid w:val="F71E64CF"/>
    <w:rsid w:val="F73D9369"/>
    <w:rsid w:val="F73FC669"/>
    <w:rsid w:val="F75620E8"/>
    <w:rsid w:val="F756DDF9"/>
    <w:rsid w:val="F75C7C86"/>
    <w:rsid w:val="F76E9065"/>
    <w:rsid w:val="F7751416"/>
    <w:rsid w:val="F77570B5"/>
    <w:rsid w:val="F7767906"/>
    <w:rsid w:val="F7792F0B"/>
    <w:rsid w:val="F77D7CB4"/>
    <w:rsid w:val="F787B41F"/>
    <w:rsid w:val="F78FE489"/>
    <w:rsid w:val="F79B70F7"/>
    <w:rsid w:val="F79F3EE3"/>
    <w:rsid w:val="F7A756C3"/>
    <w:rsid w:val="F7A7BE7D"/>
    <w:rsid w:val="F7B3D3A1"/>
    <w:rsid w:val="F7B63B30"/>
    <w:rsid w:val="F7B77A11"/>
    <w:rsid w:val="F7BBDB1B"/>
    <w:rsid w:val="F7BBF1CE"/>
    <w:rsid w:val="F7BD39CA"/>
    <w:rsid w:val="F7BD85E5"/>
    <w:rsid w:val="F7BDB8BA"/>
    <w:rsid w:val="F7BDD0B4"/>
    <w:rsid w:val="F7BDEEFB"/>
    <w:rsid w:val="F7BEC53E"/>
    <w:rsid w:val="F7CB21F0"/>
    <w:rsid w:val="F7CFDD56"/>
    <w:rsid w:val="F7D58A60"/>
    <w:rsid w:val="F7D72319"/>
    <w:rsid w:val="F7D9F7D4"/>
    <w:rsid w:val="F7E302BA"/>
    <w:rsid w:val="F7E7E296"/>
    <w:rsid w:val="F7E9353E"/>
    <w:rsid w:val="F7ED4F59"/>
    <w:rsid w:val="F7ED7240"/>
    <w:rsid w:val="F7EDFDE8"/>
    <w:rsid w:val="F7EF7726"/>
    <w:rsid w:val="F7F32E55"/>
    <w:rsid w:val="F7F6422D"/>
    <w:rsid w:val="F7F696AC"/>
    <w:rsid w:val="F7F7DA2F"/>
    <w:rsid w:val="F7F9A69B"/>
    <w:rsid w:val="F7FA51F0"/>
    <w:rsid w:val="F7FB2A75"/>
    <w:rsid w:val="F7FCA273"/>
    <w:rsid w:val="F7FE4367"/>
    <w:rsid w:val="F7FEBB66"/>
    <w:rsid w:val="F7FED789"/>
    <w:rsid w:val="F7FF14E5"/>
    <w:rsid w:val="F7FF335C"/>
    <w:rsid w:val="F7FF49A9"/>
    <w:rsid w:val="F7FF595B"/>
    <w:rsid w:val="F7FF5CC8"/>
    <w:rsid w:val="F7FF9055"/>
    <w:rsid w:val="F7FFA505"/>
    <w:rsid w:val="F7FFB3FC"/>
    <w:rsid w:val="F7FFEAAB"/>
    <w:rsid w:val="F7FFFCF3"/>
    <w:rsid w:val="F83DD696"/>
    <w:rsid w:val="F86F379F"/>
    <w:rsid w:val="F8BB4BE7"/>
    <w:rsid w:val="F8BB73F4"/>
    <w:rsid w:val="F8DB69EF"/>
    <w:rsid w:val="F8EA648A"/>
    <w:rsid w:val="F8F4F377"/>
    <w:rsid w:val="F8FC4D81"/>
    <w:rsid w:val="F91F16CA"/>
    <w:rsid w:val="F93F3157"/>
    <w:rsid w:val="F93F5FE1"/>
    <w:rsid w:val="F95B1791"/>
    <w:rsid w:val="F967DB1B"/>
    <w:rsid w:val="F9761257"/>
    <w:rsid w:val="F9AF55C0"/>
    <w:rsid w:val="F9BF6C9A"/>
    <w:rsid w:val="F9D3BAC4"/>
    <w:rsid w:val="F9DB20CF"/>
    <w:rsid w:val="F9DB80A2"/>
    <w:rsid w:val="F9DE2760"/>
    <w:rsid w:val="F9EBFAC9"/>
    <w:rsid w:val="F9ED89BC"/>
    <w:rsid w:val="F9F7BAA1"/>
    <w:rsid w:val="F9FB7534"/>
    <w:rsid w:val="F9FE25F2"/>
    <w:rsid w:val="F9FE8762"/>
    <w:rsid w:val="F9FEC024"/>
    <w:rsid w:val="FA3715A0"/>
    <w:rsid w:val="FA3F6127"/>
    <w:rsid w:val="FA5FCBC5"/>
    <w:rsid w:val="FA779222"/>
    <w:rsid w:val="FA7AB7E2"/>
    <w:rsid w:val="FA7D18E6"/>
    <w:rsid w:val="FA955718"/>
    <w:rsid w:val="FAAEE65C"/>
    <w:rsid w:val="FABA7E0F"/>
    <w:rsid w:val="FABDF389"/>
    <w:rsid w:val="FABF0233"/>
    <w:rsid w:val="FACF824A"/>
    <w:rsid w:val="FADCE38E"/>
    <w:rsid w:val="FADEF03B"/>
    <w:rsid w:val="FADF9EA9"/>
    <w:rsid w:val="FADFFE00"/>
    <w:rsid w:val="FAE308C9"/>
    <w:rsid w:val="FAE722EF"/>
    <w:rsid w:val="FAEDF014"/>
    <w:rsid w:val="FAF75CFA"/>
    <w:rsid w:val="FAF7D8F9"/>
    <w:rsid w:val="FAFB1238"/>
    <w:rsid w:val="FAFE9304"/>
    <w:rsid w:val="FB385D7E"/>
    <w:rsid w:val="FB5765E5"/>
    <w:rsid w:val="FB5DC626"/>
    <w:rsid w:val="FB5EB4DA"/>
    <w:rsid w:val="FB5F08F2"/>
    <w:rsid w:val="FB6AC0DD"/>
    <w:rsid w:val="FB6DA20C"/>
    <w:rsid w:val="FB7B0B56"/>
    <w:rsid w:val="FB7F0A36"/>
    <w:rsid w:val="FB7FAE68"/>
    <w:rsid w:val="FB8D8B02"/>
    <w:rsid w:val="FB8F8AD2"/>
    <w:rsid w:val="FB9D1143"/>
    <w:rsid w:val="FBB70287"/>
    <w:rsid w:val="FBB7B68C"/>
    <w:rsid w:val="FBBB2238"/>
    <w:rsid w:val="FBBE0EEE"/>
    <w:rsid w:val="FBBEF27B"/>
    <w:rsid w:val="FBBF5514"/>
    <w:rsid w:val="FBC757C9"/>
    <w:rsid w:val="FBDD42D1"/>
    <w:rsid w:val="FBDF49D3"/>
    <w:rsid w:val="FBDFD357"/>
    <w:rsid w:val="FBE11135"/>
    <w:rsid w:val="FBE3A12F"/>
    <w:rsid w:val="FBEFB199"/>
    <w:rsid w:val="FBF3BDE0"/>
    <w:rsid w:val="FBF50FF5"/>
    <w:rsid w:val="FBF7E826"/>
    <w:rsid w:val="FBFB35C6"/>
    <w:rsid w:val="FBFB84EF"/>
    <w:rsid w:val="FBFBF83A"/>
    <w:rsid w:val="FBFD7869"/>
    <w:rsid w:val="FBFD8001"/>
    <w:rsid w:val="FBFF254B"/>
    <w:rsid w:val="FBFF5961"/>
    <w:rsid w:val="FBFF6711"/>
    <w:rsid w:val="FBFF8BDA"/>
    <w:rsid w:val="FBFFB01F"/>
    <w:rsid w:val="FBFFFB25"/>
    <w:rsid w:val="FC5FD9DF"/>
    <w:rsid w:val="FC7F12AA"/>
    <w:rsid w:val="FC99B40C"/>
    <w:rsid w:val="FC9C2D2D"/>
    <w:rsid w:val="FC9FADAD"/>
    <w:rsid w:val="FCAB3C23"/>
    <w:rsid w:val="FCCFA48E"/>
    <w:rsid w:val="FCDC0783"/>
    <w:rsid w:val="FCDF5CCC"/>
    <w:rsid w:val="FCDF7C9D"/>
    <w:rsid w:val="FCEF94C9"/>
    <w:rsid w:val="FCF7386F"/>
    <w:rsid w:val="FCFF8C19"/>
    <w:rsid w:val="FD1F5F13"/>
    <w:rsid w:val="FD291650"/>
    <w:rsid w:val="FD2FA174"/>
    <w:rsid w:val="FD4F6754"/>
    <w:rsid w:val="FD4FBB59"/>
    <w:rsid w:val="FD56352A"/>
    <w:rsid w:val="FD5800B2"/>
    <w:rsid w:val="FD5B514F"/>
    <w:rsid w:val="FD5C5889"/>
    <w:rsid w:val="FD649A75"/>
    <w:rsid w:val="FD6D5E4D"/>
    <w:rsid w:val="FD6F0E90"/>
    <w:rsid w:val="FD764F83"/>
    <w:rsid w:val="FD77F59F"/>
    <w:rsid w:val="FD7A7957"/>
    <w:rsid w:val="FDA1EBF2"/>
    <w:rsid w:val="FDA67A5E"/>
    <w:rsid w:val="FDABF4A9"/>
    <w:rsid w:val="FDB4D365"/>
    <w:rsid w:val="FDBD8229"/>
    <w:rsid w:val="FDBF45EC"/>
    <w:rsid w:val="FDDE8FE3"/>
    <w:rsid w:val="FDDFB44A"/>
    <w:rsid w:val="FDE41E23"/>
    <w:rsid w:val="FDF16CC7"/>
    <w:rsid w:val="FDF3BDC8"/>
    <w:rsid w:val="FDF7611F"/>
    <w:rsid w:val="FDF7CEDC"/>
    <w:rsid w:val="FDFA4044"/>
    <w:rsid w:val="FDFB1A6C"/>
    <w:rsid w:val="FDFB42D9"/>
    <w:rsid w:val="FDFC23C8"/>
    <w:rsid w:val="FDFE18F3"/>
    <w:rsid w:val="FDFE2CEC"/>
    <w:rsid w:val="FDFF1B50"/>
    <w:rsid w:val="FDFF28C5"/>
    <w:rsid w:val="FDFF2A2B"/>
    <w:rsid w:val="FDFF3652"/>
    <w:rsid w:val="FDFF44B8"/>
    <w:rsid w:val="FDFFA06A"/>
    <w:rsid w:val="FDFFC0D3"/>
    <w:rsid w:val="FE1DC94D"/>
    <w:rsid w:val="FE1E0770"/>
    <w:rsid w:val="FE3DA7DA"/>
    <w:rsid w:val="FE3FEC7B"/>
    <w:rsid w:val="FE51E2EF"/>
    <w:rsid w:val="FE59B8FC"/>
    <w:rsid w:val="FE5F61A1"/>
    <w:rsid w:val="FE5F66F2"/>
    <w:rsid w:val="FE6E154A"/>
    <w:rsid w:val="FE6EC4CD"/>
    <w:rsid w:val="FE77DA61"/>
    <w:rsid w:val="FE7A5758"/>
    <w:rsid w:val="FE7FD523"/>
    <w:rsid w:val="FE8358B1"/>
    <w:rsid w:val="FE8BA7E3"/>
    <w:rsid w:val="FE990698"/>
    <w:rsid w:val="FE9EA054"/>
    <w:rsid w:val="FEADE161"/>
    <w:rsid w:val="FEAF1912"/>
    <w:rsid w:val="FEAF6FD6"/>
    <w:rsid w:val="FEAFA5FE"/>
    <w:rsid w:val="FEBFBEB7"/>
    <w:rsid w:val="FEC8C709"/>
    <w:rsid w:val="FED20F90"/>
    <w:rsid w:val="FED6F92A"/>
    <w:rsid w:val="FEDB3A71"/>
    <w:rsid w:val="FEDB726C"/>
    <w:rsid w:val="FEDF3DAD"/>
    <w:rsid w:val="FEE79552"/>
    <w:rsid w:val="FEE9811E"/>
    <w:rsid w:val="FEED548F"/>
    <w:rsid w:val="FEEEE258"/>
    <w:rsid w:val="FEEF1E6E"/>
    <w:rsid w:val="FEEF70A3"/>
    <w:rsid w:val="FEF36EFC"/>
    <w:rsid w:val="FEF457EA"/>
    <w:rsid w:val="FEF69743"/>
    <w:rsid w:val="FEF6CEFE"/>
    <w:rsid w:val="FEF77092"/>
    <w:rsid w:val="FEFA9585"/>
    <w:rsid w:val="FEFAA22C"/>
    <w:rsid w:val="FEFB2EB6"/>
    <w:rsid w:val="FEFBF5D5"/>
    <w:rsid w:val="FEFC242C"/>
    <w:rsid w:val="FEFD9E63"/>
    <w:rsid w:val="FEFDD817"/>
    <w:rsid w:val="FEFDE39E"/>
    <w:rsid w:val="FEFF3F8E"/>
    <w:rsid w:val="FEFF60B4"/>
    <w:rsid w:val="FEFF70A4"/>
    <w:rsid w:val="FEFF7496"/>
    <w:rsid w:val="FEFF7F8E"/>
    <w:rsid w:val="FEFFA731"/>
    <w:rsid w:val="FF0ED5EE"/>
    <w:rsid w:val="FF0F806E"/>
    <w:rsid w:val="FF199EED"/>
    <w:rsid w:val="FF1CC9B9"/>
    <w:rsid w:val="FF1D69F2"/>
    <w:rsid w:val="FF2F0176"/>
    <w:rsid w:val="FF3689F8"/>
    <w:rsid w:val="FF3A9D83"/>
    <w:rsid w:val="FF3F446D"/>
    <w:rsid w:val="FF4D0274"/>
    <w:rsid w:val="FF4FC386"/>
    <w:rsid w:val="FF577AD4"/>
    <w:rsid w:val="FF57BEB7"/>
    <w:rsid w:val="FF57BF75"/>
    <w:rsid w:val="FF5B3711"/>
    <w:rsid w:val="FF5D14AB"/>
    <w:rsid w:val="FF5D1C8A"/>
    <w:rsid w:val="FF5FC543"/>
    <w:rsid w:val="FF5FE587"/>
    <w:rsid w:val="FF67ABAB"/>
    <w:rsid w:val="FF7180DC"/>
    <w:rsid w:val="FF72221A"/>
    <w:rsid w:val="FF7342C8"/>
    <w:rsid w:val="FF74F6A5"/>
    <w:rsid w:val="FF761D2B"/>
    <w:rsid w:val="FF764CB7"/>
    <w:rsid w:val="FF776094"/>
    <w:rsid w:val="FF776516"/>
    <w:rsid w:val="FF77DCD0"/>
    <w:rsid w:val="FF78B65F"/>
    <w:rsid w:val="FF7B3D97"/>
    <w:rsid w:val="FF7C54D9"/>
    <w:rsid w:val="FF7CDF6E"/>
    <w:rsid w:val="FF7D304A"/>
    <w:rsid w:val="FF7F32B3"/>
    <w:rsid w:val="FF7F32DD"/>
    <w:rsid w:val="FF7F3B0E"/>
    <w:rsid w:val="FF7F6CD1"/>
    <w:rsid w:val="FF7F8710"/>
    <w:rsid w:val="FF7FB9E0"/>
    <w:rsid w:val="FF7FDA42"/>
    <w:rsid w:val="FF7FDC9D"/>
    <w:rsid w:val="FF7FE124"/>
    <w:rsid w:val="FF7FE4B1"/>
    <w:rsid w:val="FF7FFA15"/>
    <w:rsid w:val="FF854BC5"/>
    <w:rsid w:val="FF87594D"/>
    <w:rsid w:val="FF8B1D84"/>
    <w:rsid w:val="FF8F549B"/>
    <w:rsid w:val="FF915A06"/>
    <w:rsid w:val="FF9324D4"/>
    <w:rsid w:val="FF952D36"/>
    <w:rsid w:val="FF9F4B0B"/>
    <w:rsid w:val="FF9F5B82"/>
    <w:rsid w:val="FF9FC2BD"/>
    <w:rsid w:val="FF9FF46A"/>
    <w:rsid w:val="FFA89176"/>
    <w:rsid w:val="FFAB6C8F"/>
    <w:rsid w:val="FFAB7F1C"/>
    <w:rsid w:val="FFAEDC16"/>
    <w:rsid w:val="FFB30407"/>
    <w:rsid w:val="FFB3B41D"/>
    <w:rsid w:val="FFB5F89A"/>
    <w:rsid w:val="FFB67D11"/>
    <w:rsid w:val="FFB72880"/>
    <w:rsid w:val="FFB73C73"/>
    <w:rsid w:val="FFB9B593"/>
    <w:rsid w:val="FFBAA0CE"/>
    <w:rsid w:val="FFBBCF49"/>
    <w:rsid w:val="FFBBED3D"/>
    <w:rsid w:val="FFBCC6DB"/>
    <w:rsid w:val="FFBD8221"/>
    <w:rsid w:val="FFBDA37E"/>
    <w:rsid w:val="FFBE4E14"/>
    <w:rsid w:val="FFBF6300"/>
    <w:rsid w:val="FFBF7266"/>
    <w:rsid w:val="FFBFA4D6"/>
    <w:rsid w:val="FFBFE677"/>
    <w:rsid w:val="FFCE18E5"/>
    <w:rsid w:val="FFCEA80B"/>
    <w:rsid w:val="FFCFE1C9"/>
    <w:rsid w:val="FFCFE9D8"/>
    <w:rsid w:val="FFD714EB"/>
    <w:rsid w:val="FFD784F8"/>
    <w:rsid w:val="FFD7EDC2"/>
    <w:rsid w:val="FFD8EC88"/>
    <w:rsid w:val="FFDAEFEA"/>
    <w:rsid w:val="FFDB7CFD"/>
    <w:rsid w:val="FFDBA3CE"/>
    <w:rsid w:val="FFDBC913"/>
    <w:rsid w:val="FFDBD06B"/>
    <w:rsid w:val="FFDD0FCC"/>
    <w:rsid w:val="FFDE868D"/>
    <w:rsid w:val="FFDEBB95"/>
    <w:rsid w:val="FFDF23E8"/>
    <w:rsid w:val="FFDF307B"/>
    <w:rsid w:val="FFDF5FF6"/>
    <w:rsid w:val="FFDFB76F"/>
    <w:rsid w:val="FFDFBB40"/>
    <w:rsid w:val="FFDFBB43"/>
    <w:rsid w:val="FFDFF75E"/>
    <w:rsid w:val="FFE07991"/>
    <w:rsid w:val="FFE3C880"/>
    <w:rsid w:val="FFE50DCE"/>
    <w:rsid w:val="FFE6BE30"/>
    <w:rsid w:val="FFE787C4"/>
    <w:rsid w:val="FFE78811"/>
    <w:rsid w:val="FFEB704F"/>
    <w:rsid w:val="FFECAF26"/>
    <w:rsid w:val="FFED5E70"/>
    <w:rsid w:val="FFEDD336"/>
    <w:rsid w:val="FFEDD7C6"/>
    <w:rsid w:val="FFEE288D"/>
    <w:rsid w:val="FFEE9EF3"/>
    <w:rsid w:val="FFEF91AF"/>
    <w:rsid w:val="FFEFC1C4"/>
    <w:rsid w:val="FFEFE133"/>
    <w:rsid w:val="FFF17281"/>
    <w:rsid w:val="FFF38FB5"/>
    <w:rsid w:val="FFF518E3"/>
    <w:rsid w:val="FFF539C8"/>
    <w:rsid w:val="FFF5E6CB"/>
    <w:rsid w:val="FFF6E2A3"/>
    <w:rsid w:val="FFF7028F"/>
    <w:rsid w:val="FFF71E18"/>
    <w:rsid w:val="FFF74287"/>
    <w:rsid w:val="FFF7A893"/>
    <w:rsid w:val="FFF7AFB5"/>
    <w:rsid w:val="FFF7B4E9"/>
    <w:rsid w:val="FFF7B7CB"/>
    <w:rsid w:val="FFF7C5CF"/>
    <w:rsid w:val="FFF7E317"/>
    <w:rsid w:val="FFF7F70D"/>
    <w:rsid w:val="FFF835BC"/>
    <w:rsid w:val="FFF9A206"/>
    <w:rsid w:val="FFF9B2D6"/>
    <w:rsid w:val="FFF9EC50"/>
    <w:rsid w:val="FFFA217D"/>
    <w:rsid w:val="FFFB013C"/>
    <w:rsid w:val="FFFB2860"/>
    <w:rsid w:val="FFFB4851"/>
    <w:rsid w:val="FFFB48C9"/>
    <w:rsid w:val="FFFBB370"/>
    <w:rsid w:val="FFFC1AAA"/>
    <w:rsid w:val="FFFC381E"/>
    <w:rsid w:val="FFFC6607"/>
    <w:rsid w:val="FFFCC141"/>
    <w:rsid w:val="FFFD1C7D"/>
    <w:rsid w:val="FFFD7C05"/>
    <w:rsid w:val="FFFDDEAA"/>
    <w:rsid w:val="FFFE07AA"/>
    <w:rsid w:val="FFFE1151"/>
    <w:rsid w:val="FFFE9DAC"/>
    <w:rsid w:val="FFFEE6C3"/>
    <w:rsid w:val="FFFEFA9C"/>
    <w:rsid w:val="FFFEFB27"/>
    <w:rsid w:val="FFFF1710"/>
    <w:rsid w:val="FFFF24A9"/>
    <w:rsid w:val="FFFF478E"/>
    <w:rsid w:val="FFFF5E65"/>
    <w:rsid w:val="FFFF601D"/>
    <w:rsid w:val="FFFF63CB"/>
    <w:rsid w:val="FFFF8032"/>
    <w:rsid w:val="FFFF8B0A"/>
    <w:rsid w:val="FFFF9FCE"/>
    <w:rsid w:val="FFFFA4D8"/>
    <w:rsid w:val="FFFFB5C8"/>
    <w:rsid w:val="FFFFC9AE"/>
    <w:rsid w:val="FFFFCA51"/>
    <w:rsid w:val="FFFFE3A9"/>
    <w:rsid w:val="FFFFEC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1"/>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2"/>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unhideWhenUsed/>
    <w:qFormat/>
    <w:uiPriority w:val="1"/>
  </w:style>
  <w:style w:type="table" w:default="1" w:styleId="23">
    <w:name w:val="Normal Table"/>
    <w:unhideWhenUsed/>
    <w:qFormat/>
    <w:uiPriority w:val="99"/>
    <w:tblPr>
      <w:tblStyle w:val="23"/>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33"/>
    <w:qFormat/>
    <w:uiPriority w:val="0"/>
    <w:pPr>
      <w:shd w:val="clear" w:color="auto" w:fill="000080"/>
    </w:pPr>
  </w:style>
  <w:style w:type="paragraph" w:styleId="7">
    <w:name w:val="annotation text"/>
    <w:basedOn w:val="1"/>
    <w:link w:val="34"/>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35"/>
    <w:qFormat/>
    <w:uiPriority w:val="0"/>
    <w:rPr>
      <w:sz w:val="18"/>
      <w:szCs w:val="18"/>
    </w:rPr>
  </w:style>
  <w:style w:type="paragraph" w:styleId="15">
    <w:name w:val="footer"/>
    <w:basedOn w:val="1"/>
    <w:link w:val="36"/>
    <w:qFormat/>
    <w:uiPriority w:val="0"/>
    <w:pPr>
      <w:tabs>
        <w:tab w:val="center" w:pos="4153"/>
        <w:tab w:val="right" w:pos="8306"/>
      </w:tabs>
      <w:snapToGrid w:val="0"/>
      <w:jc w:val="left"/>
    </w:pPr>
    <w:rPr>
      <w:sz w:val="18"/>
      <w:szCs w:val="18"/>
    </w:rPr>
  </w:style>
  <w:style w:type="paragraph" w:styleId="16">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38"/>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标题 1 字符"/>
    <w:link w:val="2"/>
    <w:qFormat/>
    <w:uiPriority w:val="0"/>
    <w:rPr>
      <w:rFonts w:ascii="Times New Roman" w:hAnsi="Times New Roman" w:eastAsia="方正小标宋简体" w:cs="Times New Roman"/>
      <w:b/>
      <w:bCs/>
      <w:kern w:val="44"/>
      <w:sz w:val="36"/>
      <w:szCs w:val="44"/>
    </w:rPr>
  </w:style>
  <w:style w:type="character" w:customStyle="1" w:styleId="31">
    <w:name w:val="标题 2 字符"/>
    <w:link w:val="3"/>
    <w:qFormat/>
    <w:uiPriority w:val="0"/>
    <w:rPr>
      <w:rFonts w:ascii="宋体" w:hAnsi="宋体" w:eastAsia="宋体" w:cs="宋体"/>
      <w:b/>
      <w:bCs/>
      <w:sz w:val="30"/>
      <w:szCs w:val="36"/>
    </w:rPr>
  </w:style>
  <w:style w:type="character" w:customStyle="1" w:styleId="32">
    <w:name w:val="标题 9 字符"/>
    <w:link w:val="4"/>
    <w:qFormat/>
    <w:uiPriority w:val="0"/>
    <w:rPr>
      <w:rFonts w:ascii="Calibri Light" w:hAnsi="Calibri Light" w:eastAsia="宋体" w:cs="Times New Roman"/>
      <w:kern w:val="2"/>
      <w:sz w:val="21"/>
      <w:szCs w:val="21"/>
    </w:rPr>
  </w:style>
  <w:style w:type="character" w:customStyle="1" w:styleId="33">
    <w:name w:val="文档结构图 字符"/>
    <w:basedOn w:val="24"/>
    <w:link w:val="6"/>
    <w:qFormat/>
    <w:uiPriority w:val="0"/>
    <w:rPr>
      <w:kern w:val="2"/>
      <w:sz w:val="21"/>
      <w:szCs w:val="24"/>
      <w:shd w:val="clear" w:color="auto" w:fill="000080"/>
    </w:rPr>
  </w:style>
  <w:style w:type="character" w:customStyle="1" w:styleId="34">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5">
    <w:name w:val="批注框文本 字符"/>
    <w:basedOn w:val="24"/>
    <w:link w:val="14"/>
    <w:qFormat/>
    <w:uiPriority w:val="0"/>
    <w:rPr>
      <w:kern w:val="2"/>
      <w:sz w:val="18"/>
      <w:szCs w:val="18"/>
    </w:rPr>
  </w:style>
  <w:style w:type="character" w:customStyle="1" w:styleId="36">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7">
    <w:name w:val="页眉 字符"/>
    <w:basedOn w:val="24"/>
    <w:link w:val="16"/>
    <w:qFormat/>
    <w:uiPriority w:val="0"/>
    <w:rPr>
      <w:kern w:val="2"/>
      <w:sz w:val="18"/>
      <w:szCs w:val="18"/>
    </w:rPr>
  </w:style>
  <w:style w:type="character" w:customStyle="1" w:styleId="38">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39">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4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42">
    <w:name w:val="p121"/>
    <w:qFormat/>
    <w:uiPriority w:val="0"/>
    <w:rPr>
      <w:rFonts w:hint="default" w:eastAsia="宋体" w:cs="Times New Roman"/>
      <w:sz w:val="24"/>
      <w:szCs w:val="24"/>
    </w:rPr>
  </w:style>
  <w:style w:type="paragraph" w:customStyle="1" w:styleId="43">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
    <w:name w:val="Char1 Char Char Char"/>
    <w:basedOn w:val="1"/>
    <w:qFormat/>
    <w:uiPriority w:val="0"/>
    <w:rPr>
      <w:rFonts w:ascii="Tahoma" w:hAnsi="Tahoma"/>
      <w:sz w:val="24"/>
      <w:szCs w:val="20"/>
    </w:rPr>
  </w:style>
  <w:style w:type="paragraph" w:customStyle="1" w:styleId="46">
    <w:name w:val="Char1 Char Char Char1"/>
    <w:basedOn w:val="1"/>
    <w:qFormat/>
    <w:uiPriority w:val="0"/>
    <w:rPr>
      <w:rFonts w:ascii="Tahoma" w:hAnsi="Tahoma"/>
      <w:sz w:val="24"/>
      <w:szCs w:val="20"/>
    </w:rPr>
  </w:style>
  <w:style w:type="paragraph" w:customStyle="1" w:styleId="47">
    <w:name w:val="Char1"/>
    <w:basedOn w:val="1"/>
    <w:qFormat/>
    <w:uiPriority w:val="0"/>
    <w:rPr>
      <w:rFonts w:ascii="Tahoma" w:hAnsi="Tahoma"/>
      <w:sz w:val="24"/>
      <w:szCs w:val="20"/>
    </w:rPr>
  </w:style>
  <w:style w:type="paragraph" w:customStyle="1" w:styleId="48">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8">
    <w:name w:val="列表段落1"/>
    <w:basedOn w:val="1"/>
    <w:qFormat/>
    <w:uiPriority w:val="34"/>
    <w:pPr>
      <w:ind w:firstLine="420" w:firstLineChars="200"/>
    </w:pPr>
  </w:style>
  <w:style w:type="character" w:customStyle="1" w:styleId="59">
    <w:name w:val="oalinshistyle21"/>
    <w:qFormat/>
    <w:uiPriority w:val="0"/>
    <w:rPr>
      <w:rFonts w:hint="default" w:ascii="Arial" w:hAnsi="Arial" w:cs="Arial"/>
      <w:sz w:val="27"/>
      <w:szCs w:val="27"/>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font11"/>
    <w:basedOn w:val="24"/>
    <w:qFormat/>
    <w:uiPriority w:val="0"/>
    <w:rPr>
      <w:rFonts w:hint="eastAsia" w:ascii="宋体" w:hAnsi="宋体" w:eastAsia="宋体" w:cs="宋体"/>
      <w:color w:val="C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245</Pages>
  <Words>124895</Words>
  <Characters>131914</Characters>
  <Lines>1186</Lines>
  <Paragraphs>334</Paragraphs>
  <TotalTime>13.6666666666667</TotalTime>
  <ScaleCrop>false</ScaleCrop>
  <LinksUpToDate>false</LinksUpToDate>
  <CharactersWithSpaces>134862</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2022-10-04T18:35:00Z</dcterms:created>
  <dc:creator>张通</dc:creator>
  <cp:lastModifiedBy>徐爽</cp:lastModifiedBy>
  <cp:lastPrinted>2026-01-13T10:03:00Z</cp:lastPrinted>
  <dcterms:modified xsi:type="dcterms:W3CDTF">2026-02-27T04:47:25Z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245B35217A244FB5871AF9150CD28D7C</vt:lpwstr>
  </property>
</Properties>
</file>