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A3860">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黑体" w:eastAsia="方正小标宋简体" w:cs="Times New Roman"/>
          <w:kern w:val="2"/>
          <w:sz w:val="44"/>
          <w:szCs w:val="44"/>
        </w:rPr>
      </w:pPr>
      <w:bookmarkStart w:id="0" w:name="_GoBack"/>
      <w:r>
        <w:rPr>
          <w:rFonts w:hint="eastAsia" w:ascii="方正小标宋简体" w:hAnsi="黑体" w:eastAsia="方正小标宋简体" w:cs="Times New Roman"/>
          <w:kern w:val="2"/>
          <w:sz w:val="44"/>
          <w:szCs w:val="44"/>
        </w:rPr>
        <w:t>丰台街道办事处</w:t>
      </w:r>
    </w:p>
    <w:p w14:paraId="4E39FFEA">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ascii="方正小标宋简体" w:hAnsi="黑体" w:eastAsia="方正小标宋简体" w:cs="Times New Roman"/>
          <w:kern w:val="2"/>
          <w:sz w:val="96"/>
          <w:szCs w:val="44"/>
        </w:rPr>
      </w:pPr>
      <w:r>
        <w:rPr>
          <w:rFonts w:ascii="方正小标宋简体" w:hAnsi="黑体" w:eastAsia="方正小标宋简体" w:cs="Times New Roman"/>
          <w:kern w:val="2"/>
          <w:sz w:val="44"/>
          <w:szCs w:val="44"/>
        </w:rPr>
        <w:t>重大</w:t>
      </w:r>
      <w:r>
        <w:rPr>
          <w:rFonts w:hint="eastAsia" w:ascii="方正小标宋简体" w:hAnsi="黑体" w:eastAsia="方正小标宋简体" w:cs="Times New Roman"/>
          <w:kern w:val="2"/>
          <w:sz w:val="44"/>
          <w:szCs w:val="44"/>
        </w:rPr>
        <w:t>行政执法</w:t>
      </w:r>
      <w:r>
        <w:rPr>
          <w:rFonts w:ascii="方正小标宋简体" w:hAnsi="黑体" w:eastAsia="方正小标宋简体" w:cs="Times New Roman"/>
          <w:kern w:val="2"/>
          <w:sz w:val="44"/>
          <w:szCs w:val="44"/>
        </w:rPr>
        <w:t>案件集体讨论制度</w:t>
      </w:r>
    </w:p>
    <w:bookmarkEnd w:id="0"/>
    <w:p w14:paraId="00B5EDB3">
      <w:pPr>
        <w:pStyle w:val="5"/>
        <w:spacing w:before="0" w:beforeAutospacing="0" w:after="0" w:afterAutospacing="0" w:line="559" w:lineRule="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w:t>
      </w:r>
    </w:p>
    <w:p w14:paraId="6A19E36E">
      <w:pPr>
        <w:spacing w:line="560" w:lineRule="exact"/>
        <w:ind w:firstLine="66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b/>
          <w:color w:val="000000" w:themeColor="text1"/>
          <w:sz w:val="32"/>
          <w:szCs w:val="32"/>
          <w14:textFill>
            <w14:solidFill>
              <w14:schemeClr w14:val="tx1"/>
            </w14:solidFill>
          </w14:textFill>
        </w:rPr>
        <w:t>第一条</w:t>
      </w:r>
      <w:r>
        <w:rPr>
          <w:rFonts w:ascii="仿宋_GB2312" w:hAnsi="Times New Roman" w:eastAsia="仿宋_GB2312" w:cs="Times New Roman"/>
          <w:color w:val="000000" w:themeColor="text1"/>
          <w:sz w:val="32"/>
          <w:szCs w:val="32"/>
          <w14:textFill>
            <w14:solidFill>
              <w14:schemeClr w14:val="tx1"/>
            </w14:solidFill>
          </w14:textFill>
        </w:rPr>
        <w:t>　为规范丰台街道行政执法行为</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hint="eastAsia" w:ascii="仿宋_GB2312" w:hAnsi="仿宋_GB2312" w:eastAsia="仿宋_GB2312" w:cs="仿宋_GB2312"/>
          <w:kern w:val="0"/>
          <w:sz w:val="32"/>
          <w:szCs w:val="32"/>
        </w:rPr>
        <w:t>保护当事人合法权益，</w:t>
      </w:r>
      <w:r>
        <w:rPr>
          <w:rFonts w:ascii="仿宋_GB2312" w:hAnsi="Times New Roman" w:eastAsia="仿宋_GB2312" w:cs="Times New Roman"/>
          <w:color w:val="000000" w:themeColor="text1"/>
          <w:sz w:val="32"/>
          <w:szCs w:val="32"/>
          <w14:textFill>
            <w14:solidFill>
              <w14:schemeClr w14:val="tx1"/>
            </w14:solidFill>
          </w14:textFill>
        </w:rPr>
        <w:t>根据《中华人民共和国行政处罚法》、《北京市实施行政处罚程序若干规定》、《北京市行政处罚听证程序实施办法》等法律、法规、规范性文件，结合我街道工作实际，制定本制度。</w:t>
      </w:r>
    </w:p>
    <w:p w14:paraId="5936B96E">
      <w:pPr>
        <w:spacing w:line="560" w:lineRule="exact"/>
        <w:ind w:firstLine="66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b/>
          <w:color w:val="000000" w:themeColor="text1"/>
          <w:sz w:val="32"/>
          <w:szCs w:val="32"/>
          <w14:textFill>
            <w14:solidFill>
              <w14:schemeClr w14:val="tx1"/>
            </w14:solidFill>
          </w14:textFill>
        </w:rPr>
        <w:t>第二条</w:t>
      </w:r>
      <w:r>
        <w:rPr>
          <w:rFonts w:ascii="仿宋_GB2312" w:hAnsi="Times New Roman" w:eastAsia="仿宋_GB2312" w:cs="Times New Roman"/>
          <w:color w:val="000000" w:themeColor="text1"/>
          <w:sz w:val="32"/>
          <w:szCs w:val="32"/>
          <w14:textFill>
            <w14:solidFill>
              <w14:schemeClr w14:val="tx1"/>
            </w14:solidFill>
          </w14:textFill>
        </w:rPr>
        <w:t>　丰台街道办事处成立重大行政处罚案件审理委员会（以下简称案审会），由</w:t>
      </w:r>
      <w:r>
        <w:rPr>
          <w:rFonts w:hint="eastAsia" w:ascii="仿宋_GB2312" w:hAnsi="Times New Roman" w:eastAsia="仿宋_GB2312" w:cs="Times New Roman"/>
          <w:color w:val="000000" w:themeColor="text1"/>
          <w:sz w:val="32"/>
          <w:szCs w:val="32"/>
          <w14:textFill>
            <w14:solidFill>
              <w14:schemeClr w14:val="tx1"/>
            </w14:solidFill>
          </w14:textFill>
        </w:rPr>
        <w:t>街道</w:t>
      </w:r>
      <w:r>
        <w:rPr>
          <w:rFonts w:ascii="仿宋_GB2312" w:hAnsi="Times New Roman" w:eastAsia="仿宋_GB2312" w:cs="Times New Roman"/>
          <w:color w:val="000000" w:themeColor="text1"/>
          <w:sz w:val="32"/>
          <w:szCs w:val="32"/>
          <w14:textFill>
            <w14:solidFill>
              <w14:schemeClr w14:val="tx1"/>
            </w14:solidFill>
          </w14:textFill>
        </w:rPr>
        <w:t>主任、副主任、综合执法队负责人</w:t>
      </w:r>
      <w:r>
        <w:rPr>
          <w:rFonts w:hint="eastAsia" w:ascii="仿宋_GB2312" w:hAnsi="Times New Roman" w:eastAsia="仿宋_GB2312" w:cs="Times New Roman"/>
          <w:color w:val="000000" w:themeColor="text1"/>
          <w:sz w:val="32"/>
          <w:szCs w:val="32"/>
          <w14:textFill>
            <w14:solidFill>
              <w14:schemeClr w14:val="tx1"/>
            </w14:solidFill>
          </w14:textFill>
        </w:rPr>
        <w:t>、法制机构</w:t>
      </w:r>
      <w:r>
        <w:rPr>
          <w:rFonts w:ascii="仿宋_GB2312" w:hAnsi="Times New Roman" w:eastAsia="仿宋_GB2312" w:cs="Times New Roman"/>
          <w:color w:val="000000" w:themeColor="text1"/>
          <w:sz w:val="32"/>
          <w:szCs w:val="32"/>
          <w14:textFill>
            <w14:solidFill>
              <w14:schemeClr w14:val="tx1"/>
            </w14:solidFill>
          </w14:textFill>
        </w:rPr>
        <w:t>负责人等组成，主任任案审会主任，主管副主任</w:t>
      </w:r>
      <w:r>
        <w:rPr>
          <w:rFonts w:hint="eastAsia" w:ascii="仿宋_GB2312" w:hAnsi="Times New Roman" w:eastAsia="仿宋_GB2312" w:cs="Times New Roman"/>
          <w:color w:val="000000" w:themeColor="text1"/>
          <w:sz w:val="32"/>
          <w:szCs w:val="32"/>
          <w14:textFill>
            <w14:solidFill>
              <w14:schemeClr w14:val="tx1"/>
            </w14:solidFill>
          </w14:textFill>
        </w:rPr>
        <w:t>任</w:t>
      </w:r>
      <w:r>
        <w:rPr>
          <w:rFonts w:ascii="仿宋_GB2312" w:hAnsi="Times New Roman" w:eastAsia="仿宋_GB2312" w:cs="Times New Roman"/>
          <w:color w:val="000000" w:themeColor="text1"/>
          <w:sz w:val="32"/>
          <w:szCs w:val="32"/>
          <w14:textFill>
            <w14:solidFill>
              <w14:schemeClr w14:val="tx1"/>
            </w14:solidFill>
          </w14:textFill>
        </w:rPr>
        <w:t>案审会副主任。组成人数为单数</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6874A00E">
      <w:pPr>
        <w:ind w:firstLine="643" w:firstLineChars="200"/>
        <w:rPr>
          <w:rFonts w:ascii="仿宋_GB2312" w:hAnsi="仿宋_GB2312" w:eastAsia="仿宋_GB2312" w:cs="仿宋_GB2312"/>
          <w:kern w:val="0"/>
          <w:sz w:val="32"/>
          <w:szCs w:val="32"/>
        </w:rPr>
      </w:pPr>
      <w:r>
        <w:rPr>
          <w:rFonts w:hint="eastAsia" w:ascii="仿宋_GB2312" w:hAnsi="Times New Roman" w:eastAsia="仿宋_GB2312" w:cs="Times New Roman"/>
          <w:b/>
          <w:color w:val="000000" w:themeColor="text1"/>
          <w:sz w:val="32"/>
          <w:szCs w:val="32"/>
          <w14:textFill>
            <w14:solidFill>
              <w14:schemeClr w14:val="tx1"/>
            </w14:solidFill>
          </w14:textFill>
        </w:rPr>
        <w:t>第三条</w:t>
      </w:r>
      <w:r>
        <w:rPr>
          <w:rFonts w:ascii="仿宋_GB2312" w:hAnsi="Times New Roman" w:eastAsia="仿宋_GB2312" w:cs="Times New Roman"/>
          <w:color w:val="000000" w:themeColor="text1"/>
          <w:sz w:val="32"/>
          <w:szCs w:val="32"/>
          <w14:textFill>
            <w14:solidFill>
              <w14:schemeClr w14:val="tx1"/>
            </w14:solidFill>
          </w14:textFill>
        </w:rPr>
        <w:t>　</w:t>
      </w:r>
      <w:r>
        <w:rPr>
          <w:rFonts w:hint="eastAsia" w:ascii="仿宋_GB2312" w:hAnsi="仿宋_GB2312" w:eastAsia="仿宋_GB2312" w:cs="仿宋_GB2312"/>
          <w:kern w:val="0"/>
          <w:sz w:val="32"/>
          <w:szCs w:val="32"/>
        </w:rPr>
        <w:t>符合下列情形之一的重大行政处罚案件，由街道领导集体讨论决定：</w:t>
      </w:r>
    </w:p>
    <w:p w14:paraId="4968AA4C">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（一）与下放职权相关的行政处罚案件中，符合重大行政处罚案件标准的行政处罚案件；</w:t>
      </w:r>
    </w:p>
    <w:p w14:paraId="4E8F7A93">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（二）《中华人民共和国行政处罚法》中规定的适用于听证程序的行政处罚案件；</w:t>
      </w:r>
    </w:p>
    <w:p w14:paraId="3F52264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（三）拟作出责令停产停业或者拟吊销许可证或者营业执照的行政处罚案件；</w:t>
      </w:r>
    </w:p>
    <w:p w14:paraId="2ABBF988">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（四）以本单位为赔偿义务机关的国家赔偿案件；</w:t>
      </w:r>
    </w:p>
    <w:p w14:paraId="4CB7123B">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（五）涉嫌犯罪的案件；</w:t>
      </w:r>
    </w:p>
    <w:p w14:paraId="0E6541D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（六）拟对发生法律效力的行政执法行为进行纠正的案件；</w:t>
      </w:r>
    </w:p>
    <w:p w14:paraId="5AF6475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（七）承办部门认为需要集体讨论决定，且报经主要负责人同意的其他案件。</w:t>
      </w:r>
    </w:p>
    <w:p w14:paraId="424224D7">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第四条</w:t>
      </w:r>
      <w:r>
        <w:rPr>
          <w:rFonts w:hint="eastAsia" w:ascii="仿宋_GB2312" w:hAnsi="仿宋_GB2312" w:eastAsia="仿宋_GB2312" w:cs="仿宋_GB2312"/>
          <w:kern w:val="0"/>
          <w:sz w:val="32"/>
          <w:szCs w:val="32"/>
        </w:rPr>
        <w:t xml:space="preserve"> 符合下列情形之一的行政强制案件，由街道领导集体讨论决定：</w:t>
      </w:r>
    </w:p>
    <w:p w14:paraId="39EE37C1">
      <w:pPr>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（一）划拨存款、汇款的行政强制执行</w:t>
      </w:r>
      <w:r>
        <w:rPr>
          <w:rFonts w:hint="eastAsia" w:ascii="仿宋_GB2312" w:hAnsi="仿宋_GB2312" w:eastAsia="仿宋_GB2312" w:cs="仿宋_GB2312"/>
          <w:kern w:val="0"/>
          <w:sz w:val="32"/>
          <w:szCs w:val="32"/>
        </w:rPr>
        <w:t>案件</w:t>
      </w:r>
      <w:r>
        <w:rPr>
          <w:rFonts w:ascii="仿宋_GB2312" w:hAnsi="仿宋_GB2312" w:eastAsia="仿宋_GB2312" w:cs="仿宋_GB2312"/>
          <w:kern w:val="0"/>
          <w:sz w:val="32"/>
          <w:szCs w:val="32"/>
        </w:rPr>
        <w:t>；</w:t>
      </w:r>
    </w:p>
    <w:p w14:paraId="5A5C54AC">
      <w:pPr>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（二）拆除建筑物、构筑物的行政强制执行</w:t>
      </w:r>
      <w:r>
        <w:rPr>
          <w:rFonts w:hint="eastAsia" w:ascii="仿宋_GB2312" w:hAnsi="仿宋_GB2312" w:eastAsia="仿宋_GB2312" w:cs="仿宋_GB2312"/>
          <w:kern w:val="0"/>
          <w:sz w:val="32"/>
          <w:szCs w:val="32"/>
        </w:rPr>
        <w:t>案件</w:t>
      </w:r>
      <w:r>
        <w:rPr>
          <w:rFonts w:ascii="仿宋_GB2312" w:hAnsi="仿宋_GB2312" w:eastAsia="仿宋_GB2312" w:cs="仿宋_GB2312"/>
          <w:kern w:val="0"/>
          <w:sz w:val="32"/>
          <w:szCs w:val="32"/>
        </w:rPr>
        <w:t>；</w:t>
      </w:r>
    </w:p>
    <w:p w14:paraId="3EE1953E">
      <w:pPr>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（三）拍卖或者变卖当事人合法财物用以抵缴罚款的行政强制执行</w:t>
      </w:r>
      <w:r>
        <w:rPr>
          <w:rFonts w:hint="eastAsia" w:ascii="仿宋_GB2312" w:hAnsi="仿宋_GB2312" w:eastAsia="仿宋_GB2312" w:cs="仿宋_GB2312"/>
          <w:kern w:val="0"/>
          <w:sz w:val="32"/>
          <w:szCs w:val="32"/>
        </w:rPr>
        <w:t>案件</w:t>
      </w:r>
      <w:r>
        <w:rPr>
          <w:rFonts w:ascii="仿宋_GB2312" w:hAnsi="仿宋_GB2312" w:eastAsia="仿宋_GB2312" w:cs="仿宋_GB2312"/>
          <w:kern w:val="0"/>
          <w:sz w:val="32"/>
          <w:szCs w:val="32"/>
        </w:rPr>
        <w:t>；</w:t>
      </w:r>
    </w:p>
    <w:p w14:paraId="4CBBFBA9">
      <w:pPr>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w:t>
      </w:r>
      <w:r>
        <w:rPr>
          <w:rFonts w:hint="eastAsia" w:ascii="仿宋_GB2312" w:hAnsi="仿宋_GB2312" w:eastAsia="仿宋_GB2312" w:cs="仿宋_GB2312"/>
          <w:kern w:val="0"/>
          <w:sz w:val="32"/>
          <w:szCs w:val="32"/>
        </w:rPr>
        <w:t>承办部门认为需要集体讨论决定，且报经主要负责人同意的其他案件</w:t>
      </w:r>
      <w:r>
        <w:rPr>
          <w:rFonts w:ascii="仿宋_GB2312" w:hAnsi="仿宋_GB2312" w:eastAsia="仿宋_GB2312" w:cs="仿宋_GB2312"/>
          <w:kern w:val="0"/>
          <w:sz w:val="32"/>
          <w:szCs w:val="32"/>
        </w:rPr>
        <w:t>。</w:t>
      </w:r>
    </w:p>
    <w:p w14:paraId="40F8DC92">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第五条</w:t>
      </w:r>
      <w:r>
        <w:rPr>
          <w:rFonts w:hint="eastAsia" w:ascii="仿宋_GB2312" w:hAnsi="仿宋_GB2312" w:eastAsia="仿宋_GB2312" w:cs="仿宋_GB2312"/>
          <w:kern w:val="0"/>
          <w:sz w:val="32"/>
          <w:szCs w:val="32"/>
        </w:rPr>
        <w:t xml:space="preserve"> 重大行政处罚案件的集体讨论应当采用办公会议（或“专题会议”）的形式进行，须有四分之三以上班子成员到会方可举行，原则上为单数，其中综合行政执法队的分管领导必须到会。</w:t>
      </w:r>
    </w:p>
    <w:p w14:paraId="4D27C806">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会议由主要领导或其委托的主管领导召集、主持，综合行政执法队、法制机构负责人及相关人员列席。</w:t>
      </w:r>
    </w:p>
    <w:p w14:paraId="2A4AA17A">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会议组成人员及列席人员遇有规定应当回避时，应当主动提出，并报本单位主要领导决定。</w:t>
      </w:r>
    </w:p>
    <w:p w14:paraId="31C30A7E">
      <w:pPr>
        <w:ind w:firstLine="643"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宋体" w:eastAsia="仿宋_GB2312" w:cs="宋体"/>
          <w:b/>
          <w:kern w:val="0"/>
          <w:sz w:val="32"/>
          <w:szCs w:val="32"/>
        </w:rPr>
        <w:t>第六条</w:t>
      </w:r>
      <w:r>
        <w:rPr>
          <w:rFonts w:hint="eastAsia" w:ascii="仿宋_GB2312" w:hAnsi="仿宋_GB2312" w:eastAsia="仿宋_GB2312" w:cs="仿宋_GB2312"/>
          <w:kern w:val="0"/>
          <w:sz w:val="32"/>
          <w:szCs w:val="32"/>
        </w:rPr>
        <w:t xml:space="preserve"> 综合行政执法队负责对拟报送的重大行政处罚案件提出初步处理意见</w:t>
      </w:r>
      <w:r>
        <w:rPr>
          <w:rFonts w:ascii="仿宋_GB2312" w:hAnsi="Times New Roman" w:eastAsia="仿宋_GB2312" w:cs="Times New Roman"/>
          <w:color w:val="000000" w:themeColor="text1"/>
          <w:sz w:val="32"/>
          <w:szCs w:val="32"/>
          <w14:textFill>
            <w14:solidFill>
              <w14:schemeClr w14:val="tx1"/>
            </w14:solidFill>
          </w14:textFill>
        </w:rPr>
        <w:t>，经法制机构签署审核意见，并由</w:t>
      </w:r>
      <w:r>
        <w:rPr>
          <w:rFonts w:hint="eastAsia" w:ascii="仿宋_GB2312" w:hAnsi="Times New Roman" w:eastAsia="仿宋_GB2312" w:cs="Times New Roman"/>
          <w:color w:val="000000" w:themeColor="text1"/>
          <w:sz w:val="32"/>
          <w:szCs w:val="32"/>
          <w14:textFill>
            <w14:solidFill>
              <w14:schemeClr w14:val="tx1"/>
            </w14:solidFill>
          </w14:textFill>
        </w:rPr>
        <w:t>丰台街道综合行政执法队</w:t>
      </w:r>
      <w:r>
        <w:rPr>
          <w:rFonts w:ascii="仿宋_GB2312" w:hAnsi="Times New Roman" w:eastAsia="仿宋_GB2312" w:cs="Times New Roman"/>
          <w:color w:val="000000" w:themeColor="text1"/>
          <w:sz w:val="32"/>
          <w:szCs w:val="32"/>
          <w14:textFill>
            <w14:solidFill>
              <w14:schemeClr w14:val="tx1"/>
            </w14:solidFill>
          </w14:textFill>
        </w:rPr>
        <w:t>报案审会主任审批后</w:t>
      </w:r>
      <w:r>
        <w:rPr>
          <w:rFonts w:hint="eastAsia" w:ascii="仿宋_GB2312" w:hAnsi="Times New Roman" w:eastAsia="仿宋_GB2312" w:cs="Times New Roman"/>
          <w:color w:val="000000" w:themeColor="text1"/>
          <w:sz w:val="32"/>
          <w:szCs w:val="32"/>
          <w14:textFill>
            <w14:solidFill>
              <w14:schemeClr w14:val="tx1"/>
            </w14:solidFill>
          </w14:textFill>
        </w:rPr>
        <w:t>，</w:t>
      </w:r>
      <w:r>
        <w:rPr>
          <w:rFonts w:ascii="仿宋_GB2312" w:hAnsi="Times New Roman" w:eastAsia="仿宋_GB2312" w:cs="Times New Roman"/>
          <w:color w:val="000000" w:themeColor="text1"/>
          <w:sz w:val="32"/>
          <w:szCs w:val="32"/>
          <w14:textFill>
            <w14:solidFill>
              <w14:schemeClr w14:val="tx1"/>
            </w14:solidFill>
          </w14:textFill>
        </w:rPr>
        <w:t>交综合行政办公室</w:t>
      </w:r>
      <w:r>
        <w:rPr>
          <w:rFonts w:hint="eastAsia" w:ascii="仿宋_GB2312" w:hAnsi="仿宋_GB2312" w:eastAsia="仿宋_GB2312" w:cs="仿宋_GB2312"/>
          <w:kern w:val="0"/>
          <w:sz w:val="32"/>
          <w:szCs w:val="32"/>
        </w:rPr>
        <w:t>确定讨论时间、地点和参加人</w:t>
      </w:r>
      <w:r>
        <w:rPr>
          <w:rFonts w:ascii="仿宋_GB2312" w:hAnsi="Times New Roman" w:eastAsia="仿宋_GB2312" w:cs="Times New Roman"/>
          <w:color w:val="000000" w:themeColor="text1"/>
          <w:sz w:val="32"/>
          <w:szCs w:val="32"/>
          <w14:textFill>
            <w14:solidFill>
              <w14:schemeClr w14:val="tx1"/>
            </w14:solidFill>
          </w14:textFill>
        </w:rPr>
        <w:t>，落实会务。</w:t>
      </w:r>
    </w:p>
    <w:p w14:paraId="02AE2354">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第七条</w:t>
      </w:r>
      <w:r>
        <w:rPr>
          <w:rFonts w:hint="eastAsia" w:ascii="仿宋_GB2312" w:hAnsi="仿宋_GB2312" w:eastAsia="仿宋_GB2312" w:cs="仿宋_GB2312"/>
          <w:kern w:val="0"/>
          <w:sz w:val="32"/>
          <w:szCs w:val="32"/>
        </w:rPr>
        <w:t xml:space="preserve"> 综合行政执法队、法制机构的负责人因故不能到会的，应当就案件提出书面意见，或者委托他人行使职责，并对其所提出的意见负责。</w:t>
      </w:r>
    </w:p>
    <w:p w14:paraId="70E4C8C9">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第八条</w:t>
      </w:r>
      <w:r>
        <w:rPr>
          <w:rFonts w:hint="eastAsia" w:ascii="仿宋_GB2312" w:hAnsi="仿宋_GB2312" w:eastAsia="仿宋_GB2312" w:cs="仿宋_GB2312"/>
          <w:kern w:val="0"/>
          <w:sz w:val="32"/>
          <w:szCs w:val="32"/>
        </w:rPr>
        <w:t xml:space="preserve"> 参会人员应当充分发表意见，主持人在听取各方面意见的基础上，实行民主集中制，以表决形式达成最终意见，形成会议决定。</w:t>
      </w:r>
    </w:p>
    <w:p w14:paraId="1A42AEA9">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第九条</w:t>
      </w:r>
      <w:r>
        <w:rPr>
          <w:rFonts w:hint="eastAsia" w:ascii="仿宋_GB2312" w:hAnsi="仿宋_GB2312" w:eastAsia="仿宋_GB2312" w:cs="仿宋_GB2312"/>
          <w:kern w:val="0"/>
          <w:sz w:val="32"/>
          <w:szCs w:val="32"/>
        </w:rPr>
        <w:t xml:space="preserve"> 需要报请集体讨论决定的案件，综合行政执法队应当在法定期限届满10日前提出申请，有以下情形之一的，不得提请讨论：</w:t>
      </w:r>
    </w:p>
    <w:p w14:paraId="683C74F9">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（一）事实、证据尚未调查清楚的，法定程序尚未履行完毕的；</w:t>
      </w:r>
    </w:p>
    <w:p w14:paraId="3337EFF1">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（二）案件材料不能反映案件实施等重要情况或者缺少承办人员的处理建议、当事人陈述申辩意见、法制机构审核意见之一的。</w:t>
      </w:r>
    </w:p>
    <w:p w14:paraId="0E4DEEBF">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第十条</w:t>
      </w:r>
      <w:r>
        <w:rPr>
          <w:rFonts w:hint="eastAsia" w:ascii="仿宋_GB2312" w:hAnsi="仿宋_GB2312" w:eastAsia="仿宋_GB2312" w:cs="仿宋_GB2312"/>
          <w:kern w:val="0"/>
          <w:sz w:val="32"/>
          <w:szCs w:val="32"/>
        </w:rPr>
        <w:t xml:space="preserve"> 集体讨论议事程序如下：</w:t>
      </w:r>
    </w:p>
    <w:p w14:paraId="7F0D838D">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（一）综合行政执法队负责人向会议报告案件基本情况（包括违法事实、主要证据、法律依据及处理建议），以及当事人陈述申辩意见。</w:t>
      </w:r>
    </w:p>
    <w:p w14:paraId="0F172A94">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（二）相关部门对案件情况进行说明：</w:t>
      </w:r>
    </w:p>
    <w:p w14:paraId="712B3533">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1.法制机构负责人向会议报告案件审核情况，并对审核意见进行说明；</w:t>
      </w:r>
    </w:p>
    <w:p w14:paraId="1978164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2.经过听证程序的，由听证主持人向会议做听证报告（包括违法事实认定情况、双方陈述申辩意见、新证据、承办人员对案件的听证意见等）；</w:t>
      </w:r>
    </w:p>
    <w:p w14:paraId="790CD884">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3.被提起行政复议或诉讼的，由案件代理人对答辩意见进行说明；</w:t>
      </w:r>
    </w:p>
    <w:p w14:paraId="119840C6">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4.国家赔偿案件，由承办人员做赔偿意见说明；</w:t>
      </w:r>
    </w:p>
    <w:p w14:paraId="7754BC4F">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5.涉嫌犯罪的案件，由综合执法队对涉刑案件移交意见进行说明。</w:t>
      </w:r>
    </w:p>
    <w:p w14:paraId="67521E79">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（三）参加会议人员依法就案件处理发表意见。</w:t>
      </w:r>
    </w:p>
    <w:p w14:paraId="213A7DA4">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（四）参加会议的成员在充分讨论的基础上，以表决的形式集中多数人意见，形成最终会议决定。</w:t>
      </w:r>
    </w:p>
    <w:p w14:paraId="0CCB2545">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第十一条</w:t>
      </w:r>
      <w:r>
        <w:rPr>
          <w:rFonts w:hint="eastAsia" w:ascii="仿宋_GB2312" w:hAnsi="仿宋_GB2312" w:eastAsia="仿宋_GB2312" w:cs="仿宋_GB2312"/>
          <w:kern w:val="0"/>
          <w:sz w:val="32"/>
          <w:szCs w:val="32"/>
        </w:rPr>
        <w:t xml:space="preserve"> 综合行政办公室负责整理、记录会议讨论内容，并经与会人员逐一签字确认。会议记录应当完整、详实地记录会议的真实情况和最终决定的形成情况，对于不同意见应予记载，并收入案卷。</w:t>
      </w:r>
    </w:p>
    <w:p w14:paraId="0018D170">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第十二条</w:t>
      </w:r>
      <w:r>
        <w:rPr>
          <w:rFonts w:hint="eastAsia" w:ascii="仿宋_GB2312" w:hAnsi="仿宋_GB2312" w:eastAsia="仿宋_GB2312" w:cs="仿宋_GB2312"/>
          <w:kern w:val="0"/>
          <w:sz w:val="32"/>
          <w:szCs w:val="32"/>
        </w:rPr>
        <w:t xml:space="preserve"> 参会人员应遵守保密规定，不得泄露会议讨论情况和内容。</w:t>
      </w:r>
    </w:p>
    <w:p w14:paraId="5DCC6773">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第十三条</w:t>
      </w:r>
      <w:r>
        <w:rPr>
          <w:rFonts w:hint="eastAsia" w:ascii="仿宋_GB2312" w:hAnsi="仿宋_GB2312" w:eastAsia="仿宋_GB2312" w:cs="仿宋_GB2312"/>
          <w:kern w:val="0"/>
          <w:sz w:val="32"/>
          <w:szCs w:val="32"/>
        </w:rPr>
        <w:t xml:space="preserve"> 综合行政执法队根据会议作出的处理决定，负责落实相关事项。</w:t>
      </w:r>
    </w:p>
    <w:p w14:paraId="006200A8">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第十四条</w:t>
      </w:r>
      <w:r>
        <w:rPr>
          <w:rFonts w:hint="eastAsia" w:ascii="仿宋_GB2312" w:hAnsi="仿宋_GB2312" w:eastAsia="仿宋_GB2312" w:cs="仿宋_GB2312"/>
          <w:kern w:val="0"/>
          <w:sz w:val="32"/>
          <w:szCs w:val="32"/>
        </w:rPr>
        <w:t xml:space="preserve"> 会议讨论决定的事项，需要向社会公开的，依据《中华人民共和国政府信息公开条例》的规定办理。</w:t>
      </w:r>
    </w:p>
    <w:p w14:paraId="654689DE">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第十五条</w:t>
      </w:r>
      <w:r>
        <w:rPr>
          <w:rFonts w:hint="eastAsia" w:ascii="仿宋_GB2312" w:hAnsi="仿宋_GB2312" w:eastAsia="仿宋_GB2312" w:cs="仿宋_GB2312"/>
          <w:kern w:val="0"/>
          <w:sz w:val="32"/>
          <w:szCs w:val="32"/>
        </w:rPr>
        <w:t xml:space="preserve"> 会议议定的事项，需要进行督办的，根据内部职责分工，由相关科室负责督办检查，并将落实情况报告主要领导及主管领导。</w:t>
      </w:r>
    </w:p>
    <w:p w14:paraId="019B1878">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第十六条</w:t>
      </w:r>
      <w:r>
        <w:rPr>
          <w:rFonts w:hint="eastAsia" w:ascii="仿宋_GB2312" w:hAnsi="仿宋_GB2312" w:eastAsia="仿宋_GB2312" w:cs="仿宋_GB2312"/>
          <w:kern w:val="0"/>
          <w:sz w:val="32"/>
          <w:szCs w:val="32"/>
        </w:rPr>
        <w:t xml:space="preserve"> 国家和市、区政府关于重大行政执法案件集体讨论制度另有规定的，按照相关规定执行。</w:t>
      </w:r>
    </w:p>
    <w:p w14:paraId="07547C68">
      <w:pPr>
        <w:ind w:firstLine="643" w:firstLineChars="200"/>
        <w:rPr>
          <w:rFonts w:ascii="仿宋_GB2312" w:hAnsi="仿宋_GB2312" w:eastAsia="仿宋_GB2312" w:cs="仿宋_GB2312"/>
          <w:kern w:val="0"/>
          <w:sz w:val="32"/>
          <w:szCs w:val="32"/>
        </w:rPr>
      </w:pPr>
      <w:r>
        <w:rPr>
          <w:rFonts w:hint="eastAsia" w:ascii="仿宋_GB2312" w:hAnsi="宋体" w:eastAsia="仿宋_GB2312" w:cs="宋体"/>
          <w:b/>
          <w:kern w:val="0"/>
          <w:sz w:val="32"/>
          <w:szCs w:val="32"/>
        </w:rPr>
        <w:t>第十七条</w:t>
      </w:r>
      <w:r>
        <w:rPr>
          <w:rFonts w:hint="eastAsia" w:ascii="仿宋_GB2312" w:hAnsi="仿宋_GB2312" w:eastAsia="仿宋_GB2312" w:cs="仿宋_GB2312"/>
          <w:kern w:val="0"/>
          <w:sz w:val="32"/>
          <w:szCs w:val="32"/>
        </w:rPr>
        <w:t xml:space="preserve"> 本制度自印发之日起施行。</w:t>
      </w:r>
    </w:p>
    <w:p w14:paraId="550A8AE2">
      <w:pPr>
        <w:spacing w:line="560" w:lineRule="exact"/>
        <w:ind w:firstLine="660"/>
        <w:rPr>
          <w:color w:val="000000" w:themeColor="text1"/>
          <w14:textFill>
            <w14:solidFill>
              <w14:schemeClr w14:val="tx1"/>
            </w14:solidFill>
          </w14:textFill>
        </w:rPr>
      </w:pPr>
    </w:p>
    <w:sectPr>
      <w:footerReference r:id="rId3" w:type="default"/>
      <w:pgSz w:w="11906" w:h="16838"/>
      <w:pgMar w:top="1440" w:right="1797" w:bottom="1440" w:left="179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E3BF6D-81C2-436D-B667-2721890697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73B7F1-18C1-4F0F-B67E-DEEFAB8CA643}"/>
  </w:font>
  <w:font w:name="方正小标宋简体">
    <w:panose1 w:val="02010600010101010101"/>
    <w:charset w:val="86"/>
    <w:family w:val="auto"/>
    <w:pitch w:val="default"/>
    <w:sig w:usb0="00000001" w:usb1="080E0000" w:usb2="00000000" w:usb3="00000000" w:csb0="00040000" w:csb1="00000000"/>
    <w:embedRegular r:id="rId3" w:fontKey="{E57764D7-C17F-4507-8B35-A1CAB1047EF7}"/>
  </w:font>
  <w:font w:name="仿宋_GB2312">
    <w:panose1 w:val="02010609030101010101"/>
    <w:charset w:val="86"/>
    <w:family w:val="modern"/>
    <w:pitch w:val="default"/>
    <w:sig w:usb0="00000001" w:usb1="080E0000" w:usb2="00000000" w:usb3="00000000" w:csb0="00040000" w:csb1="00000000"/>
    <w:embedRegular r:id="rId4" w:fontKey="{A3BB7C46-DD58-41B1-9214-8AE0B07B82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1613376"/>
      <w:docPartObj>
        <w:docPartGallery w:val="AutoText"/>
      </w:docPartObj>
    </w:sdtPr>
    <w:sdtContent>
      <w:p w14:paraId="30A815EF">
        <w:pPr>
          <w:pStyle w:val="3"/>
          <w:jc w:val="center"/>
        </w:pPr>
        <w:r>
          <w:fldChar w:fldCharType="begin"/>
        </w:r>
        <w:r>
          <w:instrText xml:space="preserve">PAGE   \* MERGEFORMAT</w:instrText>
        </w:r>
        <w:r>
          <w:fldChar w:fldCharType="separate"/>
        </w:r>
        <w:r>
          <w:rPr>
            <w:lang w:val="zh-CN"/>
          </w:rPr>
          <w:t>5</w:t>
        </w:r>
        <w:r>
          <w:fldChar w:fldCharType="end"/>
        </w:r>
      </w:p>
    </w:sdtContent>
  </w:sdt>
  <w:p w14:paraId="778F3B7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FF7"/>
    <w:rsid w:val="000042EE"/>
    <w:rsid w:val="000447D5"/>
    <w:rsid w:val="00172153"/>
    <w:rsid w:val="001F1F03"/>
    <w:rsid w:val="002119BD"/>
    <w:rsid w:val="002A7EDF"/>
    <w:rsid w:val="003079F4"/>
    <w:rsid w:val="00371DD0"/>
    <w:rsid w:val="003A4B58"/>
    <w:rsid w:val="004902E5"/>
    <w:rsid w:val="004D3250"/>
    <w:rsid w:val="00505F95"/>
    <w:rsid w:val="00533FF7"/>
    <w:rsid w:val="00681EC3"/>
    <w:rsid w:val="006E39FB"/>
    <w:rsid w:val="00893CA5"/>
    <w:rsid w:val="008D5286"/>
    <w:rsid w:val="009715F6"/>
    <w:rsid w:val="00A239EA"/>
    <w:rsid w:val="00A3766B"/>
    <w:rsid w:val="00A957D6"/>
    <w:rsid w:val="00B80819"/>
    <w:rsid w:val="00BC524C"/>
    <w:rsid w:val="00C266E4"/>
    <w:rsid w:val="00C37843"/>
    <w:rsid w:val="00C612E8"/>
    <w:rsid w:val="00CB66D1"/>
    <w:rsid w:val="00DC3339"/>
    <w:rsid w:val="00DD765E"/>
    <w:rsid w:val="00DF4EBE"/>
    <w:rsid w:val="00F1340B"/>
    <w:rsid w:val="00FD23CF"/>
    <w:rsid w:val="0DD233DD"/>
    <w:rsid w:val="15B1246B"/>
    <w:rsid w:val="409871A0"/>
    <w:rsid w:val="7B801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ql-align-cente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ql-author-28273825"/>
    <w:basedOn w:val="7"/>
    <w:uiPriority w:val="0"/>
  </w:style>
  <w:style w:type="paragraph" w:customStyle="1" w:styleId="10">
    <w:name w:val="ql-align-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ql-long-28273825"/>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7"/>
    <w:link w:val="4"/>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1768</Words>
  <Characters>1774</Characters>
  <Lines>13</Lines>
  <Paragraphs>3</Paragraphs>
  <TotalTime>54</TotalTime>
  <ScaleCrop>false</ScaleCrop>
  <LinksUpToDate>false</LinksUpToDate>
  <CharactersWithSpaces>1792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2020-07-15T07:38:00Z</dcterms:created>
  <dc:creator>sf</dc:creator>
  <cp:lastModifiedBy>hcy</cp:lastModifiedBy>
  <cp:lastPrinted>2020-10-12T06:15:00Z</cp:lastPrinted>
  <dcterms:modified xsi:type="dcterms:W3CDTF">2026-05-08T08:02:43Z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eyJoZGlkIjoiNGJkOWRkZmNkYjUzODI3NWQ1ZDZhN2MwMzAxMTcyZTkiLCJ1c2VySWQiOiIyMDE5MjU5NzcifQ==</vt:lpwstr>
  </property>
  <property fmtid="{D5CDD505-2E9C-101B-9397-08002B2CF9AE}" pid="4" name="ICV">
    <vt:lpwstr>841B202DE19C4188BC5A569B2B5A60C5_12</vt:lpwstr>
  </property>
</Properties>
</file>