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46454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313" w:afterLines="100" w:line="500" w:lineRule="exact"/>
        <w:ind w:firstLine="1321" w:firstLineChars="3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和义街道</w:t>
      </w:r>
      <w:r>
        <w:t>202</w:t>
      </w:r>
      <w:r>
        <w:rPr>
          <w:rFonts w:hint="eastAsia"/>
          <w:lang w:val="en-US" w:eastAsia="zh-CN"/>
        </w:rPr>
        <w:t>5</w:t>
      </w:r>
      <w:r>
        <w:t>年度行政执法统计年报</w:t>
      </w:r>
    </w:p>
    <w:p w14:paraId="0CBE51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2025年，和义街道办事处在区委、区政府的统一领导下，严格贯彻落实法治政府建设重点目标任务，紧扣“环境创优、执法提质、民生保障”核心，依法依规、统筹推进街道城市管理、安全生产、民生保障等各领域行政执法工作，切实维护辖区环境秩序稳定与居民群众合法权益。现将全年行政执法工作统计情况报告如下：</w:t>
      </w:r>
    </w:p>
    <w:p w14:paraId="3E34AF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一、行政执法机关执法主体名称及数量</w:t>
      </w:r>
    </w:p>
    <w:p w14:paraId="09A04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执法主体名称：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北京市丰台区人民政府和义街道办事处。</w:t>
      </w:r>
    </w:p>
    <w:p w14:paraId="10ABC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执法主体数量：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1个。</w:t>
      </w:r>
    </w:p>
    <w:p w14:paraId="3545A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执法岗位及人员在岗情况：</w:t>
      </w:r>
    </w:p>
    <w:p w14:paraId="73F1DB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A类执法岗位编制：</w:t>
      </w:r>
      <w:r>
        <w:rPr>
          <w:rFonts w:hint="eastAsia" w:ascii="仿宋" w:hAnsi="仿宋" w:eastAsia="仿宋"/>
          <w:color w:val="auto"/>
          <w:kern w:val="0"/>
          <w:sz w:val="32"/>
          <w:szCs w:val="32"/>
          <w:highlight w:val="none"/>
          <w:lang w:val="en-US" w:eastAsia="zh-CN"/>
        </w:rPr>
        <w:t>21个，实际在岗19人。</w:t>
      </w:r>
    </w:p>
    <w:p w14:paraId="6FD744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二、执法力量投入</w:t>
      </w:r>
      <w:bookmarkStart w:id="2" w:name="_GoBack"/>
      <w:bookmarkEnd w:id="2"/>
    </w:p>
    <w:p w14:paraId="3CFA2D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kern w:val="0"/>
          <w:sz w:val="32"/>
          <w:szCs w:val="32"/>
          <w:highlight w:val="none"/>
          <w:lang w:val="en-US" w:eastAsia="zh-CN"/>
        </w:rPr>
        <w:t>在岗执法人员全部投入一线执法。A类执法岗位已在执法平台全部进行关联，A类执法岗位编制比为90%，执法人员全部参与行政检查和行政处罚。为进一步规范执法检查行为，优化营商环境，对同一企业实施入企执法检查，年度频次上限为6次。</w:t>
      </w:r>
    </w:p>
    <w:p w14:paraId="39285284">
      <w:pPr>
        <w:ind w:firstLine="640" w:firstLineChars="20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三、各执法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  <w:t>主体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的参与执法率≥85%。</w:t>
      </w:r>
    </w:p>
    <w:p w14:paraId="442C6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四、政务服务情况</w:t>
      </w:r>
    </w:p>
    <w:p w14:paraId="6B4B46C2">
      <w:pPr>
        <w:ind w:firstLine="643" w:firstLineChars="200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kern w:val="0"/>
          <w:sz w:val="32"/>
          <w:szCs w:val="32"/>
          <w:lang w:val="en-US" w:eastAsia="zh-CN"/>
        </w:rPr>
        <w:t>（一）社会救助。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2025年，辖区精准落实社会救助政策，保障各类困难群体基本生活。全年保障低保户（含困补）248户436人、低收入家庭9户20人、特困人员2户2人，累计发放低保保障金约590万、低收入金约1.2万、特困金约6.6万元；实施临时救助61人次，发放救助金约20万元。精准兑现老年群体福利政策，为1104名老年人发放高龄补贴、840名老人发放失能护理补贴、211名老年人发放困难老年人养老服务补贴，合计发放补贴约842万元；依托市区特殊困难老年人探访关爱平台，对在册707名老人开展探访帮扶，实现探访率100%。扎实推进残疾人福利保障，为167名困难残疾人发放生活补贴，为165名残疾人发放重度残疾人护理补贴。强化补贴审核与日常帮扶，组织社区开展失能护理补贴入户核实工作，完成186户审核。</w:t>
      </w:r>
    </w:p>
    <w:p w14:paraId="2F2A13E2">
      <w:pPr>
        <w:ind w:firstLine="643" w:firstLineChars="200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kern w:val="0"/>
          <w:sz w:val="32"/>
          <w:szCs w:val="32"/>
          <w:lang w:val="en-US" w:eastAsia="zh-CN"/>
        </w:rPr>
        <w:t>（二）便民服务。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高效落实便民服务举措，多措并举推进就业与民生服务工作。积极搭建网络就业服务平台，打破时间与空间限制，实现就业服务“不打烊”。精准对接企业与求职者双向需求，组织开展2场线下招聘会、3场网络招聘会及1场带岗直播活动，吸引39家企业参会，累计提供优质岗位2670余个。在民生服务领域，高效办理各类业务，其中社保卡业务1160人次、灵活就业社会保险业务2351人次、医保相关业务（含手工药费报销、医院变更等）约1800人次、城乡居民养老业务150人次、就失业业务650人次，助力230人成功申领失业保险金；同时，为有需要的群众提供帮办代办、暖心服务约120人次。</w:t>
      </w:r>
    </w:p>
    <w:p w14:paraId="36B0D3E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五、平安建设工作情况</w:t>
      </w:r>
    </w:p>
    <w:p w14:paraId="6CE32606">
      <w:pPr>
        <w:pStyle w:val="2"/>
        <w:rPr>
          <w:rFonts w:hint="eastAsia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街道始终绷紧安全生产之弦，全方位筑牢辖区安全稳定防线。全年累计对辖区企业开展安全生产检查739家次，实现企业检查覆盖率100%；督促企业法人或主要负责人带队开展自查，累计自查10147家次，实现企业自查覆盖率100%。检查过程中共发现各类安全隐患3597处，均已全部完成整改闭环。在应急管理方面，持续完善应急管理体系建设，坚决防范和遏制重特大事故发生。全年累计发布极端天气预警信息50余次；依托街道综合指挥中心平台，构建“单兵系统+指挥中心+区级指挥”三级同屏调度机制，搭建以视频监控为核心的动态监测预警系统，实现对辖区状况的实时不间断监控。汛期期间，组织开展隐患专项排查17次，发现并整改隐患26处，累计实施抽排水作业50余次。在</w:t>
      </w:r>
      <w:r>
        <w:rPr>
          <w:rFonts w:hint="eastAsia" w:ascii="仿宋" w:hAnsi="仿宋" w:eastAsia="仿宋"/>
          <w:b w:val="0"/>
          <w:bCs w:val="0"/>
          <w:kern w:val="0"/>
          <w:sz w:val="32"/>
          <w:szCs w:val="32"/>
          <w:lang w:val="en-US" w:eastAsia="zh-CN"/>
        </w:rPr>
        <w:t>社会面防控与综合治理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上，全年共发动辖区居民、商户、保安、社区干部等2100余名“红袖标”治安志愿者队伍开展巡逻防控，圆满完成各项安全服务保障任务。深入开展反诈“三扫”专项行动，建立“131机制办”，搭建三级工作群412个，覆盖辖区3.3万人，辖区电诈发案量同比下降56.5%，涉案金额大幅减少。铁路沿线环境整治扎实推进，整治长度完成率达104.39%；群租房整治成效显著，完成23处群租房“回头看”工作，对19处违法群租房实现动态清零。</w:t>
      </w:r>
    </w:p>
    <w:p w14:paraId="017D62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六、行政执法检查计划执行情况</w:t>
      </w:r>
    </w:p>
    <w:p w14:paraId="748F80B1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3" w:firstLineChars="200"/>
        <w:jc w:val="both"/>
        <w:textAlignment w:val="auto"/>
        <w:rPr>
          <w:rFonts w:hint="eastAsia" w:ascii="仿宋" w:hAnsi="仿宋" w:eastAsia="仿宋" w:cstheme="minorBidi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theme="minorBidi"/>
          <w:b/>
          <w:bCs/>
          <w:kern w:val="0"/>
          <w:sz w:val="32"/>
          <w:szCs w:val="32"/>
          <w:highlight w:val="none"/>
          <w:lang w:val="en-US" w:eastAsia="zh-CN" w:bidi="ar-SA"/>
        </w:rPr>
        <w:t>（一）</w:t>
      </w:r>
      <w:bookmarkStart w:id="0" w:name="OLE_LINK1"/>
      <w:r>
        <w:rPr>
          <w:rFonts w:hint="eastAsia" w:ascii="仿宋" w:hAnsi="仿宋" w:eastAsia="仿宋" w:cstheme="minorBidi"/>
          <w:b/>
          <w:bCs/>
          <w:kern w:val="0"/>
          <w:sz w:val="32"/>
          <w:szCs w:val="32"/>
          <w:highlight w:val="none"/>
          <w:lang w:val="en-US" w:eastAsia="zh-CN" w:bidi="ar-SA"/>
        </w:rPr>
        <w:t>城市管理。</w:t>
      </w:r>
      <w:r>
        <w:rPr>
          <w:rFonts w:hint="eastAsia" w:ascii="仿宋" w:hAnsi="仿宋" w:eastAsia="仿宋" w:cstheme="minorBidi"/>
          <w:kern w:val="0"/>
          <w:sz w:val="32"/>
          <w:szCs w:val="32"/>
          <w:highlight w:val="none"/>
          <w:lang w:val="en-US" w:eastAsia="zh-CN" w:bidi="ar-SA"/>
        </w:rPr>
        <w:t>聚焦重点道路、重点区域环境秩序问题综合执法，推动辖区公共秩序提质增效。</w:t>
      </w:r>
      <w:r>
        <w:rPr>
          <w:rFonts w:hint="eastAsia" w:ascii="仿宋" w:hAnsi="仿宋" w:eastAsia="仿宋" w:cstheme="minorBidi"/>
          <w:b/>
          <w:bCs/>
          <w:kern w:val="0"/>
          <w:sz w:val="32"/>
          <w:szCs w:val="32"/>
          <w:highlight w:val="none"/>
          <w:lang w:val="en-US" w:eastAsia="zh-CN" w:bidi="ar-SA"/>
        </w:rPr>
        <w:t>部门联动深化“门前三包”责任制专项整治：</w:t>
      </w:r>
      <w:r>
        <w:rPr>
          <w:rFonts w:hint="eastAsia" w:ascii="仿宋" w:hAnsi="仿宋" w:eastAsia="仿宋" w:cstheme="minorBidi"/>
          <w:kern w:val="0"/>
          <w:sz w:val="32"/>
          <w:szCs w:val="32"/>
          <w:highlight w:val="none"/>
          <w:lang w:val="en-US" w:eastAsia="zh-CN" w:bidi="ar-SA"/>
        </w:rPr>
        <w:t>通过签订责任书、“巡查+盯守”、联合执法等方式，压实商户主体责任。持续集中力量打造“和义庄北街秩序严管示范街”亮点工程，结合网格巡查前置化、智慧监管常态化、部门联动一体化等手段，源头减少群众诉求。</w:t>
      </w:r>
      <w:r>
        <w:rPr>
          <w:rFonts w:hint="eastAsia" w:ascii="仿宋" w:hAnsi="仿宋" w:eastAsia="仿宋" w:cstheme="minorBidi"/>
          <w:b/>
          <w:bCs/>
          <w:kern w:val="0"/>
          <w:sz w:val="32"/>
          <w:szCs w:val="32"/>
          <w:highlight w:val="none"/>
          <w:lang w:val="en-US" w:eastAsia="zh-CN" w:bidi="ar-SA"/>
        </w:rPr>
        <w:t>重点巡查提升垃圾分类管理水平：</w:t>
      </w:r>
      <w:r>
        <w:rPr>
          <w:rFonts w:hint="eastAsia" w:ascii="仿宋" w:hAnsi="仿宋" w:eastAsia="仿宋" w:cstheme="minorBidi"/>
          <w:kern w:val="0"/>
          <w:sz w:val="32"/>
          <w:szCs w:val="32"/>
          <w:highlight w:val="none"/>
          <w:lang w:val="en-US" w:eastAsia="zh-CN" w:bidi="ar-SA"/>
        </w:rPr>
        <w:t>突出加强生活垃圾分类执法检查，积极开展建筑垃圾违法处置专项整治行动，加大重点区域、重点路段和重点施工工地的巡查力度，加强渣土运输车辆巡查执法力度。</w:t>
      </w:r>
      <w:r>
        <w:rPr>
          <w:rFonts w:hint="eastAsia" w:ascii="仿宋" w:hAnsi="仿宋" w:eastAsia="仿宋" w:cstheme="minorBidi"/>
          <w:b/>
          <w:bCs/>
          <w:kern w:val="0"/>
          <w:sz w:val="32"/>
          <w:szCs w:val="32"/>
          <w:highlight w:val="none"/>
          <w:lang w:val="en-US" w:eastAsia="zh-CN" w:bidi="ar-SA"/>
        </w:rPr>
        <w:t>专项治理推动辖区空气质量持续改善：</w:t>
      </w:r>
      <w:r>
        <w:rPr>
          <w:rFonts w:hint="eastAsia" w:ascii="仿宋" w:hAnsi="仿宋" w:eastAsia="仿宋" w:cstheme="minorBidi"/>
          <w:kern w:val="0"/>
          <w:sz w:val="32"/>
          <w:szCs w:val="32"/>
          <w:highlight w:val="none"/>
          <w:lang w:val="en-US" w:eastAsia="zh-CN" w:bidi="ar-SA"/>
        </w:rPr>
        <w:t>聚焦施工扬尘、道路遗撒、露天焚烧、露天烧烤等重点污染源，强化日常巡查和专项治理，督促落实施工现场“六个百分之百”要求。</w:t>
      </w:r>
      <w:r>
        <w:rPr>
          <w:rFonts w:hint="eastAsia" w:ascii="仿宋" w:hAnsi="仿宋" w:eastAsia="仿宋" w:cstheme="minorBidi"/>
          <w:b/>
          <w:bCs/>
          <w:kern w:val="0"/>
          <w:sz w:val="32"/>
          <w:szCs w:val="32"/>
          <w:highlight w:val="none"/>
          <w:lang w:val="en-US" w:eastAsia="zh-CN" w:bidi="ar-SA"/>
        </w:rPr>
        <w:t>突击严查规范道路运输秩序：</w:t>
      </w:r>
      <w:r>
        <w:rPr>
          <w:rFonts w:hint="eastAsia" w:ascii="仿宋" w:hAnsi="仿宋" w:eastAsia="仿宋" w:cstheme="minorBidi"/>
          <w:kern w:val="0"/>
          <w:sz w:val="32"/>
          <w:szCs w:val="32"/>
          <w:highlight w:val="none"/>
          <w:lang w:val="en-US" w:eastAsia="zh-CN" w:bidi="ar-SA"/>
        </w:rPr>
        <w:t>加大联合执法和夜间突击检查力度，严查车辆遗撒泄漏、超载超限等违法行为。充分运用视频监控、车辆识别等非现场执法手段，提升执法覆盖面和执法效率。</w:t>
      </w:r>
      <w:r>
        <w:rPr>
          <w:rFonts w:hint="eastAsia" w:ascii="仿宋" w:hAnsi="仿宋" w:eastAsia="仿宋" w:cstheme="minorBidi"/>
          <w:b/>
          <w:bCs/>
          <w:kern w:val="0"/>
          <w:sz w:val="32"/>
          <w:szCs w:val="32"/>
          <w:highlight w:val="none"/>
          <w:lang w:val="en-US" w:eastAsia="zh-CN" w:bidi="ar-SA"/>
        </w:rPr>
        <w:t>拆违控违有效释放城市空间。</w:t>
      </w:r>
      <w:r>
        <w:rPr>
          <w:rFonts w:hint="eastAsia" w:ascii="仿宋" w:hAnsi="仿宋" w:eastAsia="仿宋" w:cstheme="minorBidi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全力拆除了松林庄、金福公寓、久敬家园北、佳乐驾校、窑窝村等多点位违法建设，同步攻坚推进通久步云2.4万平方米、锦苑超建6200平方米、市政办公楼3500平方米等大体量违法建设的拆销工作。</w:t>
      </w:r>
      <w:bookmarkEnd w:id="0"/>
    </w:p>
    <w:p w14:paraId="28C6EB62">
      <w:pPr>
        <w:ind w:firstLine="643" w:firstLineChars="200"/>
        <w:rPr>
          <w:rFonts w:hint="eastAsia" w:ascii="仿宋" w:hAnsi="仿宋" w:eastAsia="仿宋" w:cstheme="minorBidi"/>
          <w:kern w:val="0"/>
          <w:sz w:val="32"/>
          <w:szCs w:val="32"/>
          <w:highlight w:val="none"/>
          <w:lang w:val="en-US" w:eastAsia="zh-CN" w:bidi="ar-SA"/>
        </w:rPr>
      </w:pPr>
      <w:bookmarkStart w:id="1" w:name="OLE_LINK2"/>
      <w:r>
        <w:rPr>
          <w:rFonts w:hint="eastAsia" w:ascii="仿宋" w:hAnsi="仿宋" w:eastAsia="仿宋" w:cstheme="minorBidi"/>
          <w:b/>
          <w:bCs/>
          <w:kern w:val="0"/>
          <w:sz w:val="32"/>
          <w:szCs w:val="32"/>
          <w:highlight w:val="none"/>
          <w:lang w:val="en-US" w:eastAsia="zh-CN" w:bidi="ar-SA"/>
        </w:rPr>
        <w:t>（二）拆违治乱。</w:t>
      </w:r>
      <w:bookmarkEnd w:id="1"/>
      <w:r>
        <w:rPr>
          <w:rFonts w:hint="eastAsia" w:ascii="仿宋" w:hAnsi="仿宋" w:eastAsia="仿宋" w:cstheme="minorBidi"/>
          <w:kern w:val="0"/>
          <w:sz w:val="32"/>
          <w:szCs w:val="32"/>
          <w:highlight w:val="none"/>
          <w:lang w:val="en-US" w:eastAsia="zh-CN" w:bidi="ar-SA"/>
        </w:rPr>
        <w:t>本年度，街道共计拆除并销账违法建设193处，涉及违法面积75353.27平方米，腾退土地29741.74平方米。萍东市集南、大红门24号、东马厂88号院、金贝德幼儿园南侧正在进一步拆除中。针对辖区规自领域历史执法台账、卫片、图斑等问题，整改月度卫片29处，消除整改历史遗留卫片2处，整改疑似拆后复建3处。</w:t>
      </w:r>
    </w:p>
    <w:p w14:paraId="4173A7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七、行政处罚、行政强制等案件的办理情况</w:t>
      </w:r>
    </w:p>
    <w:p w14:paraId="16E19F20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both"/>
        <w:textAlignment w:val="auto"/>
        <w:rPr>
          <w:rFonts w:hint="eastAsia" w:ascii="仿宋" w:hAnsi="仿宋" w:eastAsia="仿宋" w:cstheme="minorBidi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theme="minorBidi"/>
          <w:kern w:val="0"/>
          <w:sz w:val="32"/>
          <w:szCs w:val="32"/>
          <w:highlight w:val="none"/>
          <w:lang w:val="en-US" w:eastAsia="zh-CN" w:bidi="ar-SA"/>
        </w:rPr>
        <w:t>本年度，街道综合行政执法队共立案242起：不予行政处罚55起，行政处罚187起，罚款26.0390万元，其中：占道经营问题90起，罚款7020元；非法小广告问题6起，罚款1800元；公共区域环境秩序问题5起，罚款4620元；施工工地管理问题2起，罚款2万元；违规运输车辆问题10起，罚款7.3万元；露天烧烤问题6起，罚款1650元；生活垃圾分类问题64起，罚款15.01万元；私装地锁问题4起，罚款2000元；吸烟问题1起，罚款200元；行政强制案件0件。</w:t>
      </w:r>
    </w:p>
    <w:p w14:paraId="592E4D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八、投诉、举报案件的受理和分类处理情况</w:t>
      </w:r>
    </w:p>
    <w:p w14:paraId="0E7E3DE8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both"/>
        <w:textAlignment w:val="auto"/>
        <w:rPr>
          <w:rFonts w:hint="eastAsia" w:ascii="仿宋" w:hAnsi="仿宋" w:eastAsia="仿宋" w:cstheme="minorBidi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theme="minorBidi"/>
          <w:kern w:val="0"/>
          <w:sz w:val="32"/>
          <w:szCs w:val="32"/>
          <w:highlight w:val="none"/>
          <w:lang w:val="en-US" w:eastAsia="zh-CN" w:bidi="ar-SA"/>
        </w:rPr>
        <w:t>本年度，和义街道综合行政执法队共接到投诉、举报案件1743件，电话举报71件，涉及施工扰民112件，无照经营、店外经营、占道经营、堆物堆料135件、露天烧烤及露天焚烧34件，户外广告牌匾、非法小广告等各项执法工作8件。</w:t>
      </w:r>
    </w:p>
    <w:p w14:paraId="4282D9C1">
      <w:pPr>
        <w:rPr>
          <w:rFonts w:hint="default"/>
          <w:highlight w:val="none"/>
          <w:lang w:val="en-US" w:eastAsia="zh-CN"/>
        </w:rPr>
      </w:pPr>
    </w:p>
    <w:p w14:paraId="13D1C8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0" w:firstLineChars="2000"/>
        <w:jc w:val="both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85963831"/>
      <w:docPartObj>
        <w:docPartGallery w:val="autotext"/>
      </w:docPartObj>
    </w:sdtPr>
    <w:sdtContent>
      <w:p w14:paraId="1C87DFF2"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 w14:paraId="67F0887F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379"/>
    <w:rsid w:val="00002274"/>
    <w:rsid w:val="00026740"/>
    <w:rsid w:val="000C37FF"/>
    <w:rsid w:val="00160451"/>
    <w:rsid w:val="001C0E83"/>
    <w:rsid w:val="002463B9"/>
    <w:rsid w:val="002E6155"/>
    <w:rsid w:val="002E7089"/>
    <w:rsid w:val="00302C12"/>
    <w:rsid w:val="00326608"/>
    <w:rsid w:val="00342C0D"/>
    <w:rsid w:val="004108E5"/>
    <w:rsid w:val="00416DB1"/>
    <w:rsid w:val="00450195"/>
    <w:rsid w:val="00475379"/>
    <w:rsid w:val="00526DE1"/>
    <w:rsid w:val="007A41E5"/>
    <w:rsid w:val="00803A84"/>
    <w:rsid w:val="00867A8E"/>
    <w:rsid w:val="00884094"/>
    <w:rsid w:val="008A4A58"/>
    <w:rsid w:val="008B5BAC"/>
    <w:rsid w:val="00922DB3"/>
    <w:rsid w:val="009B1364"/>
    <w:rsid w:val="009E5877"/>
    <w:rsid w:val="00B37CDC"/>
    <w:rsid w:val="00BC5A4E"/>
    <w:rsid w:val="00BD5677"/>
    <w:rsid w:val="00BF09CF"/>
    <w:rsid w:val="00BF33FA"/>
    <w:rsid w:val="00C004AA"/>
    <w:rsid w:val="00C215A1"/>
    <w:rsid w:val="00C8197D"/>
    <w:rsid w:val="00CC056D"/>
    <w:rsid w:val="00CF13AB"/>
    <w:rsid w:val="00D62328"/>
    <w:rsid w:val="00F571B7"/>
    <w:rsid w:val="00F97AFD"/>
    <w:rsid w:val="00FB354F"/>
    <w:rsid w:val="01156DFF"/>
    <w:rsid w:val="04113F8A"/>
    <w:rsid w:val="049938BE"/>
    <w:rsid w:val="0B301934"/>
    <w:rsid w:val="0B6947A3"/>
    <w:rsid w:val="0FD55652"/>
    <w:rsid w:val="10B0047E"/>
    <w:rsid w:val="12BA4397"/>
    <w:rsid w:val="12F654DA"/>
    <w:rsid w:val="1465529B"/>
    <w:rsid w:val="1BC10DF5"/>
    <w:rsid w:val="1C3F03A6"/>
    <w:rsid w:val="1CA12A15"/>
    <w:rsid w:val="1DB53BB0"/>
    <w:rsid w:val="1E40063E"/>
    <w:rsid w:val="1F8A50D6"/>
    <w:rsid w:val="20D97B34"/>
    <w:rsid w:val="23872002"/>
    <w:rsid w:val="27635D04"/>
    <w:rsid w:val="27D972D8"/>
    <w:rsid w:val="28BC57DE"/>
    <w:rsid w:val="29593875"/>
    <w:rsid w:val="2FDA2E96"/>
    <w:rsid w:val="324F21AB"/>
    <w:rsid w:val="33A52667"/>
    <w:rsid w:val="34ED658E"/>
    <w:rsid w:val="35AF435C"/>
    <w:rsid w:val="376A5B3C"/>
    <w:rsid w:val="37BA6CCF"/>
    <w:rsid w:val="3B234F1E"/>
    <w:rsid w:val="3C434FC7"/>
    <w:rsid w:val="3CB84511"/>
    <w:rsid w:val="3EB103D3"/>
    <w:rsid w:val="3EF01044"/>
    <w:rsid w:val="3F5B7D75"/>
    <w:rsid w:val="427F00EB"/>
    <w:rsid w:val="44B96F0B"/>
    <w:rsid w:val="4553589A"/>
    <w:rsid w:val="47081202"/>
    <w:rsid w:val="4B3F2D63"/>
    <w:rsid w:val="4B492A9E"/>
    <w:rsid w:val="4C482781"/>
    <w:rsid w:val="4D7857B9"/>
    <w:rsid w:val="4F156549"/>
    <w:rsid w:val="54E822F9"/>
    <w:rsid w:val="5F6E2D13"/>
    <w:rsid w:val="6573425F"/>
    <w:rsid w:val="65AA5EFB"/>
    <w:rsid w:val="65DE1FF9"/>
    <w:rsid w:val="69C87955"/>
    <w:rsid w:val="6ACE0CD3"/>
    <w:rsid w:val="6D773B55"/>
    <w:rsid w:val="73325734"/>
    <w:rsid w:val="748C32FE"/>
    <w:rsid w:val="76B30C0D"/>
    <w:rsid w:val="7BAF79D7"/>
    <w:rsid w:val="7CCF6CE0"/>
    <w:rsid w:val="7DC93893"/>
    <w:rsid w:val="7F4C20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qFormat="1" w:uiPriority="99" w:semiHidden="0" w:name="index 9"/>
    <w:lsdException w:uiPriority="39" w:name="toc 1"/>
    <w:lsdException w:qFormat="1" w:unhideWhenUsed="0" w:uiPriority="0" w:semiHidden="0" w:name="toc 2"/>
    <w:lsdException w:qFormat="1" w:unhideWhenUsed="0" w:uiPriority="0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spacing w:line="560" w:lineRule="exact"/>
      <w:ind w:firstLine="880" w:firstLineChars="200"/>
    </w:pPr>
    <w:rPr>
      <w:rFonts w:ascii="仿宋_GB2312" w:hAnsi="仿宋_GB2312" w:eastAsia="仿宋_GB2312"/>
      <w:sz w:val="32"/>
    </w:rPr>
  </w:style>
  <w:style w:type="paragraph" w:styleId="5">
    <w:name w:val="Body Text"/>
    <w:basedOn w:val="1"/>
    <w:next w:val="1"/>
    <w:qFormat/>
    <w:uiPriority w:val="0"/>
    <w:pPr>
      <w:spacing w:after="120"/>
    </w:p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index 9"/>
    <w:basedOn w:val="1"/>
    <w:next w:val="1"/>
    <w:unhideWhenUsed/>
    <w:qFormat/>
    <w:uiPriority w:val="99"/>
    <w:pPr>
      <w:ind w:left="1600" w:leftChars="1600"/>
    </w:pPr>
  </w:style>
  <w:style w:type="paragraph" w:styleId="9">
    <w:name w:val="toc 2"/>
    <w:basedOn w:val="1"/>
    <w:next w:val="1"/>
    <w:qFormat/>
    <w:uiPriority w:val="0"/>
    <w:pPr>
      <w:ind w:left="420" w:leftChars="200"/>
    </w:pPr>
  </w:style>
  <w:style w:type="paragraph" w:styleId="10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3">
    <w:name w:val="正文-公1"/>
    <w:next w:val="1"/>
    <w:qFormat/>
    <w:uiPriority w:val="0"/>
    <w:pPr>
      <w:widowControl w:val="0"/>
      <w:ind w:firstLine="200" w:firstLineChars="200"/>
    </w:pPr>
    <w:rPr>
      <w:rFonts w:ascii="Times New Roman" w:hAnsi="Times New Roman" w:eastAsia="仿宋_GB2312" w:cs="Times New Roman"/>
      <w:kern w:val="2"/>
      <w:sz w:val="21"/>
      <w:szCs w:val="22"/>
      <w:lang w:val="en-US" w:eastAsia="zh-CN" w:bidi="ar-SA"/>
    </w:rPr>
  </w:style>
  <w:style w:type="character" w:customStyle="1" w:styleId="14">
    <w:name w:val="页眉 Char"/>
    <w:basedOn w:val="12"/>
    <w:link w:val="7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6"/>
    <w:qFormat/>
    <w:uiPriority w:val="99"/>
    <w:rPr>
      <w:sz w:val="18"/>
      <w:szCs w:val="18"/>
    </w:rPr>
  </w:style>
  <w:style w:type="character" w:customStyle="1" w:styleId="16">
    <w:name w:val="17"/>
    <w:basedOn w:val="12"/>
    <w:qFormat/>
    <w:uiPriority w:val="0"/>
    <w:rPr>
      <w:rFonts w:hint="default" w:ascii="Times New Roman" w:eastAsia="楷体_GB2312" w:cs="楷体_GB2312"/>
      <w:sz w:val="32"/>
      <w:szCs w:val="32"/>
    </w:rPr>
  </w:style>
  <w:style w:type="character" w:customStyle="1" w:styleId="17">
    <w:name w:val="fontstyle01"/>
    <w:basedOn w:val="12"/>
    <w:qFormat/>
    <w:uiPriority w:val="0"/>
    <w:rPr>
      <w:rFonts w:hint="default" w:ascii="仿宋" w:hAnsi="仿宋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B238D-B738-4332-B8BC-77AA8C9F56A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2406</Words>
  <Characters>2588</Characters>
  <Lines>9</Lines>
  <Paragraphs>2</Paragraphs>
  <TotalTime>39</TotalTime>
  <ScaleCrop>false</ScaleCrop>
  <LinksUpToDate>false</LinksUpToDate>
  <CharactersWithSpaces>2588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2021-11-03T03:26:00Z</dcterms:created>
  <dc:creator>Kang Kai</dc:creator>
  <cp:lastModifiedBy>WPS_1765778887</cp:lastModifiedBy>
  <cp:lastPrinted>2021-11-02T11:00:00Z</cp:lastPrinted>
  <dcterms:modified xsi:type="dcterms:W3CDTF">2026-02-26T01:38:26Z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34D0B619BB954245A98567126315876B</vt:lpwstr>
  </property>
  <property fmtid="{D5CDD505-2E9C-101B-9397-08002B2CF9AE}" pid="4" name="KSOTemplateDocerSaveRecord">
    <vt:lpwstr>eyJoZGlkIjoiNWQ4NjMzMWY3MjgwN2NhZGYzNDZhMmM2NmFmODFmNTkiLCJ1c2VySWQiOiIxNzgwNjI0Njk2In0=</vt:lpwstr>
  </property>
</Properties>
</file>