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ascii="宋体" w:hAnsi="宋体" w:eastAsia="宋体" w:cs="宋体"/>
          <w:b/>
          <w:color w:val="auto"/>
          <w:kern w:val="0"/>
          <w:sz w:val="44"/>
          <w:szCs w:val="44"/>
          <w:lang w:bidi="ar"/>
        </w:rPr>
      </w:pPr>
      <w:r>
        <w:rPr>
          <w:rFonts w:ascii="宋体" w:hAnsi="宋体" w:eastAsia="宋体" w:cs="宋体"/>
          <w:b/>
          <w:color w:val="auto"/>
          <w:kern w:val="0"/>
          <w:sz w:val="44"/>
          <w:szCs w:val="44"/>
          <w:lang w:bidi="ar"/>
        </w:rPr>
        <w:t>丰台区</w:t>
      </w:r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lang w:bidi="ar"/>
        </w:rPr>
        <w:t>人民政府</w:t>
      </w:r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lang w:eastAsia="zh-CN" w:bidi="ar"/>
        </w:rPr>
        <w:t>卢沟桥</w:t>
      </w:r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lang w:bidi="ar"/>
        </w:rPr>
        <w:t>街道办事处202</w:t>
      </w:r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lang w:val="en-US" w:eastAsia="zh-CN" w:bidi="ar"/>
        </w:rPr>
        <w:t>5</w:t>
      </w:r>
      <w:r>
        <w:rPr>
          <w:rFonts w:ascii="宋体" w:hAnsi="宋体" w:eastAsia="宋体" w:cs="宋体"/>
          <w:b/>
          <w:color w:val="auto"/>
          <w:kern w:val="0"/>
          <w:sz w:val="44"/>
          <w:szCs w:val="44"/>
          <w:lang w:bidi="ar"/>
        </w:rPr>
        <w:t>年行政执法统计年报</w:t>
      </w:r>
    </w:p>
    <w:p>
      <w:pPr>
        <w:widowControl/>
        <w:spacing w:line="600" w:lineRule="atLeast"/>
        <w:jc w:val="center"/>
        <w:rPr>
          <w:rFonts w:ascii="宋体" w:hAnsi="宋体" w:eastAsia="宋体" w:cs="宋体"/>
          <w:b/>
          <w:color w:val="auto"/>
          <w:kern w:val="0"/>
          <w:sz w:val="44"/>
          <w:szCs w:val="44"/>
          <w:lang w:bidi="ar"/>
        </w:rPr>
      </w:pPr>
    </w:p>
    <w:p>
      <w:pPr>
        <w:pStyle w:val="6"/>
        <w:widowControl/>
        <w:numPr>
          <w:ilvl w:val="0"/>
          <w:numId w:val="0"/>
        </w:numPr>
        <w:spacing w:line="580" w:lineRule="atLeast"/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eastAsia="zh-CN"/>
        </w:rPr>
        <w:t>一、行政执法机关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ascii="仿宋" w:hAnsi="仿宋" w:eastAsia="仿宋" w:cs="仿宋"/>
          <w:b/>
          <w:color w:val="auto"/>
          <w:kern w:val="0"/>
          <w:sz w:val="32"/>
          <w:szCs w:val="32"/>
        </w:rPr>
        <w:t>执法主体名称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eastAsia="zh-CN"/>
        </w:rPr>
        <w:t>和数量情况</w:t>
      </w:r>
      <w:r>
        <w:rPr>
          <w:rFonts w:ascii="仿宋" w:hAnsi="仿宋" w:eastAsia="仿宋" w:cs="仿宋"/>
          <w:b/>
          <w:color w:val="auto"/>
          <w:kern w:val="0"/>
          <w:sz w:val="32"/>
          <w:szCs w:val="32"/>
        </w:rPr>
        <w:t>：</w:t>
      </w:r>
    </w:p>
    <w:p>
      <w:pPr>
        <w:widowControl/>
        <w:spacing w:line="580" w:lineRule="atLeas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北京市丰台区人民政府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卢沟桥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街道办事处</w:t>
      </w:r>
    </w:p>
    <w:p>
      <w:pPr>
        <w:pStyle w:val="6"/>
        <w:widowControl/>
        <w:numPr>
          <w:ilvl w:val="0"/>
          <w:numId w:val="0"/>
        </w:numPr>
        <w:spacing w:line="580" w:lineRule="atLeast"/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eastAsia="zh-CN"/>
        </w:rPr>
        <w:t>二、执法岗位设置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t>及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eastAsia="zh-CN"/>
        </w:rPr>
        <w:t>执法人员在岗情况</w:t>
      </w:r>
      <w:r>
        <w:rPr>
          <w:rFonts w:ascii="仿宋" w:hAnsi="仿宋" w:eastAsia="仿宋" w:cs="仿宋"/>
          <w:b/>
          <w:color w:val="auto"/>
          <w:kern w:val="0"/>
          <w:sz w:val="32"/>
          <w:szCs w:val="32"/>
        </w:rPr>
        <w:t>：</w:t>
      </w:r>
    </w:p>
    <w:p>
      <w:pPr>
        <w:pStyle w:val="6"/>
        <w:widowControl/>
        <w:numPr>
          <w:ilvl w:val="0"/>
          <w:numId w:val="0"/>
        </w:numPr>
        <w:spacing w:line="580" w:lineRule="atLeas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卢沟桥街道办事处综合行政执法队A类执法岗位设置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人，实际在岗人员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人，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人均办理执法证。</w:t>
      </w:r>
    </w:p>
    <w:p>
      <w:pPr>
        <w:pStyle w:val="6"/>
        <w:widowControl/>
        <w:numPr>
          <w:ilvl w:val="0"/>
          <w:numId w:val="0"/>
        </w:numPr>
        <w:spacing w:line="580" w:lineRule="atLeast"/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eastAsia="zh-CN"/>
        </w:rPr>
        <w:t>三、执法力量投入情况</w:t>
      </w:r>
    </w:p>
    <w:p>
      <w:pPr>
        <w:widowControl/>
        <w:spacing w:line="580" w:lineRule="atLeas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人参与日常执法。在队人员包括：队长1人；副队长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人；内勤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人；法制2人；外勤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人。</w:t>
      </w:r>
    </w:p>
    <w:p>
      <w:pPr>
        <w:pStyle w:val="6"/>
        <w:widowControl/>
        <w:numPr>
          <w:ilvl w:val="0"/>
          <w:numId w:val="0"/>
        </w:numPr>
        <w:spacing w:line="580" w:lineRule="atLeast"/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t>政务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eastAsia="zh-CN"/>
        </w:rPr>
        <w:t>服务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t>事项的办理情况</w:t>
      </w:r>
    </w:p>
    <w:p>
      <w:pPr>
        <w:widowControl/>
        <w:spacing w:line="580" w:lineRule="atLeas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按照有关要求，定期报卷，及时公开公示相关信息，积极推动政务服务公开事项的办理。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ascii="仿宋" w:hAnsi="仿宋" w:eastAsia="仿宋" w:cs="仿宋"/>
          <w:b/>
          <w:color w:val="auto"/>
          <w:sz w:val="32"/>
          <w:szCs w:val="32"/>
        </w:rPr>
        <w:t>执法检查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计划执行情况</w:t>
      </w:r>
      <w:r>
        <w:rPr>
          <w:rFonts w:ascii="仿宋" w:hAnsi="仿宋" w:eastAsia="仿宋" w:cs="仿宋"/>
          <w:b/>
          <w:color w:val="auto"/>
          <w:sz w:val="32"/>
          <w:szCs w:val="32"/>
        </w:rPr>
        <w:t>：</w:t>
      </w:r>
    </w:p>
    <w:p>
      <w:pPr>
        <w:widowControl/>
        <w:spacing w:line="580" w:lineRule="atLeas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在当前优化营商环境背景下，执法队严格落实扫码检查工作，优化日常检查模式，全面贯彻“无事不扰、扫码检查”机制，对同一企业实施入企检查年度频次上限6次/年，全年开展检查4703次，非现场检查占比达77.43%，通过“差异化”执法提升监管效能。</w:t>
      </w:r>
      <w:bookmarkStart w:id="1" w:name="_GoBack"/>
      <w:bookmarkEnd w:id="1"/>
    </w:p>
    <w:p>
      <w:pPr>
        <w:spacing w:line="56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bCs/>
          <w:color w:val="auto"/>
          <w:sz w:val="32"/>
          <w:szCs w:val="32"/>
        </w:rPr>
        <w:t>执法检查计划已按照计划全部完成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，主要工作完成情况如下：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（一）做好工地现场管理。辖区内现有房建工地14处，市政道路建设施工3处，工地数量在丰台区占比较高，但工地管理专项执法工作考核排名前列，共计录入施工工地现场及非现场检查单971条，共计立案109起，处罚58.16万元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（二）做好街面环境秩序管理。持续强化环境秩序整治，今年以来累计立案查处无照经营、店外经营、乱堆物料等违法形态227起，罚款2.72万元；查处露天烧烤4起，罚款2000元。针对金通阳光苑大排档、水魔方等重点点位无照经营问题，通过“现场巡查+非现场监管”开展集中整治，同步强化夏季重点时段及大风天气秩序保障，实现街面管控精准化、常态化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（三）能源运行专项执法工作方面，持续加大燃气、水务安全执法检查力度，与水务局开展联合执法3次，对倾倒污水的个人处罚6起，共250元，不予处罚1起。检查燃气用户271家次，制作不予处罚案卷15件，共查扣并移交液化气罐17个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（四）强力推进生活垃圾分类规范化管理。对商户、物业进行垃圾分类检查356家次，制作不予处罚案卷8件，处罚13起，共计罚款9.6万元；对个人随意倾倒、抛洒、堆放城市生活垃圾处罚10起，查处居民未按规定进行垃圾分类问题66起，予以警告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（五）结合“创卫”工作，加大“门前三包”管理力度。主动承办城乡管理办公室（城管科）转派丰台区环境台账28件。责令清理堆物堆料1032处；拆除违规户外广告牌匾308处，立案处罚3起，罚款1500元；做好控烟执法检查工作，在其他禁止吸烟场所或者排队等候队伍中吸烟个人问题1起，罚款100元。上报停机非法小广告数量36个，查处问题8起，罚款1700元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（六）做好园林绿化专项执法工作。做好古树检查工作，强化辖区侵占、损毁绿地、擅自砍伐树木等违法行为的打击力度，立案处罚损害绿地等问题9起，罚款6800元。</w:t>
      </w:r>
    </w:p>
    <w:p>
      <w:pPr>
        <w:numPr>
          <w:ilvl w:val="0"/>
          <w:numId w:val="0"/>
        </w:numPr>
        <w:adjustRightInd w:val="0"/>
        <w:snapToGrid w:val="0"/>
        <w:spacing w:line="5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六、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行政处罚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、行政强制等案件的办理情况：</w:t>
      </w:r>
    </w:p>
    <w:p>
      <w:pPr>
        <w:spacing w:line="560" w:lineRule="exact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全年共立案处罚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494 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起，罚款总计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77285.84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元，其中简易处罚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277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起，罚款金额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27240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元；一般处罚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217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起，罚款金额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745345.84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元。</w:t>
      </w:r>
    </w:p>
    <w:p>
      <w:pPr>
        <w:spacing w:line="560" w:lineRule="exact"/>
        <w:rPr>
          <w:rFonts w:ascii="仿宋" w:hAnsi="仿宋" w:eastAsia="仿宋" w:cs="Times New Roman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七、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</w:rPr>
        <w:t>投诉、举报案件的受理和分类办理情况：</w:t>
      </w:r>
    </w:p>
    <w:p>
      <w:pPr>
        <w:numPr>
          <w:ilvl w:val="0"/>
          <w:numId w:val="0"/>
        </w:num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今年以来，执法队接诉即办工作成效、机制建设与设备支撑同步推进，一是诉求处置高效落地，共办理12345群众热线举报1791件，诉求数同比下降16.5%，通过“快速响应+精准治理”及分类处置、专人回访机制实现案件100%时限内办结，解决率64.9%、满意率85.94%，期间累计与举报人通话7719分钟（约320个小时），获居民赠送锦旗1面；二是治理机制持续完善，参与编纂《接诉即办工具书》，以辖区31件“即诉即办”典型失分工单为样本，构建“案例复盘-机制优化-主动治理”闭环体系，形成可复制的基层治理范式，同时强化全流程管控，从接件响应、研判处理到办结反馈实行标准化作业；三是科技设备强化支撑，通过各个渠道采购补充13套太阳能无线信息传输远程监控设备，该设备以金属卡箍固定，部署快速且适配户外多种表面材质，操作便捷，可凭手机号码注册并多账户分发，支持PC端或移动端查看监控画面，能提供长时间可回溯录像，还可通过网络通讯向举报人推送切片信息。</w:t>
      </w:r>
    </w:p>
    <w:bookmarkEnd w:id="0"/>
    <w:p>
      <w:pPr>
        <w:numPr>
          <w:ilvl w:val="0"/>
          <w:numId w:val="2"/>
        </w:numPr>
        <w:adjustRightInd w:val="0"/>
        <w:snapToGrid w:val="0"/>
        <w:spacing w:line="540" w:lineRule="exact"/>
        <w:ind w:leftChars="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行政执法机关认为需要公示的其他情况：</w:t>
      </w:r>
    </w:p>
    <w:p>
      <w:pPr>
        <w:numPr>
          <w:ilvl w:val="0"/>
          <w:numId w:val="0"/>
        </w:numPr>
        <w:adjustRightInd w:val="0"/>
        <w:snapToGrid w:val="0"/>
        <w:spacing w:line="540" w:lineRule="exact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无。</w:t>
      </w:r>
    </w:p>
    <w:p/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CF21F1"/>
    <w:multiLevelType w:val="singleLevel"/>
    <w:tmpl w:val="B0CF21F1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1EDB6A"/>
    <w:multiLevelType w:val="singleLevel"/>
    <w:tmpl w:val="F81EDB6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54B26"/>
    <w:rsid w:val="118C3E75"/>
    <w:rsid w:val="1A4C65B4"/>
    <w:rsid w:val="2FD51F89"/>
    <w:rsid w:val="35AF2746"/>
    <w:rsid w:val="36D030FB"/>
    <w:rsid w:val="370009E9"/>
    <w:rsid w:val="37607FF5"/>
    <w:rsid w:val="4462499D"/>
    <w:rsid w:val="475653CB"/>
    <w:rsid w:val="4827137B"/>
    <w:rsid w:val="594C3B10"/>
    <w:rsid w:val="59A54B26"/>
    <w:rsid w:val="652D0BD0"/>
    <w:rsid w:val="686C7104"/>
    <w:rsid w:val="781D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Calibri" w:hAnsi="Calibri" w:eastAsia="方正小标宋简体" w:cs="Times New Roman"/>
      <w:sz w:val="44"/>
      <w:szCs w:val="22"/>
    </w:r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1057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2022-01-10T06:54:00Z</dcterms:created>
  <dc:creator>ftqxtb</dc:creator>
  <cp:lastModifiedBy>Administrator</cp:lastModifiedBy>
  <dcterms:modified xsi:type="dcterms:W3CDTF">2026-02-10T07:36:50Z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5734F799D2B9414DA2D49D11AB6C3023</vt:lpwstr>
  </property>
</Properties>
</file>