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61052"/>
    <w:p w14:paraId="4D59F643">
      <w:pPr>
        <w:spacing w:line="0" w:lineRule="atLeast"/>
        <w:jc w:val="both"/>
        <w:rPr>
          <w:rFonts w:hint="eastAsia" w:ascii="方正小标宋简体" w:hAnsi="方正小标宋简体" w:eastAsia="方正小标宋简体" w:cs="方正小标宋简体"/>
          <w:b w:val="0"/>
          <w:bCs w:val="0"/>
          <w:color w:val="000000"/>
          <w:sz w:val="44"/>
          <w:szCs w:val="44"/>
          <w:highlight w:val="none"/>
          <w:lang w:val="en-US" w:eastAsia="zh-CN"/>
        </w:rPr>
      </w:pPr>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w:t>
      </w:r>
      <w:bookmarkStart w:id="0" w:name="_GoBack"/>
      <w:r>
        <w:rPr>
          <w:rFonts w:hint="eastAsia" w:ascii="方正小标宋简体" w:hAnsi="方正小标宋简体" w:eastAsia="方正小标宋简体" w:cs="方正小标宋简体"/>
          <w:b w:val="0"/>
          <w:bCs w:val="0"/>
          <w:color w:val="000000"/>
          <w:sz w:val="44"/>
          <w:szCs w:val="44"/>
          <w:highlight w:val="none"/>
          <w:lang w:eastAsia="zh-CN"/>
        </w:rPr>
        <w:t>行政裁量权基准</w:t>
      </w:r>
      <w:bookmarkEnd w:id="0"/>
    </w:p>
    <w:p w14:paraId="093668F3">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14:paraId="2CB3E9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14:paraId="6E1D30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14:paraId="3F88B2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14:paraId="743D2F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14:paraId="172A1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14:paraId="72D8022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14:paraId="30AF12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14:paraId="03D1FF06">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14:paraId="1C1C9387">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14:paraId="7AE71062">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14:paraId="655F1487">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14:paraId="77253D0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14:paraId="1E514FE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14:paraId="408B3997">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14:paraId="453BF752">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14:paraId="26DB9D0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w:t>
      </w:r>
      <w:r>
        <w:rPr>
          <w:rFonts w:hint="eastAsia" w:ascii="仿宋_GB2312" w:hAnsi="仿宋_GB2312" w:eastAsia="仿宋_GB2312" w:cs="仿宋_GB2312"/>
          <w:color w:val="000000"/>
          <w:highlight w:val="none"/>
        </w:rPr>
        <w:commentReference w:id="0"/>
      </w:r>
      <w:r>
        <w:rPr>
          <w:rFonts w:hint="eastAsia" w:ascii="仿宋_GB2312" w:hAnsi="仿宋_GB2312" w:eastAsia="仿宋_GB2312" w:cs="仿宋_GB2312"/>
          <w:b w:val="0"/>
          <w:bCs w:val="0"/>
          <w:strike w:val="0"/>
          <w:color w:val="000000"/>
          <w:sz w:val="32"/>
          <w:szCs w:val="32"/>
          <w:highlight w:val="none"/>
        </w:rPr>
        <w:t>要件的除外。</w:t>
      </w:r>
      <w:r>
        <w:rPr>
          <w:rFonts w:hint="eastAsia" w:ascii="仿宋_GB2312" w:hAnsi="仿宋_GB2312" w:eastAsia="仿宋_GB2312" w:cs="仿宋_GB2312"/>
          <w:color w:val="000000"/>
          <w:highlight w:val="none"/>
        </w:rPr>
        <w:commentReference w:id="1"/>
      </w:r>
    </w:p>
    <w:p w14:paraId="75560B9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14:paraId="08999D8E">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14:paraId="00CC3824">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14:paraId="04618DEE">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p>
    <w:p w14:paraId="3F3298CB">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14:paraId="238E3BA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14:paraId="3CF54F8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《基准表》未规定的或者存在其他特殊情况的，执法人员可以结合案件实际情况，补充取证，提出处罚建议，报经案件审理委员会</w:t>
      </w:r>
      <w:r>
        <w:rPr>
          <w:rFonts w:hint="eastAsia" w:ascii="仿宋_GB2312" w:hAnsi="仿宋_GB2312" w:eastAsia="仿宋_GB2312" w:cs="仿宋_GB2312"/>
          <w:b w:val="0"/>
          <w:bCs w:val="0"/>
          <w:color w:val="000000"/>
          <w:sz w:val="32"/>
          <w:szCs w:val="32"/>
          <w:highlight w:val="none"/>
          <w:lang w:eastAsia="zh-CN"/>
        </w:rPr>
        <w:t>依法</w:t>
      </w:r>
      <w:r>
        <w:rPr>
          <w:rFonts w:hint="eastAsia" w:ascii="仿宋_GB2312" w:hAnsi="仿宋_GB2312" w:eastAsia="仿宋_GB2312" w:cs="仿宋_GB2312"/>
          <w:b w:val="0"/>
          <w:bCs w:val="0"/>
          <w:color w:val="000000"/>
          <w:sz w:val="32"/>
          <w:szCs w:val="32"/>
          <w:highlight w:val="none"/>
        </w:rPr>
        <w:t>调整</w:t>
      </w:r>
      <w:r>
        <w:rPr>
          <w:rFonts w:hint="eastAsia" w:ascii="仿宋_GB2312" w:hAnsi="仿宋_GB2312" w:eastAsia="仿宋_GB2312" w:cs="仿宋_GB2312"/>
          <w:b w:val="0"/>
          <w:bCs w:val="0"/>
          <w:color w:val="000000"/>
          <w:sz w:val="32"/>
          <w:szCs w:val="32"/>
          <w:highlight w:val="none"/>
          <w:lang w:eastAsia="zh-CN"/>
        </w:rPr>
        <w:t>确定最终的处理</w:t>
      </w:r>
      <w:r>
        <w:rPr>
          <w:rFonts w:hint="eastAsia" w:ascii="仿宋_GB2312" w:hAnsi="等线" w:eastAsia="仿宋_GB2312" w:cs="Times New Roman"/>
          <w:b w:val="0"/>
          <w:bCs w:val="0"/>
          <w:color w:val="000000"/>
          <w:sz w:val="32"/>
          <w:szCs w:val="32"/>
          <w:highlight w:val="none"/>
          <w:lang w:eastAsia="zh-CN"/>
        </w:rPr>
        <w:t>决定</w:t>
      </w:r>
      <w:r>
        <w:rPr>
          <w:rFonts w:hint="eastAsia" w:ascii="仿宋_GB2312" w:hAnsi="等线" w:eastAsia="仿宋_GB2312" w:cs="Times New Roman"/>
          <w:b w:val="0"/>
          <w:bCs w:val="0"/>
          <w:color w:val="000000"/>
          <w:sz w:val="32"/>
          <w:szCs w:val="32"/>
          <w:highlight w:val="none"/>
        </w:rPr>
        <w:t>。</w:t>
      </w:r>
    </w:p>
    <w:p w14:paraId="350B196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14:paraId="5CEA2C2E">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14:paraId="5146479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14:paraId="7A50DB6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14:paraId="5F8321C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14:paraId="3ADC82F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dstrike/>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strike w:val="0"/>
          <w:color w:val="000000"/>
          <w:sz w:val="32"/>
          <w:szCs w:val="32"/>
          <w:highlight w:val="none"/>
        </w:rPr>
        <w:t>违法行为发生在一类严格控制地区</w:t>
      </w:r>
      <w:r>
        <w:rPr>
          <w:rFonts w:hint="eastAsia" w:ascii="仿宋_GB2312" w:hAnsi="仿宋_GB2312" w:eastAsia="仿宋_GB2312" w:cs="仿宋_GB2312"/>
          <w:b w:val="0"/>
          <w:bCs w:val="0"/>
          <w:strike w:val="0"/>
          <w:color w:val="000000"/>
          <w:sz w:val="32"/>
          <w:szCs w:val="32"/>
          <w:highlight w:val="none"/>
          <w:lang w:eastAsia="zh-CN"/>
        </w:rPr>
        <w:t>，</w:t>
      </w:r>
      <w:r>
        <w:rPr>
          <w:rFonts w:hint="eastAsia" w:ascii="仿宋_GB2312" w:hAnsi="仿宋_GB2312" w:eastAsia="仿宋_GB2312" w:cs="仿宋_GB2312"/>
          <w:b w:val="0"/>
          <w:bCs w:val="0"/>
          <w:strike w:val="0"/>
          <w:color w:val="000000"/>
          <w:sz w:val="32"/>
          <w:szCs w:val="32"/>
          <w:highlight w:val="none"/>
        </w:rPr>
        <w:t>同时又存在多种</w:t>
      </w:r>
      <w:r>
        <w:rPr>
          <w:rFonts w:hint="eastAsia" w:ascii="仿宋_GB2312" w:hAnsi="仿宋_GB2312" w:eastAsia="仿宋_GB2312" w:cs="仿宋_GB2312"/>
          <w:b w:val="0"/>
          <w:bCs w:val="0"/>
          <w:strike w:val="0"/>
          <w:color w:val="000000"/>
          <w:sz w:val="32"/>
          <w:szCs w:val="32"/>
          <w:highlight w:val="none"/>
          <w:lang w:eastAsia="zh-CN"/>
        </w:rPr>
        <w:t>情节系数</w:t>
      </w:r>
      <w:r>
        <w:rPr>
          <w:rFonts w:hint="eastAsia" w:ascii="仿宋_GB2312" w:hAnsi="仿宋_GB2312" w:eastAsia="仿宋_GB2312" w:cs="仿宋_GB2312"/>
          <w:b w:val="0"/>
          <w:bCs w:val="0"/>
          <w:strike w:val="0"/>
          <w:color w:val="000000"/>
          <w:sz w:val="32"/>
          <w:szCs w:val="32"/>
          <w:highlight w:val="none"/>
        </w:rPr>
        <w:t>情形的，或者</w:t>
      </w:r>
      <w:r>
        <w:rPr>
          <w:rFonts w:hint="eastAsia" w:ascii="仿宋_GB2312" w:hAnsi="仿宋_GB2312" w:eastAsia="仿宋_GB2312" w:cs="仿宋_GB2312"/>
          <w:b w:val="0"/>
          <w:bCs w:val="0"/>
          <w:color w:val="000000"/>
          <w:sz w:val="32"/>
          <w:szCs w:val="32"/>
          <w:highlight w:val="none"/>
        </w:rPr>
        <w:t>违法行为性质恶劣，社会影响较大，危害程度较高，而根据公式确定的罚款数额仍未达到法定处罚幅度中限标准的，报经案件审理委员会审议，可在法定处罚幅度中限标准以上实施处罚。</w:t>
      </w:r>
    </w:p>
    <w:p w14:paraId="528D88C8">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4</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14:paraId="3C994C0F">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2.2.5</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14:paraId="66F46BC7">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14:paraId="78644E56">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14:paraId="1F30996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14:paraId="01E63D6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14:paraId="29CC103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14:paraId="6EDDE217">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14:paraId="613200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14:paraId="34FBF7F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14:paraId="637D3E9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14:paraId="4B4BEA1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14:paraId="795F9C6B">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14:paraId="2DB20521">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14:paraId="1528E82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14:paraId="31B859FD">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14:paraId="3171BB6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14:paraId="6C994AB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14:paraId="77D2EBD1">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14:paraId="66D9CBE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14:paraId="5A840389">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14:paraId="3B6880A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14:paraId="7187185E">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14:paraId="06722BA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14:paraId="4A86630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14:paraId="4CFCC5F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14:paraId="1394612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14:paraId="65C2331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14:paraId="16F7F01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14:paraId="3AB1450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14:paraId="4726B498">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14:paraId="7F7AB608">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14:paraId="7C95AC4C">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14:paraId="012DEF4C">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符合《中华人民共和国行政处罚法》和《基准》规定的不予处罚，以及应当或者可以从轻、减轻、从重处罚等情形的，可以按照规定，跨越《基准》和《基准表》规定的裁量档阶或者公式计算结果实施处罚。</w:t>
      </w:r>
    </w:p>
    <w:p w14:paraId="48FD4984">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14:paraId="0285D833">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14:paraId="5A3C06E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14:paraId="6571A93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《基准》对相关执法案由的证据收集，未作</w:t>
      </w:r>
      <w:r>
        <w:rPr>
          <w:rFonts w:hint="eastAsia" w:ascii="仿宋_GB2312" w:hAnsi="仿宋_GB2312" w:eastAsia="仿宋_GB2312" w:cs="仿宋_GB2312"/>
          <w:b w:val="0"/>
          <w:bCs w:val="0"/>
          <w:color w:val="000000"/>
          <w:sz w:val="32"/>
          <w:szCs w:val="32"/>
          <w:highlight w:val="none"/>
          <w:lang w:eastAsia="zh-CN"/>
        </w:rPr>
        <w:t>详细</w:t>
      </w:r>
      <w:r>
        <w:rPr>
          <w:rFonts w:hint="eastAsia" w:ascii="仿宋_GB2312" w:hAnsi="仿宋_GB2312" w:eastAsia="仿宋_GB2312" w:cs="仿宋_GB2312"/>
          <w:b w:val="0"/>
          <w:bCs w:val="0"/>
          <w:color w:val="000000"/>
          <w:sz w:val="32"/>
          <w:szCs w:val="32"/>
          <w:highlight w:val="none"/>
        </w:rPr>
        <w:t>规定，或者规定与法律法规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w:t>
      </w:r>
      <w:r>
        <w:rPr>
          <w:rFonts w:hint="eastAsia" w:ascii="仿宋_GB2312" w:hAnsi="仿宋_GB2312" w:eastAsia="仿宋_GB2312" w:cs="仿宋_GB2312"/>
          <w:b w:val="0"/>
          <w:bCs w:val="0"/>
          <w:color w:val="000000"/>
          <w:sz w:val="32"/>
          <w:szCs w:val="32"/>
          <w:highlight w:val="none"/>
          <w:lang w:val="en-US" w:eastAsia="zh-CN"/>
        </w:rPr>
        <w:t>或者适用《基准》可能出现明显不当，</w:t>
      </w:r>
      <w:r>
        <w:rPr>
          <w:rFonts w:hint="eastAsia" w:ascii="仿宋_GB2312" w:hAnsi="仿宋_GB2312" w:eastAsia="仿宋_GB2312" w:cs="仿宋_GB2312"/>
          <w:b w:val="0"/>
          <w:bCs w:val="0"/>
          <w:color w:val="000000"/>
          <w:sz w:val="32"/>
          <w:szCs w:val="32"/>
          <w:highlight w:val="none"/>
        </w:rPr>
        <w:t>或者存在其他特殊情形的，执法人员可以补充取证，说明理由，提出</w:t>
      </w:r>
      <w:r>
        <w:rPr>
          <w:rFonts w:hint="eastAsia" w:ascii="仿宋_GB2312" w:hAnsi="仿宋_GB2312" w:eastAsia="仿宋_GB2312" w:cs="仿宋_GB2312"/>
          <w:b w:val="0"/>
          <w:bCs w:val="0"/>
          <w:color w:val="000000"/>
          <w:sz w:val="32"/>
          <w:szCs w:val="32"/>
          <w:highlight w:val="none"/>
          <w:lang w:eastAsia="zh-CN"/>
        </w:rPr>
        <w:t>处理</w:t>
      </w:r>
      <w:r>
        <w:rPr>
          <w:rFonts w:hint="eastAsia" w:ascii="仿宋_GB2312" w:hAnsi="仿宋_GB2312" w:eastAsia="仿宋_GB2312" w:cs="仿宋_GB2312"/>
          <w:b w:val="0"/>
          <w:bCs w:val="0"/>
          <w:color w:val="000000"/>
          <w:sz w:val="32"/>
          <w:szCs w:val="32"/>
          <w:highlight w:val="none"/>
        </w:rPr>
        <w:t>建议，报案件审理委员会</w:t>
      </w:r>
      <w:r>
        <w:rPr>
          <w:rFonts w:hint="eastAsia" w:ascii="仿宋_GB2312" w:hAnsi="仿宋_GB2312" w:eastAsia="仿宋_GB2312" w:cs="仿宋_GB2312"/>
          <w:b w:val="0"/>
          <w:bCs w:val="0"/>
          <w:color w:val="000000"/>
          <w:sz w:val="32"/>
          <w:szCs w:val="32"/>
          <w:highlight w:val="none"/>
          <w:lang w:eastAsia="zh-CN"/>
        </w:rPr>
        <w:t>依法调整</w:t>
      </w:r>
      <w:r>
        <w:rPr>
          <w:rFonts w:hint="eastAsia" w:ascii="仿宋_GB2312" w:hAnsi="仿宋_GB2312" w:eastAsia="仿宋_GB2312" w:cs="仿宋_GB2312"/>
          <w:b w:val="0"/>
          <w:bCs w:val="0"/>
          <w:color w:val="000000"/>
          <w:sz w:val="32"/>
          <w:szCs w:val="32"/>
          <w:highlight w:val="none"/>
        </w:rPr>
        <w:t>确定最终</w:t>
      </w:r>
      <w:r>
        <w:rPr>
          <w:rFonts w:hint="eastAsia" w:ascii="仿宋_GB2312" w:hAnsi="仿宋_GB2312" w:eastAsia="仿宋_GB2312" w:cs="仿宋_GB2312"/>
          <w:b w:val="0"/>
          <w:bCs w:val="0"/>
          <w:color w:val="000000"/>
          <w:sz w:val="32"/>
          <w:szCs w:val="32"/>
          <w:highlight w:val="none"/>
          <w:lang w:eastAsia="zh-CN"/>
        </w:rPr>
        <w:t>的处理决定</w:t>
      </w:r>
      <w:r>
        <w:rPr>
          <w:rFonts w:hint="eastAsia" w:ascii="仿宋_GB2312" w:hAnsi="仿宋_GB2312" w:eastAsia="仿宋_GB2312" w:cs="仿宋_GB2312"/>
          <w:b w:val="0"/>
          <w:bCs w:val="0"/>
          <w:color w:val="000000"/>
          <w:sz w:val="32"/>
          <w:szCs w:val="32"/>
          <w:highlight w:val="none"/>
        </w:rPr>
        <w:t>。存在上述情形的，尤其是规定与法律法规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不一致的，</w:t>
      </w:r>
      <w:r>
        <w:rPr>
          <w:rFonts w:hint="eastAsia" w:ascii="仿宋_GB2312" w:hAnsi="仿宋_GB2312" w:eastAsia="仿宋_GB2312" w:cs="仿宋_GB2312"/>
          <w:b w:val="0"/>
          <w:bCs w:val="0"/>
          <w:color w:val="000000"/>
          <w:sz w:val="32"/>
          <w:szCs w:val="32"/>
          <w:highlight w:val="none"/>
          <w:lang w:val="en-US" w:eastAsia="zh-CN"/>
        </w:rPr>
        <w:t>各实施部门</w:t>
      </w:r>
      <w:r>
        <w:rPr>
          <w:rFonts w:hint="eastAsia" w:ascii="仿宋_GB2312" w:hAnsi="仿宋_GB2312" w:eastAsia="仿宋_GB2312" w:cs="仿宋_GB2312"/>
          <w:b w:val="0"/>
          <w:bCs w:val="0"/>
          <w:color w:val="000000"/>
          <w:sz w:val="32"/>
          <w:szCs w:val="32"/>
          <w:highlight w:val="none"/>
        </w:rPr>
        <w:t>应当及时向市城管执法局反馈情况。</w:t>
      </w:r>
    </w:p>
    <w:p w14:paraId="6D78B7A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案件审理委员会对执法人员提出的补充证据和处罚建议、理由等，应予以高度重视，并进行审议，经审议成立的，应当采纳。相关情况，应当在案卷文书中详细记载。</w:t>
      </w:r>
    </w:p>
    <w:p w14:paraId="4D8B664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14:paraId="50F10567">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14:paraId="73524EA6">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14:paraId="658517F1">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14:paraId="5600235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14:paraId="052545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14:paraId="6DA24410">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14:paraId="232D687D">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14:paraId="4A9BC50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对重大、疑难、复杂案件，</w:t>
      </w:r>
      <w:r>
        <w:rPr>
          <w:rFonts w:hint="eastAsia" w:ascii="仿宋_GB2312" w:hAnsi="等线" w:eastAsia="仿宋_GB2312" w:cs="Times New Roman"/>
          <w:b w:val="0"/>
          <w:bCs w:val="0"/>
          <w:color w:val="000000"/>
          <w:sz w:val="32"/>
          <w:szCs w:val="32"/>
          <w:highlight w:val="none"/>
          <w:lang w:val="en-US" w:eastAsia="zh-CN"/>
        </w:rPr>
        <w:t>或者适用《基准》可能出现明显不当，</w:t>
      </w:r>
      <w:r>
        <w:rPr>
          <w:rFonts w:hint="eastAsia" w:ascii="仿宋_GB2312" w:hAnsi="等线" w:eastAsia="仿宋_GB2312" w:cs="Times New Roman"/>
          <w:b w:val="0"/>
          <w:bCs w:val="0"/>
          <w:color w:val="000000"/>
          <w:sz w:val="32"/>
          <w:szCs w:val="32"/>
          <w:highlight w:val="none"/>
        </w:rPr>
        <w:t>或者存在其他特别情形的案件，经案件审理委员会</w:t>
      </w:r>
      <w:r>
        <w:rPr>
          <w:rFonts w:hint="eastAsia" w:ascii="仿宋_GB2312" w:hAnsi="等线" w:eastAsia="仿宋_GB2312" w:cs="Times New Roman"/>
          <w:b w:val="0"/>
          <w:bCs w:val="0"/>
          <w:color w:val="000000"/>
          <w:sz w:val="32"/>
          <w:szCs w:val="32"/>
          <w:highlight w:val="none"/>
          <w:lang w:eastAsia="zh-CN"/>
        </w:rPr>
        <w:t>集体讨论通过后</w:t>
      </w:r>
      <w:r>
        <w:rPr>
          <w:rFonts w:hint="eastAsia" w:ascii="仿宋_GB2312" w:hAnsi="等线" w:eastAsia="仿宋_GB2312" w:cs="Times New Roman"/>
          <w:b w:val="0"/>
          <w:bCs w:val="0"/>
          <w:color w:val="000000"/>
          <w:sz w:val="32"/>
          <w:szCs w:val="32"/>
          <w:highlight w:val="none"/>
        </w:rPr>
        <w:t>，可以依法调整确定最终的</w:t>
      </w:r>
      <w:r>
        <w:rPr>
          <w:rFonts w:hint="eastAsia" w:ascii="仿宋_GB2312" w:hAnsi="等线" w:eastAsia="仿宋_GB2312" w:cs="Times New Roman"/>
          <w:b w:val="0"/>
          <w:bCs w:val="0"/>
          <w:strike w:val="0"/>
          <w:dstrike w:val="0"/>
          <w:color w:val="000000"/>
          <w:sz w:val="32"/>
          <w:szCs w:val="32"/>
          <w:highlight w:val="none"/>
          <w:lang w:eastAsia="zh-CN"/>
        </w:rPr>
        <w:t>处理</w:t>
      </w:r>
      <w:r>
        <w:rPr>
          <w:rFonts w:hint="eastAsia" w:ascii="仿宋_GB2312" w:hAnsi="等线" w:eastAsia="仿宋_GB2312" w:cs="Times New Roman"/>
          <w:b w:val="0"/>
          <w:bCs w:val="0"/>
          <w:color w:val="000000"/>
          <w:sz w:val="32"/>
          <w:szCs w:val="32"/>
          <w:highlight w:val="none"/>
          <w:lang w:eastAsia="zh-CN"/>
        </w:rPr>
        <w:t>决定。</w:t>
      </w:r>
    </w:p>
    <w:p w14:paraId="19E9C2E5">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14:paraId="0B895B5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14:paraId="61FCE68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4</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14:paraId="336DB38F">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14:paraId="7AC8C1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14:paraId="500726D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14:paraId="02A11CAC">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14:paraId="699DB99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14:paraId="3F4AF09C">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14:paraId="56ACCE2A">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14:paraId="2B6E3DC0">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14:paraId="26409EFC">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14:paraId="0EA7155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14:paraId="70F010FB">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14:paraId="40A8E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14:paraId="4141D5BC">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14:paraId="70389E5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14:paraId="3B5F73C6">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14:paraId="15FBE373">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14:paraId="67D0D55D">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14:paraId="0925A1CF">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14:paraId="3B4A4E33">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14:paraId="274377DF">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14:paraId="6AC131ED">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14:paraId="64089201">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14:paraId="4866F25D">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14:paraId="00522382">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14:paraId="011D717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14:paraId="429FA2F8">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14:paraId="484471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14:paraId="0E0C3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14:paraId="5FE0258F">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14:paraId="71B06C59">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14:paraId="67EAE5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14:paraId="7AF1E8E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14:paraId="63B7116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14:paraId="00AD4F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14:paraId="3476F97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14:paraId="750E9FE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14:paraId="0BFABF63">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7.4</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sz w:val="32"/>
          <w:szCs w:val="32"/>
          <w:highlight w:val="none"/>
        </w:rPr>
        <w:t>各</w:t>
      </w:r>
      <w:r>
        <w:rPr>
          <w:rFonts w:hint="eastAsia" w:ascii="仿宋_GB2312" w:hAnsi="仿宋_GB2312" w:eastAsia="仿宋_GB2312" w:cs="仿宋_GB2312"/>
          <w:b w:val="0"/>
          <w:bCs w:val="0"/>
          <w:color w:val="000000"/>
          <w:sz w:val="32"/>
          <w:szCs w:val="32"/>
          <w:highlight w:val="none"/>
          <w:lang w:eastAsia="zh-CN"/>
        </w:rPr>
        <w:t>实施部门</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规范行政裁量权基准适用，加强行政</w:t>
      </w:r>
      <w:r>
        <w:rPr>
          <w:rFonts w:hint="eastAsia" w:ascii="仿宋_GB2312" w:hAnsi="仿宋_GB2312" w:eastAsia="仿宋_GB2312" w:cs="仿宋_GB2312"/>
          <w:b w:val="0"/>
          <w:bCs w:val="0"/>
          <w:color w:val="000000"/>
          <w:sz w:val="32"/>
          <w:szCs w:val="32"/>
          <w:highlight w:val="none"/>
        </w:rPr>
        <w:t>裁量权</w:t>
      </w:r>
      <w:r>
        <w:rPr>
          <w:rFonts w:hint="eastAsia" w:ascii="仿宋_GB2312" w:hAnsi="仿宋_GB2312" w:eastAsia="仿宋_GB2312" w:cs="仿宋_GB2312"/>
          <w:b w:val="0"/>
          <w:bCs w:val="0"/>
          <w:color w:val="000000"/>
          <w:sz w:val="32"/>
          <w:szCs w:val="32"/>
          <w:highlight w:val="none"/>
          <w:lang w:eastAsia="zh-CN"/>
        </w:rPr>
        <w:t>基准</w:t>
      </w:r>
      <w:r>
        <w:rPr>
          <w:rFonts w:hint="eastAsia" w:ascii="仿宋_GB2312" w:hAnsi="仿宋_GB2312" w:eastAsia="仿宋_GB2312" w:cs="仿宋_GB2312"/>
          <w:b w:val="0"/>
          <w:bCs w:val="0"/>
          <w:color w:val="000000"/>
          <w:sz w:val="32"/>
          <w:szCs w:val="32"/>
          <w:highlight w:val="none"/>
        </w:rPr>
        <w:t>实施风险评估，切实保障当事人的陈述申辩权利，加强教育引导和情况反馈。</w:t>
      </w:r>
    </w:p>
    <w:p w14:paraId="0C4C8895">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14:paraId="302D1A5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14:paraId="39D1505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14:paraId="642D17A9">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14:paraId="2BE041B5">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14:paraId="747BDD66">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14:paraId="12241B1D">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14:paraId="5F7E01B7">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14:paraId="05F588D7">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red"/>
          <w:u w:val="singl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14:paraId="097E2D3D">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动态修订并公示的单行法律法规规章的裁量权基准，属于本基准的有效组成部分，一并贯彻执行。</w:t>
      </w:r>
    </w:p>
    <w:p w14:paraId="1B7B2545">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年3月1日</w:t>
      </w:r>
      <w:r>
        <w:rPr>
          <w:rFonts w:hint="eastAsia" w:ascii="仿宋_GB2312" w:hAnsi="仿宋_GB2312" w:eastAsia="仿宋_GB2312" w:cs="仿宋_GB2312"/>
          <w:b w:val="0"/>
          <w:bCs w:val="0"/>
          <w:color w:val="000000"/>
          <w:sz w:val="32"/>
          <w:szCs w:val="32"/>
          <w:highlight w:val="none"/>
        </w:rPr>
        <w:t>起实施，原市城管执法局印发的</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p w14:paraId="118BC720">
      <w:pPr>
        <w:keepNext w:val="0"/>
        <w:keepLines w:val="0"/>
        <w:pageBreakBefore w:val="0"/>
        <w:widowControl w:val="0"/>
        <w:tabs>
          <w:tab w:val="left" w:pos="960"/>
        </w:tabs>
        <w:kinsoku/>
        <w:wordWrap/>
        <w:overflowPunct/>
        <w:topLinePunct w:val="0"/>
        <w:autoSpaceDE/>
        <w:autoSpaceDN/>
        <w:bidi w:val="0"/>
        <w:adjustRightInd/>
        <w:snapToGrid/>
        <w:spacing w:line="560" w:lineRule="exact"/>
        <w:ind w:left="130" w:leftChars="62" w:firstLine="308" w:firstLineChars="100"/>
        <w:jc w:val="left"/>
        <w:textAlignment w:val="auto"/>
        <w:rPr>
          <w:rFonts w:hint="eastAsia" w:ascii="仿宋_GB2312" w:hAnsi="仿宋_GB2312" w:eastAsia="仿宋_GB2312" w:cs="仿宋_GB2312"/>
          <w:color w:val="000000"/>
          <w:spacing w:val="-6"/>
          <w:sz w:val="32"/>
          <w:szCs w:val="32"/>
          <w:highlight w:val="none"/>
        </w:rPr>
      </w:pPr>
      <w:r>
        <w:rPr>
          <w:rFonts w:hint="eastAsia" w:ascii="仿宋_GB2312" w:hAnsi="仿宋_GB2312" w:eastAsia="仿宋_GB2312" w:cs="仿宋_GB2312"/>
          <w:color w:val="000000"/>
          <w:spacing w:val="-6"/>
          <w:sz w:val="32"/>
          <w:szCs w:val="32"/>
          <w:highlight w:val="none"/>
          <w:lang w:val="en-US" w:eastAsia="zh-CN"/>
        </w:rPr>
        <w:t>附件: 1</w:t>
      </w:r>
      <w:r>
        <w:rPr>
          <w:rFonts w:hint="eastAsia" w:ascii="仿宋_GB2312" w:hAnsi="仿宋_GB2312" w:eastAsia="仿宋_GB2312" w:cs="仿宋_GB2312"/>
          <w:color w:val="000000"/>
          <w:spacing w:val="-6"/>
          <w:sz w:val="32"/>
          <w:szCs w:val="32"/>
          <w:highlight w:val="none"/>
        </w:rPr>
        <w:t>.北京市</w:t>
      </w:r>
      <w:r>
        <w:rPr>
          <w:rFonts w:hint="eastAsia" w:ascii="仿宋_GB2312" w:hAnsi="仿宋_GB2312" w:eastAsia="仿宋_GB2312" w:cs="仿宋_GB2312"/>
          <w:color w:val="000000"/>
          <w:spacing w:val="-6"/>
          <w:sz w:val="32"/>
          <w:szCs w:val="32"/>
          <w:highlight w:val="none"/>
          <w:lang w:val="en-US" w:eastAsia="zh-CN"/>
        </w:rPr>
        <w:t>城市管理综合行政执法</w:t>
      </w:r>
      <w:r>
        <w:rPr>
          <w:rFonts w:hint="eastAsia" w:ascii="仿宋_GB2312" w:hAnsi="仿宋_GB2312" w:eastAsia="仿宋_GB2312" w:cs="仿宋_GB2312"/>
          <w:color w:val="000000"/>
          <w:spacing w:val="-6"/>
          <w:sz w:val="32"/>
          <w:szCs w:val="32"/>
          <w:highlight w:val="none"/>
          <w:lang w:eastAsia="zh-CN"/>
        </w:rPr>
        <w:t>行政</w:t>
      </w:r>
      <w:r>
        <w:rPr>
          <w:rFonts w:hint="eastAsia" w:ascii="仿宋_GB2312" w:hAnsi="仿宋_GB2312" w:eastAsia="仿宋_GB2312" w:cs="仿宋_GB2312"/>
          <w:color w:val="000000"/>
          <w:spacing w:val="-6"/>
          <w:sz w:val="32"/>
          <w:szCs w:val="32"/>
          <w:highlight w:val="none"/>
        </w:rPr>
        <w:t>处罚裁量基准表</w:t>
      </w:r>
    </w:p>
    <w:p w14:paraId="3C22695F">
      <w:pPr>
        <w:keepNext w:val="0"/>
        <w:keepLines w:val="0"/>
        <w:pageBreakBefore w:val="0"/>
        <w:widowControl w:val="0"/>
        <w:numPr>
          <w:ilvl w:val="0"/>
          <w:numId w:val="0"/>
        </w:numPr>
        <w:tabs>
          <w:tab w:val="left" w:pos="960"/>
        </w:tabs>
        <w:kinsoku/>
        <w:wordWrap/>
        <w:overflowPunct/>
        <w:topLinePunct w:val="0"/>
        <w:autoSpaceDE/>
        <w:autoSpaceDN/>
        <w:bidi w:val="0"/>
        <w:adjustRightInd/>
        <w:snapToGrid/>
        <w:spacing w:line="560" w:lineRule="exact"/>
        <w:ind w:left="945" w:leftChars="450" w:firstLine="448" w:firstLineChars="1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处罚裁量区域</w:t>
      </w:r>
    </w:p>
    <w:p w14:paraId="031DCCE5">
      <w:pPr>
        <w:keepNext w:val="0"/>
        <w:keepLines w:val="0"/>
        <w:pageBreakBefore w:val="0"/>
        <w:widowControl/>
        <w:shd w:val="clear" w:color="auto" w:fill="FFFFFF"/>
        <w:kinsoku/>
        <w:overflowPunct/>
        <w:topLinePunct w:val="0"/>
        <w:autoSpaceDE/>
        <w:autoSpaceDN/>
        <w:bidi w:val="0"/>
        <w:adjustRightInd/>
        <w:spacing w:line="560" w:lineRule="exact"/>
        <w:ind w:left="0" w:leftChars="0" w:firstLine="1280" w:firstLineChars="4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分类管理</w:t>
      </w:r>
      <w:r>
        <w:rPr>
          <w:rFonts w:hint="eastAsia" w:ascii="仿宋_GB2312" w:hAnsi="仿宋_GB2312" w:eastAsia="仿宋_GB2312" w:cs="仿宋_GB2312"/>
          <w:color w:val="000000"/>
          <w:sz w:val="32"/>
          <w:szCs w:val="32"/>
          <w:highlight w:val="none"/>
          <w:lang w:eastAsia="zh-CN"/>
        </w:rPr>
        <w:t>台账</w:t>
      </w:r>
    </w:p>
    <w:p w14:paraId="4CC872E4">
      <w:pPr>
        <w:widowControl/>
        <w:shd w:val="clear" w:color="auto" w:fill="FFFFFF"/>
        <w:spacing w:line="560" w:lineRule="exact"/>
        <w:rPr>
          <w:rFonts w:hint="eastAsia" w:ascii="仿宋_GB2312" w:hAnsi="Times New Roman" w:eastAsia="仿宋_GB2312"/>
          <w:snapToGrid w:val="0"/>
          <w:color w:val="auto"/>
          <w:kern w:val="0"/>
          <w:sz w:val="28"/>
          <w:szCs w:val="28"/>
          <w:lang w:val="en-US" w:eastAsia="zh-CN"/>
        </w:rPr>
      </w:pPr>
    </w:p>
    <w:sectPr>
      <w:headerReference r:id="rId5" w:type="default"/>
      <w:footerReference r:id="rId6" w:type="default"/>
      <w:pgSz w:w="11907" w:h="16839"/>
      <w:pgMar w:top="2098" w:right="1474" w:bottom="1985" w:left="1587" w:header="0" w:footer="1134" w:gutter="0"/>
      <w:pgNumType w:fmt="decimal"/>
      <w:cols w:space="0" w:num="1"/>
      <w:rtlGutter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os" w:date="2025-07-16T16:49:00Z" w:initials="u">
    <w:p w14:paraId="0187B050">
      <w:pPr>
        <w:pStyle w:val="2"/>
      </w:pPr>
      <w:r>
        <w:annotationRef/>
      </w:r>
    </w:p>
  </w:comment>
  <w:comment w:id="1" w:author="uos" w:date="2025-07-16T16:50:00Z" w:initials="u">
    <w:p w14:paraId="5967A2FC">
      <w:pPr>
        <w:pStyle w:val="2"/>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187B050" w15:done="0"/>
  <w15:commentEx w15:paraId="5967A2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os">
    <w15:presenceInfo w15:providerId="None" w15:userId="u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6D3D26D"/>
    <w:rsid w:val="17187F06"/>
    <w:rsid w:val="19F62F63"/>
    <w:rsid w:val="1A014439"/>
    <w:rsid w:val="1A453FDE"/>
    <w:rsid w:val="1BFF893D"/>
    <w:rsid w:val="1F2707B6"/>
    <w:rsid w:val="1F4803E6"/>
    <w:rsid w:val="20A03703"/>
    <w:rsid w:val="25506CB3"/>
    <w:rsid w:val="26496B80"/>
    <w:rsid w:val="267C44CD"/>
    <w:rsid w:val="27BF0F7E"/>
    <w:rsid w:val="287B4AC6"/>
    <w:rsid w:val="28A468F9"/>
    <w:rsid w:val="28D3434B"/>
    <w:rsid w:val="2ACB5137"/>
    <w:rsid w:val="2B7E09D6"/>
    <w:rsid w:val="2C15017B"/>
    <w:rsid w:val="2D954517"/>
    <w:rsid w:val="2FD79A29"/>
    <w:rsid w:val="2FFEF21E"/>
    <w:rsid w:val="32347065"/>
    <w:rsid w:val="32FE1E11"/>
    <w:rsid w:val="333D1186"/>
    <w:rsid w:val="33495AA3"/>
    <w:rsid w:val="33E230A2"/>
    <w:rsid w:val="34E10213"/>
    <w:rsid w:val="36E777BF"/>
    <w:rsid w:val="3BC06239"/>
    <w:rsid w:val="3CDE8892"/>
    <w:rsid w:val="3D114F89"/>
    <w:rsid w:val="3EEDB004"/>
    <w:rsid w:val="3FCFF7A1"/>
    <w:rsid w:val="3FE5579F"/>
    <w:rsid w:val="417F150D"/>
    <w:rsid w:val="46D8132D"/>
    <w:rsid w:val="48677392"/>
    <w:rsid w:val="49773E04"/>
    <w:rsid w:val="49933C9D"/>
    <w:rsid w:val="49BDDCC9"/>
    <w:rsid w:val="4C843786"/>
    <w:rsid w:val="4DB76BB1"/>
    <w:rsid w:val="4EADBCEC"/>
    <w:rsid w:val="4F6D3A04"/>
    <w:rsid w:val="51FF51CF"/>
    <w:rsid w:val="524B2647"/>
    <w:rsid w:val="52C16284"/>
    <w:rsid w:val="551E2129"/>
    <w:rsid w:val="561476D3"/>
    <w:rsid w:val="597946F1"/>
    <w:rsid w:val="5A381B38"/>
    <w:rsid w:val="5D5A0DFE"/>
    <w:rsid w:val="5DF5EAC0"/>
    <w:rsid w:val="5EFFAA6E"/>
    <w:rsid w:val="5FF35695"/>
    <w:rsid w:val="61BC5FAC"/>
    <w:rsid w:val="62811C83"/>
    <w:rsid w:val="636A59F9"/>
    <w:rsid w:val="63FF7916"/>
    <w:rsid w:val="653F2FC9"/>
    <w:rsid w:val="67034349"/>
    <w:rsid w:val="672B2BDA"/>
    <w:rsid w:val="677023A6"/>
    <w:rsid w:val="689A0C72"/>
    <w:rsid w:val="69147F20"/>
    <w:rsid w:val="6A28043D"/>
    <w:rsid w:val="6C5B64B9"/>
    <w:rsid w:val="6C5DCF0F"/>
    <w:rsid w:val="6CFF58E8"/>
    <w:rsid w:val="6D741DD2"/>
    <w:rsid w:val="6DEE99C9"/>
    <w:rsid w:val="6E0F3D80"/>
    <w:rsid w:val="6FFF59C2"/>
    <w:rsid w:val="71660CC4"/>
    <w:rsid w:val="71BC27C8"/>
    <w:rsid w:val="75AC4151"/>
    <w:rsid w:val="75BB744D"/>
    <w:rsid w:val="76FDAA05"/>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FAFE12F"/>
    <w:rsid w:val="7FB7537F"/>
    <w:rsid w:val="7FBE31E6"/>
    <w:rsid w:val="7FBF39E1"/>
    <w:rsid w:val="7FF4AAD0"/>
    <w:rsid w:val="7FFE6816"/>
    <w:rsid w:val="7FFF2B37"/>
    <w:rsid w:val="7FFFD408"/>
    <w:rsid w:val="8DEBB08C"/>
    <w:rsid w:val="8FEBDA76"/>
    <w:rsid w:val="A9F9C79B"/>
    <w:rsid w:val="ADBF82E2"/>
    <w:rsid w:val="B5FFA0F5"/>
    <w:rsid w:val="BEBB5410"/>
    <w:rsid w:val="BEF756B4"/>
    <w:rsid w:val="BEFF63D2"/>
    <w:rsid w:val="BF9D5215"/>
    <w:rsid w:val="BFCFED92"/>
    <w:rsid w:val="BFED07B7"/>
    <w:rsid w:val="C1F70337"/>
    <w:rsid w:val="C52B3C43"/>
    <w:rsid w:val="C9EED341"/>
    <w:rsid w:val="D18F783F"/>
    <w:rsid w:val="D39ECC58"/>
    <w:rsid w:val="D9FB70D8"/>
    <w:rsid w:val="DC332B6B"/>
    <w:rsid w:val="DDEA24AC"/>
    <w:rsid w:val="DE8F0F54"/>
    <w:rsid w:val="DF7F5F2F"/>
    <w:rsid w:val="E95E2097"/>
    <w:rsid w:val="EBCA2006"/>
    <w:rsid w:val="ECEE79BD"/>
    <w:rsid w:val="EEDD29DD"/>
    <w:rsid w:val="EF6F5BC9"/>
    <w:rsid w:val="EF7E9431"/>
    <w:rsid w:val="EFA6415D"/>
    <w:rsid w:val="EFBFF7F3"/>
    <w:rsid w:val="F2DD7DF5"/>
    <w:rsid w:val="F77FF561"/>
    <w:rsid w:val="F79F18E8"/>
    <w:rsid w:val="F7DF9BA4"/>
    <w:rsid w:val="F83F40B7"/>
    <w:rsid w:val="FBCD4410"/>
    <w:rsid w:val="FBEB47E5"/>
    <w:rsid w:val="FCE7A319"/>
    <w:rsid w:val="FDDEBAC1"/>
    <w:rsid w:val="FDFF7F83"/>
    <w:rsid w:val="FE78286A"/>
    <w:rsid w:val="FEED9AFB"/>
    <w:rsid w:val="FFA2F7E2"/>
    <w:rsid w:val="FFBB271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304</Words>
  <Characters>336</Characters>
  <Lines>35</Lines>
  <Paragraphs>9</Paragraphs>
  <TotalTime>10</TotalTime>
  <ScaleCrop>false</ScaleCrop>
  <LinksUpToDate>false</LinksUpToDate>
  <CharactersWithSpaces>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2021-01-07T19:02:00Z</dcterms:created>
  <dc:creator>李光旭</dc:creator>
  <cp:lastModifiedBy>WPS_1643592191</cp:lastModifiedBy>
  <cp:lastPrinted>2021-01-07T19:33:00Z</cp:lastPrinted>
  <dcterms:modified xsi:type="dcterms:W3CDTF">2026-06-25T08:50:35Z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812FFD5BE45259CB3964DE68111BE5EE_43</vt:lpwstr>
  </property>
  <property fmtid="{D5CDD505-2E9C-101B-9397-08002B2CF9AE}" pid="4" name="KSOTemplateDocerSaveRecord">
    <vt:lpwstr>eyJoZGlkIjoiYzAwOGM3ZGQ5MDhmNmExYTQ4MWRhN2QxMTYzZTFiNTMiLCJ1c2VySWQiOiIxMzIzNzYxNTY3In0=</vt:lpwstr>
  </property>
</Properties>
</file>