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3B0D3">
      <w:pPr>
        <w:spacing w:line="0" w:lineRule="atLeast"/>
        <w:jc w:val="both"/>
        <w:rPr>
          <w:rFonts w:hint="default"/>
          <w:color w:val="auto"/>
          <w:highlight w:val="none"/>
          <w:lang w:val="en-US"/>
        </w:rPr>
      </w:pPr>
      <w:bookmarkStart w:id="363" w:name="_GoBack"/>
      <w:bookmarkEnd w:id="363"/>
      <w:r>
        <w:rPr>
          <w:rFonts w:hint="eastAsia" w:ascii="黑体" w:hAnsi="黑体" w:eastAsia="黑体" w:cs="黑体"/>
          <w:color w:val="auto"/>
          <w:sz w:val="28"/>
          <w:szCs w:val="28"/>
          <w:highlight w:val="none"/>
          <w:lang w:eastAsia="zh-CN"/>
        </w:rPr>
        <w:t>附件</w:t>
      </w:r>
      <w:r>
        <w:rPr>
          <w:rFonts w:hint="eastAsia" w:ascii="黑体" w:hAnsi="黑体" w:eastAsia="黑体" w:cs="黑体"/>
          <w:color w:val="auto"/>
          <w:sz w:val="28"/>
          <w:szCs w:val="28"/>
          <w:highlight w:val="none"/>
          <w:lang w:val="en-US" w:eastAsia="zh-CN"/>
        </w:rPr>
        <w:t>1</w:t>
      </w:r>
    </w:p>
    <w:p w14:paraId="698F45A2">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北京市</w:t>
      </w:r>
      <w:r>
        <w:rPr>
          <w:rFonts w:hint="eastAsia" w:ascii="方正小标宋简体" w:hAnsi="方正小标宋简体" w:eastAsia="方正小标宋简体" w:cs="方正小标宋简体"/>
          <w:color w:val="auto"/>
          <w:sz w:val="44"/>
          <w:szCs w:val="44"/>
          <w:highlight w:val="none"/>
          <w:lang w:val="en-US" w:eastAsia="zh-CN"/>
        </w:rPr>
        <w:t>城市管理综合行政</w:t>
      </w:r>
      <w:r>
        <w:rPr>
          <w:rFonts w:hint="eastAsia" w:ascii="方正小标宋简体" w:hAnsi="方正小标宋简体" w:eastAsia="方正小标宋简体" w:cs="方正小标宋简体"/>
          <w:color w:val="auto"/>
          <w:sz w:val="44"/>
          <w:szCs w:val="44"/>
          <w:highlight w:val="none"/>
        </w:rPr>
        <w:t>执法</w:t>
      </w:r>
    </w:p>
    <w:p w14:paraId="619E0F40">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行政</w:t>
      </w:r>
      <w:r>
        <w:rPr>
          <w:rFonts w:hint="eastAsia" w:ascii="方正小标宋简体" w:hAnsi="方正小标宋简体" w:eastAsia="方正小标宋简体" w:cs="方正小标宋简体"/>
          <w:color w:val="auto"/>
          <w:sz w:val="44"/>
          <w:szCs w:val="44"/>
          <w:highlight w:val="none"/>
        </w:rPr>
        <w:t>处罚裁量基准表</w:t>
      </w:r>
    </w:p>
    <w:p w14:paraId="2A5BA934">
      <w:pPr>
        <w:bidi w:val="0"/>
        <w:jc w:val="center"/>
        <w:rPr>
          <w:rFonts w:hint="eastAsia" w:ascii="仿宋_GB2312" w:hAnsi="仿宋_GB2312" w:eastAsia="仿宋_GB2312" w:cs="仿宋_GB2312"/>
          <w:color w:val="auto"/>
          <w:sz w:val="32"/>
          <w:szCs w:val="32"/>
          <w:highlight w:val="none"/>
        </w:rPr>
      </w:pPr>
    </w:p>
    <w:p w14:paraId="715DD049">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14:paraId="4B3F61EA">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_Toc1313145976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_Toc1313145976 \h </w:instrText>
      </w:r>
      <w:r>
        <w:fldChar w:fldCharType="separate"/>
      </w:r>
      <w:r>
        <w:t>1</w:t>
      </w:r>
      <w:r>
        <w:fldChar w:fldCharType="end"/>
      </w:r>
      <w:r>
        <w:rPr>
          <w:color w:val="auto"/>
          <w:highlight w:val="none"/>
        </w:rPr>
        <w:fldChar w:fldCharType="end"/>
      </w:r>
    </w:p>
    <w:p w14:paraId="50D501B4">
      <w:pPr>
        <w:pStyle w:val="19"/>
        <w:tabs>
          <w:tab w:val="right" w:leader="dot" w:pos="9582"/>
        </w:tabs>
      </w:pPr>
      <w:r>
        <w:rPr>
          <w:color w:val="auto"/>
          <w:highlight w:val="none"/>
        </w:rPr>
        <w:fldChar w:fldCharType="begin"/>
      </w:r>
      <w:r>
        <w:rPr>
          <w:highlight w:val="none"/>
        </w:rPr>
        <w:instrText xml:space="preserve"> HYPERLINK \l _Toc757395256 </w:instrText>
      </w:r>
      <w:r>
        <w:rPr>
          <w:highlight w:val="none"/>
        </w:rPr>
        <w:fldChar w:fldCharType="separate"/>
      </w:r>
      <w:r>
        <w:rPr>
          <w:rFonts w:hint="eastAsia" w:ascii="宋体" w:hAnsi="宋体" w:eastAsia="宋体"/>
          <w:szCs w:val="21"/>
          <w:highlight w:val="none"/>
        </w:rPr>
        <w:t>《北京市市容环境卫生条例》案由56项</w:t>
      </w:r>
      <w:r>
        <w:tab/>
      </w:r>
      <w:r>
        <w:fldChar w:fldCharType="begin"/>
      </w:r>
      <w:r>
        <w:instrText xml:space="preserve"> PAGEREF _Toc757395256 \h </w:instrText>
      </w:r>
      <w:r>
        <w:fldChar w:fldCharType="separate"/>
      </w:r>
      <w:r>
        <w:t>1</w:t>
      </w:r>
      <w:r>
        <w:fldChar w:fldCharType="end"/>
      </w:r>
      <w:r>
        <w:rPr>
          <w:color w:val="auto"/>
          <w:highlight w:val="none"/>
        </w:rPr>
        <w:fldChar w:fldCharType="end"/>
      </w:r>
    </w:p>
    <w:p w14:paraId="6EF04966">
      <w:pPr>
        <w:pStyle w:val="19"/>
        <w:tabs>
          <w:tab w:val="right" w:leader="dot" w:pos="9582"/>
        </w:tabs>
      </w:pPr>
      <w:r>
        <w:rPr>
          <w:color w:val="auto"/>
          <w:highlight w:val="none"/>
        </w:rPr>
        <w:fldChar w:fldCharType="begin"/>
      </w:r>
      <w:r>
        <w:rPr>
          <w:highlight w:val="none"/>
        </w:rPr>
        <w:instrText xml:space="preserve"> HYPERLINK \l _Toc686287855 </w:instrText>
      </w:r>
      <w:r>
        <w:rPr>
          <w:highlight w:val="none"/>
        </w:rPr>
        <w:fldChar w:fldCharType="separate"/>
      </w:r>
      <w:r>
        <w:rPr>
          <w:rFonts w:hint="eastAsia" w:ascii="宋体" w:hAnsi="宋体" w:eastAsia="宋体"/>
          <w:szCs w:val="21"/>
          <w:highlight w:val="none"/>
        </w:rPr>
        <w:t>《北京市生活垃圾管理条例》案由</w:t>
      </w:r>
      <w:r>
        <w:rPr>
          <w:rFonts w:ascii="宋体" w:hAnsi="宋体" w:eastAsia="宋体"/>
          <w:szCs w:val="21"/>
          <w:highlight w:val="none"/>
        </w:rPr>
        <w:t>36</w:t>
      </w:r>
      <w:r>
        <w:rPr>
          <w:rFonts w:hint="eastAsia" w:ascii="宋体" w:hAnsi="宋体" w:eastAsia="宋体"/>
          <w:szCs w:val="21"/>
          <w:highlight w:val="none"/>
        </w:rPr>
        <w:t>项</w:t>
      </w:r>
      <w:r>
        <w:tab/>
      </w:r>
      <w:r>
        <w:fldChar w:fldCharType="begin"/>
      </w:r>
      <w:r>
        <w:instrText xml:space="preserve"> PAGEREF _Toc686287855 \h </w:instrText>
      </w:r>
      <w:r>
        <w:fldChar w:fldCharType="separate"/>
      </w:r>
      <w:r>
        <w:t>11</w:t>
      </w:r>
      <w:r>
        <w:fldChar w:fldCharType="end"/>
      </w:r>
      <w:r>
        <w:rPr>
          <w:color w:val="auto"/>
          <w:highlight w:val="none"/>
        </w:rPr>
        <w:fldChar w:fldCharType="end"/>
      </w:r>
    </w:p>
    <w:p w14:paraId="06614CD1">
      <w:pPr>
        <w:pStyle w:val="19"/>
        <w:tabs>
          <w:tab w:val="right" w:leader="dot" w:pos="9582"/>
        </w:tabs>
      </w:pPr>
      <w:r>
        <w:rPr>
          <w:color w:val="auto"/>
          <w:highlight w:val="none"/>
        </w:rPr>
        <w:fldChar w:fldCharType="begin"/>
      </w:r>
      <w:r>
        <w:rPr>
          <w:highlight w:val="none"/>
        </w:rPr>
        <w:instrText xml:space="preserve"> HYPERLINK \l _Toc1765670272 </w:instrText>
      </w:r>
      <w:r>
        <w:rPr>
          <w:highlight w:val="none"/>
        </w:rPr>
        <w:fldChar w:fldCharType="separate"/>
      </w:r>
      <w:r>
        <w:rPr>
          <w:rFonts w:hint="eastAsia" w:ascii="宋体" w:hAnsi="宋体" w:eastAsia="宋体"/>
          <w:szCs w:val="21"/>
          <w:highlight w:val="none"/>
        </w:rPr>
        <w:t>《城市生活垃圾管理办法》案由11项</w:t>
      </w:r>
      <w:r>
        <w:tab/>
      </w:r>
      <w:r>
        <w:fldChar w:fldCharType="begin"/>
      </w:r>
      <w:r>
        <w:instrText xml:space="preserve"> PAGEREF _Toc1765670272 \h </w:instrText>
      </w:r>
      <w:r>
        <w:fldChar w:fldCharType="separate"/>
      </w:r>
      <w:r>
        <w:t>22</w:t>
      </w:r>
      <w:r>
        <w:fldChar w:fldCharType="end"/>
      </w:r>
      <w:r>
        <w:rPr>
          <w:color w:val="auto"/>
          <w:highlight w:val="none"/>
        </w:rPr>
        <w:fldChar w:fldCharType="end"/>
      </w:r>
    </w:p>
    <w:p w14:paraId="6163E393">
      <w:pPr>
        <w:pStyle w:val="19"/>
        <w:tabs>
          <w:tab w:val="right" w:leader="dot" w:pos="9582"/>
        </w:tabs>
      </w:pPr>
      <w:r>
        <w:rPr>
          <w:color w:val="auto"/>
          <w:highlight w:val="none"/>
        </w:rPr>
        <w:fldChar w:fldCharType="begin"/>
      </w:r>
      <w:r>
        <w:rPr>
          <w:highlight w:val="none"/>
        </w:rPr>
        <w:instrText xml:space="preserve"> HYPERLINK \l _Toc206588106 </w:instrText>
      </w:r>
      <w:r>
        <w:rPr>
          <w:highlight w:val="none"/>
        </w:rPr>
        <w:fldChar w:fldCharType="separate"/>
      </w:r>
      <w:r>
        <w:rPr>
          <w:rFonts w:hint="eastAsia" w:ascii="宋体" w:hAnsi="宋体" w:eastAsia="宋体"/>
          <w:szCs w:val="21"/>
          <w:highlight w:val="none"/>
        </w:rPr>
        <w:t>《城市建筑垃圾管理规定》案由11项</w:t>
      </w:r>
      <w:r>
        <w:tab/>
      </w:r>
      <w:r>
        <w:fldChar w:fldCharType="begin"/>
      </w:r>
      <w:r>
        <w:instrText xml:space="preserve"> PAGEREF _Toc206588106 \h </w:instrText>
      </w:r>
      <w:r>
        <w:fldChar w:fldCharType="separate"/>
      </w:r>
      <w:r>
        <w:t>24</w:t>
      </w:r>
      <w:r>
        <w:fldChar w:fldCharType="end"/>
      </w:r>
      <w:r>
        <w:rPr>
          <w:color w:val="auto"/>
          <w:highlight w:val="none"/>
        </w:rPr>
        <w:fldChar w:fldCharType="end"/>
      </w:r>
    </w:p>
    <w:p w14:paraId="4C83C44B">
      <w:pPr>
        <w:pStyle w:val="19"/>
        <w:tabs>
          <w:tab w:val="right" w:leader="dot" w:pos="9582"/>
        </w:tabs>
      </w:pPr>
      <w:r>
        <w:rPr>
          <w:color w:val="auto"/>
          <w:highlight w:val="none"/>
        </w:rPr>
        <w:fldChar w:fldCharType="begin"/>
      </w:r>
      <w:r>
        <w:rPr>
          <w:highlight w:val="none"/>
        </w:rPr>
        <w:instrText xml:space="preserve"> HYPERLINK \l _Toc2048113795 </w:instrText>
      </w:r>
      <w:r>
        <w:rPr>
          <w:highlight w:val="none"/>
        </w:rPr>
        <w:fldChar w:fldCharType="separate"/>
      </w:r>
      <w:r>
        <w:rPr>
          <w:rFonts w:hint="eastAsia" w:ascii="宋体" w:hAnsi="宋体" w:eastAsia="宋体"/>
          <w:szCs w:val="21"/>
          <w:highlight w:val="none"/>
        </w:rPr>
        <w:t>《中华人民共和国固体废物污染环境防治法》案由</w:t>
      </w:r>
      <w:r>
        <w:rPr>
          <w:rFonts w:ascii="宋体" w:hAnsi="宋体" w:eastAsia="宋体"/>
          <w:szCs w:val="21"/>
          <w:highlight w:val="none"/>
        </w:rPr>
        <w:t>10</w:t>
      </w:r>
      <w:r>
        <w:rPr>
          <w:rFonts w:hint="eastAsia" w:ascii="宋体" w:hAnsi="宋体" w:eastAsia="宋体"/>
          <w:szCs w:val="21"/>
          <w:highlight w:val="none"/>
        </w:rPr>
        <w:t>项</w:t>
      </w:r>
      <w:r>
        <w:tab/>
      </w:r>
      <w:r>
        <w:fldChar w:fldCharType="begin"/>
      </w:r>
      <w:r>
        <w:instrText xml:space="preserve"> PAGEREF _Toc2048113795 \h </w:instrText>
      </w:r>
      <w:r>
        <w:fldChar w:fldCharType="separate"/>
      </w:r>
      <w:r>
        <w:t>28</w:t>
      </w:r>
      <w:r>
        <w:fldChar w:fldCharType="end"/>
      </w:r>
      <w:r>
        <w:rPr>
          <w:color w:val="auto"/>
          <w:highlight w:val="none"/>
        </w:rPr>
        <w:fldChar w:fldCharType="end"/>
      </w:r>
    </w:p>
    <w:p w14:paraId="7C610F12">
      <w:pPr>
        <w:pStyle w:val="19"/>
        <w:tabs>
          <w:tab w:val="right" w:leader="dot" w:pos="9582"/>
        </w:tabs>
      </w:pPr>
      <w:r>
        <w:rPr>
          <w:color w:val="auto"/>
          <w:highlight w:val="none"/>
        </w:rPr>
        <w:fldChar w:fldCharType="begin"/>
      </w:r>
      <w:r>
        <w:rPr>
          <w:highlight w:val="none"/>
        </w:rPr>
        <w:instrText xml:space="preserve"> HYPERLINK \l _Toc758126680 </w:instrText>
      </w:r>
      <w:r>
        <w:rPr>
          <w:highlight w:val="none"/>
        </w:rPr>
        <w:fldChar w:fldCharType="separate"/>
      </w:r>
      <w:r>
        <w:rPr>
          <w:rFonts w:hint="eastAsia" w:ascii="宋体" w:hAnsi="宋体" w:eastAsia="宋体"/>
          <w:szCs w:val="21"/>
          <w:highlight w:val="none"/>
        </w:rPr>
        <w:t>《北京市人民政府关于扫雪铲冰管理的规定》案由1项</w:t>
      </w:r>
      <w:r>
        <w:tab/>
      </w:r>
      <w:r>
        <w:fldChar w:fldCharType="begin"/>
      </w:r>
      <w:r>
        <w:instrText xml:space="preserve"> PAGEREF _Toc758126680 \h </w:instrText>
      </w:r>
      <w:r>
        <w:fldChar w:fldCharType="separate"/>
      </w:r>
      <w:r>
        <w:t>32</w:t>
      </w:r>
      <w:r>
        <w:fldChar w:fldCharType="end"/>
      </w:r>
      <w:r>
        <w:rPr>
          <w:color w:val="auto"/>
          <w:highlight w:val="none"/>
        </w:rPr>
        <w:fldChar w:fldCharType="end"/>
      </w:r>
    </w:p>
    <w:p w14:paraId="5B228C45">
      <w:pPr>
        <w:pStyle w:val="19"/>
        <w:tabs>
          <w:tab w:val="right" w:leader="dot" w:pos="9582"/>
        </w:tabs>
      </w:pPr>
      <w:r>
        <w:rPr>
          <w:color w:val="auto"/>
          <w:highlight w:val="none"/>
        </w:rPr>
        <w:fldChar w:fldCharType="begin"/>
      </w:r>
      <w:r>
        <w:rPr>
          <w:highlight w:val="none"/>
        </w:rPr>
        <w:instrText xml:space="preserve"> HYPERLINK \l _Toc577705582 </w:instrText>
      </w:r>
      <w:r>
        <w:rPr>
          <w:highlight w:val="none"/>
        </w:rPr>
        <w:fldChar w:fldCharType="separate"/>
      </w:r>
      <w:r>
        <w:rPr>
          <w:rFonts w:hint="eastAsia" w:ascii="宋体" w:hAnsi="宋体" w:eastAsia="宋体"/>
          <w:szCs w:val="21"/>
          <w:highlight w:val="none"/>
        </w:rPr>
        <w:t>《北京市户外广告设施、牌匾标识和标语宣传品设置管理条例》案由14项</w:t>
      </w:r>
      <w:r>
        <w:tab/>
      </w:r>
      <w:r>
        <w:fldChar w:fldCharType="begin"/>
      </w:r>
      <w:r>
        <w:instrText xml:space="preserve"> PAGEREF _Toc577705582 \h </w:instrText>
      </w:r>
      <w:r>
        <w:fldChar w:fldCharType="separate"/>
      </w:r>
      <w:r>
        <w:t>32</w:t>
      </w:r>
      <w:r>
        <w:fldChar w:fldCharType="end"/>
      </w:r>
      <w:r>
        <w:rPr>
          <w:color w:val="auto"/>
          <w:highlight w:val="none"/>
        </w:rPr>
        <w:fldChar w:fldCharType="end"/>
      </w:r>
    </w:p>
    <w:p w14:paraId="4D7A21B4">
      <w:pPr>
        <w:pStyle w:val="19"/>
        <w:tabs>
          <w:tab w:val="right" w:leader="dot" w:pos="9582"/>
        </w:tabs>
      </w:pPr>
      <w:r>
        <w:rPr>
          <w:color w:val="auto"/>
          <w:highlight w:val="none"/>
        </w:rPr>
        <w:fldChar w:fldCharType="begin"/>
      </w:r>
      <w:r>
        <w:rPr>
          <w:highlight w:val="none"/>
        </w:rPr>
        <w:instrText xml:space="preserve"> HYPERLINK \l _Toc1488943236 </w:instrText>
      </w:r>
      <w:r>
        <w:rPr>
          <w:highlight w:val="none"/>
        </w:rPr>
        <w:fldChar w:fldCharType="separate"/>
      </w:r>
      <w:r>
        <w:rPr>
          <w:rFonts w:hint="eastAsia" w:ascii="宋体" w:hAnsi="宋体" w:eastAsia="宋体"/>
          <w:szCs w:val="21"/>
          <w:highlight w:val="none"/>
        </w:rPr>
        <w:t>《北京市标语宣传品设置管理规定》案由6项</w:t>
      </w:r>
      <w:r>
        <w:tab/>
      </w:r>
      <w:r>
        <w:fldChar w:fldCharType="begin"/>
      </w:r>
      <w:r>
        <w:instrText xml:space="preserve"> PAGEREF _Toc1488943236 \h </w:instrText>
      </w:r>
      <w:r>
        <w:fldChar w:fldCharType="separate"/>
      </w:r>
      <w:r>
        <w:t>35</w:t>
      </w:r>
      <w:r>
        <w:fldChar w:fldCharType="end"/>
      </w:r>
      <w:r>
        <w:rPr>
          <w:color w:val="auto"/>
          <w:highlight w:val="none"/>
        </w:rPr>
        <w:fldChar w:fldCharType="end"/>
      </w:r>
    </w:p>
    <w:p w14:paraId="23D09606">
      <w:pPr>
        <w:pStyle w:val="19"/>
        <w:tabs>
          <w:tab w:val="right" w:leader="dot" w:pos="9582"/>
        </w:tabs>
      </w:pPr>
      <w:r>
        <w:rPr>
          <w:color w:val="auto"/>
          <w:highlight w:val="none"/>
        </w:rPr>
        <w:fldChar w:fldCharType="begin"/>
      </w:r>
      <w:r>
        <w:rPr>
          <w:highlight w:val="none"/>
        </w:rPr>
        <w:instrText xml:space="preserve"> HYPERLINK \l _Toc666726954 </w:instrText>
      </w:r>
      <w:r>
        <w:rPr>
          <w:highlight w:val="none"/>
        </w:rPr>
        <w:fldChar w:fldCharType="separate"/>
      </w:r>
      <w:r>
        <w:rPr>
          <w:rFonts w:hint="eastAsia" w:ascii="宋体" w:hAnsi="宋体" w:eastAsia="宋体"/>
          <w:szCs w:val="21"/>
          <w:highlight w:val="none"/>
        </w:rPr>
        <w:t>《北京市城市道路和公共场所环境卫生管理若干规定》案由7项</w:t>
      </w:r>
      <w:r>
        <w:tab/>
      </w:r>
      <w:r>
        <w:fldChar w:fldCharType="begin"/>
      </w:r>
      <w:r>
        <w:instrText xml:space="preserve"> PAGEREF _Toc666726954 \h </w:instrText>
      </w:r>
      <w:r>
        <w:fldChar w:fldCharType="separate"/>
      </w:r>
      <w:r>
        <w:t>36</w:t>
      </w:r>
      <w:r>
        <w:fldChar w:fldCharType="end"/>
      </w:r>
      <w:r>
        <w:rPr>
          <w:color w:val="auto"/>
          <w:highlight w:val="none"/>
        </w:rPr>
        <w:fldChar w:fldCharType="end"/>
      </w:r>
    </w:p>
    <w:p w14:paraId="16DFA600">
      <w:pPr>
        <w:pStyle w:val="19"/>
        <w:tabs>
          <w:tab w:val="right" w:leader="dot" w:pos="9582"/>
        </w:tabs>
      </w:pPr>
      <w:r>
        <w:rPr>
          <w:color w:val="auto"/>
          <w:highlight w:val="none"/>
        </w:rPr>
        <w:fldChar w:fldCharType="begin"/>
      </w:r>
      <w:r>
        <w:rPr>
          <w:highlight w:val="none"/>
        </w:rPr>
        <w:instrText xml:space="preserve"> HYPERLINK \l _Toc938704773 </w:instrText>
      </w:r>
      <w:r>
        <w:rPr>
          <w:highlight w:val="none"/>
        </w:rPr>
        <w:fldChar w:fldCharType="separate"/>
      </w:r>
      <w:r>
        <w:rPr>
          <w:rFonts w:hint="eastAsia" w:ascii="宋体" w:hAnsi="宋体" w:eastAsia="宋体"/>
          <w:szCs w:val="21"/>
          <w:highlight w:val="none"/>
        </w:rPr>
        <w:t>《北京市建筑</w:t>
      </w:r>
      <w:r>
        <w:rPr>
          <w:rFonts w:ascii="宋体" w:hAnsi="宋体" w:eastAsia="宋体"/>
          <w:szCs w:val="21"/>
          <w:highlight w:val="none"/>
        </w:rPr>
        <w:t>垃圾处置管理规定</w:t>
      </w:r>
      <w:r>
        <w:rPr>
          <w:rFonts w:hint="eastAsia" w:ascii="宋体" w:hAnsi="宋体" w:eastAsia="宋体"/>
          <w:szCs w:val="21"/>
          <w:highlight w:val="none"/>
        </w:rPr>
        <w:t>》案由</w:t>
      </w:r>
      <w:r>
        <w:rPr>
          <w:rFonts w:ascii="宋体" w:hAnsi="宋体" w:eastAsia="宋体"/>
          <w:szCs w:val="21"/>
          <w:highlight w:val="none"/>
        </w:rPr>
        <w:t>24</w:t>
      </w:r>
      <w:r>
        <w:rPr>
          <w:rFonts w:hint="eastAsia" w:ascii="宋体" w:hAnsi="宋体" w:eastAsia="宋体"/>
          <w:szCs w:val="21"/>
          <w:highlight w:val="none"/>
        </w:rPr>
        <w:t>项</w:t>
      </w:r>
      <w:r>
        <w:tab/>
      </w:r>
      <w:r>
        <w:fldChar w:fldCharType="begin"/>
      </w:r>
      <w:r>
        <w:instrText xml:space="preserve"> PAGEREF _Toc938704773 \h </w:instrText>
      </w:r>
      <w:r>
        <w:fldChar w:fldCharType="separate"/>
      </w:r>
      <w:r>
        <w:t>37</w:t>
      </w:r>
      <w:r>
        <w:fldChar w:fldCharType="end"/>
      </w:r>
      <w:r>
        <w:rPr>
          <w:color w:val="auto"/>
          <w:highlight w:val="none"/>
        </w:rPr>
        <w:fldChar w:fldCharType="end"/>
      </w:r>
    </w:p>
    <w:p w14:paraId="5EAF77A8">
      <w:pPr>
        <w:pStyle w:val="19"/>
        <w:tabs>
          <w:tab w:val="right" w:leader="dot" w:pos="9582"/>
        </w:tabs>
      </w:pPr>
      <w:r>
        <w:rPr>
          <w:color w:val="auto"/>
          <w:highlight w:val="none"/>
        </w:rPr>
        <w:fldChar w:fldCharType="begin"/>
      </w:r>
      <w:r>
        <w:rPr>
          <w:highlight w:val="none"/>
        </w:rPr>
        <w:instrText xml:space="preserve"> HYPERLINK \l _Toc354917189 </w:instrText>
      </w:r>
      <w:r>
        <w:rPr>
          <w:highlight w:val="none"/>
        </w:rPr>
        <w:fldChar w:fldCharType="separate"/>
      </w:r>
      <w:r>
        <w:rPr>
          <w:rFonts w:hint="eastAsia" w:ascii="宋体" w:hAnsi="宋体" w:eastAsia="宋体"/>
          <w:szCs w:val="21"/>
          <w:highlight w:val="none"/>
        </w:rPr>
        <w:t>《北京市养犬管理规定》案由1项</w:t>
      </w:r>
      <w:r>
        <w:tab/>
      </w:r>
      <w:r>
        <w:fldChar w:fldCharType="begin"/>
      </w:r>
      <w:r>
        <w:instrText xml:space="preserve"> PAGEREF _Toc354917189 \h </w:instrText>
      </w:r>
      <w:r>
        <w:fldChar w:fldCharType="separate"/>
      </w:r>
      <w:r>
        <w:t>48</w:t>
      </w:r>
      <w:r>
        <w:fldChar w:fldCharType="end"/>
      </w:r>
      <w:r>
        <w:rPr>
          <w:color w:val="auto"/>
          <w:highlight w:val="none"/>
        </w:rPr>
        <w:fldChar w:fldCharType="end"/>
      </w:r>
    </w:p>
    <w:p w14:paraId="49752521">
      <w:pPr>
        <w:pStyle w:val="19"/>
        <w:tabs>
          <w:tab w:val="right" w:leader="dot" w:pos="9582"/>
        </w:tabs>
      </w:pPr>
      <w:r>
        <w:rPr>
          <w:color w:val="auto"/>
          <w:highlight w:val="none"/>
        </w:rPr>
        <w:fldChar w:fldCharType="begin"/>
      </w:r>
      <w:r>
        <w:rPr>
          <w:highlight w:val="none"/>
        </w:rPr>
        <w:instrText xml:space="preserve"> HYPERLINK \l _Toc65248453 </w:instrText>
      </w:r>
      <w:r>
        <w:rPr>
          <w:highlight w:val="none"/>
        </w:rPr>
        <w:fldChar w:fldCharType="separate"/>
      </w:r>
      <w:r>
        <w:rPr>
          <w:rFonts w:hint="eastAsia" w:ascii="宋体" w:hAnsi="宋体" w:eastAsia="宋体"/>
          <w:szCs w:val="21"/>
          <w:highlight w:val="none"/>
        </w:rPr>
        <w:t>《北京市长城保护管理办法》案由1项</w:t>
      </w:r>
      <w:r>
        <w:tab/>
      </w:r>
      <w:r>
        <w:fldChar w:fldCharType="begin"/>
      </w:r>
      <w:r>
        <w:instrText xml:space="preserve"> PAGEREF _Toc65248453 \h </w:instrText>
      </w:r>
      <w:r>
        <w:fldChar w:fldCharType="separate"/>
      </w:r>
      <w:r>
        <w:t>48</w:t>
      </w:r>
      <w:r>
        <w:fldChar w:fldCharType="end"/>
      </w:r>
      <w:r>
        <w:rPr>
          <w:color w:val="auto"/>
          <w:highlight w:val="none"/>
        </w:rPr>
        <w:fldChar w:fldCharType="end"/>
      </w:r>
    </w:p>
    <w:p w14:paraId="01F438B9">
      <w:pPr>
        <w:pStyle w:val="19"/>
        <w:tabs>
          <w:tab w:val="right" w:leader="dot" w:pos="9582"/>
        </w:tabs>
      </w:pPr>
      <w:r>
        <w:rPr>
          <w:color w:val="auto"/>
          <w:highlight w:val="none"/>
        </w:rPr>
        <w:fldChar w:fldCharType="begin"/>
      </w:r>
      <w:r>
        <w:rPr>
          <w:highlight w:val="none"/>
        </w:rPr>
        <w:instrText xml:space="preserve"> HYPERLINK \l _Toc359698714 </w:instrText>
      </w:r>
      <w:r>
        <w:rPr>
          <w:highlight w:val="none"/>
        </w:rPr>
        <w:fldChar w:fldCharType="separate"/>
      </w:r>
      <w:r>
        <w:rPr>
          <w:rFonts w:hint="eastAsia" w:ascii="宋体" w:hAnsi="宋体" w:eastAsia="宋体"/>
          <w:szCs w:val="21"/>
          <w:highlight w:val="none"/>
        </w:rPr>
        <w:t>《北京历史文化名城保护条例》案由1项</w:t>
      </w:r>
      <w:r>
        <w:tab/>
      </w:r>
      <w:r>
        <w:fldChar w:fldCharType="begin"/>
      </w:r>
      <w:r>
        <w:instrText xml:space="preserve"> PAGEREF _Toc359698714 \h </w:instrText>
      </w:r>
      <w:r>
        <w:fldChar w:fldCharType="separate"/>
      </w:r>
      <w:r>
        <w:t>48</w:t>
      </w:r>
      <w:r>
        <w:fldChar w:fldCharType="end"/>
      </w:r>
      <w:r>
        <w:rPr>
          <w:color w:val="auto"/>
          <w:highlight w:val="none"/>
        </w:rPr>
        <w:fldChar w:fldCharType="end"/>
      </w:r>
    </w:p>
    <w:p w14:paraId="503DCF65">
      <w:pPr>
        <w:pStyle w:val="19"/>
        <w:tabs>
          <w:tab w:val="right" w:leader="dot" w:pos="9582"/>
        </w:tabs>
      </w:pPr>
      <w:r>
        <w:rPr>
          <w:color w:val="auto"/>
          <w:highlight w:val="none"/>
        </w:rPr>
        <w:fldChar w:fldCharType="begin"/>
      </w:r>
      <w:r>
        <w:rPr>
          <w:highlight w:val="none"/>
        </w:rPr>
        <w:instrText xml:space="preserve"> HYPERLINK \l _Toc472363297 </w:instrText>
      </w:r>
      <w:r>
        <w:rPr>
          <w:highlight w:val="none"/>
        </w:rPr>
        <w:fldChar w:fldCharType="separate"/>
      </w:r>
      <w:r>
        <w:rPr>
          <w:rFonts w:hint="eastAsia" w:ascii="宋体" w:hAnsi="宋体" w:eastAsia="宋体"/>
          <w:szCs w:val="21"/>
          <w:highlight w:val="none"/>
        </w:rPr>
        <w:t>《北京市架空线管理若干规定》案由</w:t>
      </w:r>
      <w:r>
        <w:rPr>
          <w:rFonts w:ascii="宋体" w:hAnsi="宋体" w:eastAsia="宋体"/>
          <w:szCs w:val="21"/>
          <w:highlight w:val="none"/>
        </w:rPr>
        <w:t>7</w:t>
      </w:r>
      <w:r>
        <w:rPr>
          <w:rFonts w:hint="eastAsia" w:ascii="宋体" w:hAnsi="宋体" w:eastAsia="宋体"/>
          <w:szCs w:val="21"/>
          <w:highlight w:val="none"/>
        </w:rPr>
        <w:t>项</w:t>
      </w:r>
      <w:r>
        <w:tab/>
      </w:r>
      <w:r>
        <w:fldChar w:fldCharType="begin"/>
      </w:r>
      <w:r>
        <w:instrText xml:space="preserve"> PAGEREF _Toc472363297 \h </w:instrText>
      </w:r>
      <w:r>
        <w:fldChar w:fldCharType="separate"/>
      </w:r>
      <w:r>
        <w:t>49</w:t>
      </w:r>
      <w:r>
        <w:fldChar w:fldCharType="end"/>
      </w:r>
      <w:r>
        <w:rPr>
          <w:color w:val="auto"/>
          <w:highlight w:val="none"/>
        </w:rPr>
        <w:fldChar w:fldCharType="end"/>
      </w:r>
    </w:p>
    <w:p w14:paraId="26B4527F">
      <w:pPr>
        <w:pStyle w:val="19"/>
        <w:tabs>
          <w:tab w:val="right" w:leader="dot" w:pos="9582"/>
        </w:tabs>
      </w:pPr>
      <w:r>
        <w:rPr>
          <w:color w:val="auto"/>
          <w:highlight w:val="none"/>
        </w:rPr>
        <w:fldChar w:fldCharType="begin"/>
      </w:r>
      <w:r>
        <w:rPr>
          <w:highlight w:val="none"/>
        </w:rPr>
        <w:instrText xml:space="preserve"> HYPERLINK \l _Toc1588431003 </w:instrText>
      </w:r>
      <w:r>
        <w:rPr>
          <w:highlight w:val="none"/>
        </w:rPr>
        <w:fldChar w:fldCharType="separate"/>
      </w:r>
      <w:r>
        <w:rPr>
          <w:rFonts w:hint="eastAsia" w:ascii="宋体" w:hAnsi="宋体" w:eastAsia="宋体"/>
          <w:szCs w:val="21"/>
          <w:highlight w:val="none"/>
        </w:rPr>
        <w:t>《城市照明管理规定》案由2项</w:t>
      </w:r>
      <w:r>
        <w:tab/>
      </w:r>
      <w:r>
        <w:fldChar w:fldCharType="begin"/>
      </w:r>
      <w:r>
        <w:instrText xml:space="preserve"> PAGEREF _Toc1588431003 \h </w:instrText>
      </w:r>
      <w:r>
        <w:fldChar w:fldCharType="separate"/>
      </w:r>
      <w:r>
        <w:t>50</w:t>
      </w:r>
      <w:r>
        <w:fldChar w:fldCharType="end"/>
      </w:r>
      <w:r>
        <w:rPr>
          <w:color w:val="auto"/>
          <w:highlight w:val="none"/>
        </w:rPr>
        <w:fldChar w:fldCharType="end"/>
      </w:r>
    </w:p>
    <w:p w14:paraId="426884B8">
      <w:pPr>
        <w:pStyle w:val="19"/>
        <w:tabs>
          <w:tab w:val="right" w:leader="dot" w:pos="9582"/>
        </w:tabs>
      </w:pPr>
      <w:r>
        <w:rPr>
          <w:color w:val="auto"/>
          <w:highlight w:val="none"/>
        </w:rPr>
        <w:fldChar w:fldCharType="begin"/>
      </w:r>
      <w:r>
        <w:rPr>
          <w:highlight w:val="none"/>
        </w:rPr>
        <w:instrText xml:space="preserve"> HYPERLINK \l _Toc740825924 </w:instrText>
      </w:r>
      <w:r>
        <w:rPr>
          <w:highlight w:val="none"/>
        </w:rPr>
        <w:fldChar w:fldCharType="separate"/>
      </w:r>
      <w:r>
        <w:rPr>
          <w:rFonts w:hint="eastAsia" w:ascii="宋体" w:hAnsi="宋体" w:eastAsia="宋体"/>
          <w:szCs w:val="21"/>
          <w:highlight w:val="none"/>
        </w:rPr>
        <w:t>《北京市</w:t>
      </w:r>
      <w:r>
        <w:rPr>
          <w:rFonts w:ascii="宋体" w:hAnsi="宋体" w:eastAsia="宋体"/>
          <w:szCs w:val="21"/>
          <w:highlight w:val="none"/>
        </w:rPr>
        <w:t>物业管理条例</w:t>
      </w:r>
      <w:r>
        <w:rPr>
          <w:rFonts w:hint="eastAsia" w:ascii="宋体" w:hAnsi="宋体" w:eastAsia="宋体"/>
          <w:szCs w:val="21"/>
          <w:highlight w:val="none"/>
        </w:rPr>
        <w:t>》案由1项</w:t>
      </w:r>
      <w:r>
        <w:tab/>
      </w:r>
      <w:r>
        <w:fldChar w:fldCharType="begin"/>
      </w:r>
      <w:r>
        <w:instrText xml:space="preserve"> PAGEREF _Toc740825924 \h </w:instrText>
      </w:r>
      <w:r>
        <w:fldChar w:fldCharType="separate"/>
      </w:r>
      <w:r>
        <w:t>50</w:t>
      </w:r>
      <w:r>
        <w:fldChar w:fldCharType="end"/>
      </w:r>
      <w:r>
        <w:rPr>
          <w:color w:val="auto"/>
          <w:highlight w:val="none"/>
        </w:rPr>
        <w:fldChar w:fldCharType="end"/>
      </w:r>
    </w:p>
    <w:p w14:paraId="178E0E84">
      <w:pPr>
        <w:pStyle w:val="17"/>
        <w:tabs>
          <w:tab w:val="right" w:leader="dot" w:pos="9582"/>
        </w:tabs>
      </w:pPr>
      <w:r>
        <w:rPr>
          <w:color w:val="auto"/>
          <w:highlight w:val="none"/>
        </w:rPr>
        <w:fldChar w:fldCharType="begin"/>
      </w:r>
      <w:r>
        <w:rPr>
          <w:highlight w:val="none"/>
        </w:rPr>
        <w:instrText xml:space="preserve"> HYPERLINK \l _Toc1915318786 </w:instrText>
      </w:r>
      <w:r>
        <w:rPr>
          <w:highlight w:val="none"/>
        </w:rPr>
        <w:fldChar w:fldCharType="separate"/>
      </w:r>
      <w:r>
        <w:rPr>
          <w:rFonts w:hint="eastAsia" w:ascii="黑体" w:hAnsi="黑体" w:eastAsia="黑体" w:cs="黑体"/>
          <w:bCs w:val="0"/>
          <w:szCs w:val="28"/>
          <w:highlight w:val="none"/>
        </w:rPr>
        <w:t>市政管理方面</w:t>
      </w:r>
      <w:r>
        <w:tab/>
      </w:r>
      <w:r>
        <w:fldChar w:fldCharType="begin"/>
      </w:r>
      <w:r>
        <w:instrText xml:space="preserve"> PAGEREF _Toc1915318786 \h </w:instrText>
      </w:r>
      <w:r>
        <w:fldChar w:fldCharType="separate"/>
      </w:r>
      <w:r>
        <w:t>51</w:t>
      </w:r>
      <w:r>
        <w:fldChar w:fldCharType="end"/>
      </w:r>
      <w:r>
        <w:rPr>
          <w:color w:val="auto"/>
          <w:highlight w:val="none"/>
        </w:rPr>
        <w:fldChar w:fldCharType="end"/>
      </w:r>
    </w:p>
    <w:p w14:paraId="642995F8">
      <w:pPr>
        <w:pStyle w:val="19"/>
        <w:tabs>
          <w:tab w:val="right" w:leader="dot" w:pos="9582"/>
        </w:tabs>
      </w:pPr>
      <w:r>
        <w:rPr>
          <w:color w:val="auto"/>
          <w:highlight w:val="none"/>
        </w:rPr>
        <w:fldChar w:fldCharType="begin"/>
      </w:r>
      <w:r>
        <w:rPr>
          <w:highlight w:val="none"/>
        </w:rPr>
        <w:instrText xml:space="preserve"> HYPERLINK \l _Toc1959760423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_Toc1959760423 \h </w:instrText>
      </w:r>
      <w:r>
        <w:fldChar w:fldCharType="separate"/>
      </w:r>
      <w:r>
        <w:t>51</w:t>
      </w:r>
      <w:r>
        <w:fldChar w:fldCharType="end"/>
      </w:r>
      <w:r>
        <w:rPr>
          <w:color w:val="auto"/>
          <w:highlight w:val="none"/>
        </w:rPr>
        <w:fldChar w:fldCharType="end"/>
      </w:r>
    </w:p>
    <w:p w14:paraId="1FFFDD15">
      <w:pPr>
        <w:pStyle w:val="19"/>
        <w:tabs>
          <w:tab w:val="right" w:leader="dot" w:pos="9582"/>
        </w:tabs>
      </w:pPr>
      <w:r>
        <w:rPr>
          <w:color w:val="auto"/>
          <w:highlight w:val="none"/>
        </w:rPr>
        <w:fldChar w:fldCharType="begin"/>
      </w:r>
      <w:r>
        <w:rPr>
          <w:highlight w:val="none"/>
        </w:rPr>
        <w:instrText xml:space="preserve"> HYPERLINK \l _Toc258925744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_Toc258925744 \h </w:instrText>
      </w:r>
      <w:r>
        <w:fldChar w:fldCharType="separate"/>
      </w:r>
      <w:r>
        <w:t>52</w:t>
      </w:r>
      <w:r>
        <w:fldChar w:fldCharType="end"/>
      </w:r>
      <w:r>
        <w:rPr>
          <w:color w:val="auto"/>
          <w:highlight w:val="none"/>
        </w:rPr>
        <w:fldChar w:fldCharType="end"/>
      </w:r>
    </w:p>
    <w:p w14:paraId="53C70A25">
      <w:pPr>
        <w:pStyle w:val="19"/>
        <w:tabs>
          <w:tab w:val="right" w:leader="dot" w:pos="9582"/>
        </w:tabs>
      </w:pPr>
      <w:r>
        <w:rPr>
          <w:color w:val="auto"/>
          <w:highlight w:val="none"/>
        </w:rPr>
        <w:fldChar w:fldCharType="begin"/>
      </w:r>
      <w:r>
        <w:rPr>
          <w:highlight w:val="none"/>
        </w:rPr>
        <w:instrText xml:space="preserve"> HYPERLINK \l _Toc584148126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_Toc584148126 \h </w:instrText>
      </w:r>
      <w:r>
        <w:fldChar w:fldCharType="separate"/>
      </w:r>
      <w:r>
        <w:t>52</w:t>
      </w:r>
      <w:r>
        <w:fldChar w:fldCharType="end"/>
      </w:r>
      <w:r>
        <w:rPr>
          <w:color w:val="auto"/>
          <w:highlight w:val="none"/>
        </w:rPr>
        <w:fldChar w:fldCharType="end"/>
      </w:r>
    </w:p>
    <w:p w14:paraId="5577685E">
      <w:pPr>
        <w:pStyle w:val="19"/>
        <w:tabs>
          <w:tab w:val="right" w:leader="dot" w:pos="9582"/>
        </w:tabs>
      </w:pPr>
      <w:r>
        <w:rPr>
          <w:color w:val="auto"/>
          <w:highlight w:val="none"/>
        </w:rPr>
        <w:fldChar w:fldCharType="begin"/>
      </w:r>
      <w:r>
        <w:rPr>
          <w:highlight w:val="none"/>
        </w:rPr>
        <w:instrText xml:space="preserve"> HYPERLINK \l _Toc1871081357 </w:instrText>
      </w:r>
      <w:r>
        <w:rPr>
          <w:highlight w:val="none"/>
        </w:rPr>
        <w:fldChar w:fldCharType="separate"/>
      </w:r>
      <w:r>
        <w:rPr>
          <w:rFonts w:hint="eastAsia" w:ascii="宋体" w:hAnsi="宋体" w:eastAsia="宋体"/>
          <w:szCs w:val="21"/>
          <w:highlight w:val="none"/>
        </w:rPr>
        <w:t>《北京市地下设施检查井井盖管理规定》案由5项</w:t>
      </w:r>
      <w:r>
        <w:tab/>
      </w:r>
      <w:r>
        <w:fldChar w:fldCharType="begin"/>
      </w:r>
      <w:r>
        <w:instrText xml:space="preserve"> PAGEREF _Toc1871081357 \h </w:instrText>
      </w:r>
      <w:r>
        <w:fldChar w:fldCharType="separate"/>
      </w:r>
      <w:r>
        <w:t>55</w:t>
      </w:r>
      <w:r>
        <w:fldChar w:fldCharType="end"/>
      </w:r>
      <w:r>
        <w:rPr>
          <w:color w:val="auto"/>
          <w:highlight w:val="none"/>
        </w:rPr>
        <w:fldChar w:fldCharType="end"/>
      </w:r>
    </w:p>
    <w:p w14:paraId="0D64A095">
      <w:pPr>
        <w:pStyle w:val="17"/>
        <w:tabs>
          <w:tab w:val="right" w:leader="dot" w:pos="9582"/>
        </w:tabs>
      </w:pPr>
      <w:r>
        <w:rPr>
          <w:color w:val="auto"/>
          <w:highlight w:val="none"/>
        </w:rPr>
        <w:fldChar w:fldCharType="begin"/>
      </w:r>
      <w:r>
        <w:rPr>
          <w:highlight w:val="none"/>
        </w:rPr>
        <w:instrText xml:space="preserve"> HYPERLINK \l _Toc603539653 </w:instrText>
      </w:r>
      <w:r>
        <w:rPr>
          <w:highlight w:val="none"/>
        </w:rPr>
        <w:fldChar w:fldCharType="separate"/>
      </w:r>
      <w:r>
        <w:rPr>
          <w:rFonts w:hint="eastAsia" w:ascii="黑体" w:hAnsi="黑体" w:eastAsia="黑体"/>
          <w:szCs w:val="28"/>
          <w:highlight w:val="none"/>
        </w:rPr>
        <w:t>公用事业管理方面</w:t>
      </w:r>
      <w:r>
        <w:tab/>
      </w:r>
      <w:r>
        <w:fldChar w:fldCharType="begin"/>
      </w:r>
      <w:r>
        <w:instrText xml:space="preserve"> PAGEREF _Toc603539653 \h </w:instrText>
      </w:r>
      <w:r>
        <w:fldChar w:fldCharType="separate"/>
      </w:r>
      <w:r>
        <w:t>56</w:t>
      </w:r>
      <w:r>
        <w:fldChar w:fldCharType="end"/>
      </w:r>
      <w:r>
        <w:rPr>
          <w:color w:val="auto"/>
          <w:highlight w:val="none"/>
        </w:rPr>
        <w:fldChar w:fldCharType="end"/>
      </w:r>
    </w:p>
    <w:p w14:paraId="7BAFFFD3">
      <w:pPr>
        <w:pStyle w:val="19"/>
        <w:tabs>
          <w:tab w:val="right" w:leader="dot" w:pos="9582"/>
        </w:tabs>
      </w:pPr>
      <w:r>
        <w:rPr>
          <w:color w:val="auto"/>
          <w:highlight w:val="none"/>
        </w:rPr>
        <w:fldChar w:fldCharType="begin"/>
      </w:r>
      <w:r>
        <w:rPr>
          <w:highlight w:val="none"/>
        </w:rPr>
        <w:instrText xml:space="preserve"> HYPERLINK \l _Toc51430679 </w:instrText>
      </w:r>
      <w:r>
        <w:rPr>
          <w:highlight w:val="none"/>
        </w:rPr>
        <w:fldChar w:fldCharType="separate"/>
      </w:r>
      <w:r>
        <w:rPr>
          <w:rFonts w:hint="eastAsia" w:ascii="宋体" w:hAnsi="宋体" w:eastAsia="宋体"/>
          <w:szCs w:val="21"/>
          <w:highlight w:val="none"/>
        </w:rPr>
        <w:t>《城镇燃气管理条例》案由30项</w:t>
      </w:r>
      <w:r>
        <w:tab/>
      </w:r>
      <w:r>
        <w:fldChar w:fldCharType="begin"/>
      </w:r>
      <w:r>
        <w:instrText xml:space="preserve"> PAGEREF _Toc51430679 \h </w:instrText>
      </w:r>
      <w:r>
        <w:fldChar w:fldCharType="separate"/>
      </w:r>
      <w:r>
        <w:t>57</w:t>
      </w:r>
      <w:r>
        <w:fldChar w:fldCharType="end"/>
      </w:r>
      <w:r>
        <w:rPr>
          <w:color w:val="auto"/>
          <w:highlight w:val="none"/>
        </w:rPr>
        <w:fldChar w:fldCharType="end"/>
      </w:r>
    </w:p>
    <w:p w14:paraId="63099A6E">
      <w:pPr>
        <w:pStyle w:val="19"/>
        <w:tabs>
          <w:tab w:val="right" w:leader="dot" w:pos="9582"/>
        </w:tabs>
      </w:pPr>
      <w:r>
        <w:rPr>
          <w:color w:val="auto"/>
          <w:highlight w:val="none"/>
        </w:rPr>
        <w:fldChar w:fldCharType="begin"/>
      </w:r>
      <w:r>
        <w:rPr>
          <w:highlight w:val="none"/>
        </w:rPr>
        <w:instrText xml:space="preserve"> HYPERLINK \l _Toc2063405547 </w:instrText>
      </w:r>
      <w:r>
        <w:rPr>
          <w:highlight w:val="none"/>
        </w:rPr>
        <w:fldChar w:fldCharType="separate"/>
      </w:r>
      <w:r>
        <w:rPr>
          <w:rFonts w:hint="eastAsia" w:ascii="宋体" w:hAnsi="宋体" w:eastAsia="宋体"/>
          <w:szCs w:val="21"/>
          <w:highlight w:val="none"/>
        </w:rPr>
        <w:t>《北京市燃气管理条例》案由26项</w:t>
      </w:r>
      <w:r>
        <w:tab/>
      </w:r>
      <w:r>
        <w:fldChar w:fldCharType="begin"/>
      </w:r>
      <w:r>
        <w:instrText xml:space="preserve"> PAGEREF _Toc2063405547 \h </w:instrText>
      </w:r>
      <w:r>
        <w:fldChar w:fldCharType="separate"/>
      </w:r>
      <w:r>
        <w:t>68</w:t>
      </w:r>
      <w:r>
        <w:fldChar w:fldCharType="end"/>
      </w:r>
      <w:r>
        <w:rPr>
          <w:color w:val="auto"/>
          <w:highlight w:val="none"/>
        </w:rPr>
        <w:fldChar w:fldCharType="end"/>
      </w:r>
    </w:p>
    <w:p w14:paraId="1D279302">
      <w:pPr>
        <w:pStyle w:val="19"/>
        <w:tabs>
          <w:tab w:val="right" w:leader="dot" w:pos="9582"/>
        </w:tabs>
      </w:pPr>
      <w:r>
        <w:rPr>
          <w:color w:val="auto"/>
          <w:highlight w:val="none"/>
        </w:rPr>
        <w:fldChar w:fldCharType="begin"/>
      </w:r>
      <w:r>
        <w:rPr>
          <w:highlight w:val="none"/>
        </w:rPr>
        <w:instrText xml:space="preserve"> HYPERLINK \l _Toc303018879 </w:instrText>
      </w:r>
      <w:r>
        <w:rPr>
          <w:highlight w:val="none"/>
        </w:rPr>
        <w:fldChar w:fldCharType="separate"/>
      </w:r>
      <w:r>
        <w:rPr>
          <w:rFonts w:hint="eastAsia" w:ascii="宋体" w:hAnsi="宋体" w:eastAsia="宋体"/>
          <w:szCs w:val="21"/>
          <w:highlight w:val="none"/>
        </w:rPr>
        <w:t>《北京市消防条例》案由1项</w:t>
      </w:r>
      <w:r>
        <w:tab/>
      </w:r>
      <w:r>
        <w:fldChar w:fldCharType="begin"/>
      </w:r>
      <w:r>
        <w:instrText xml:space="preserve"> PAGEREF _Toc303018879 \h </w:instrText>
      </w:r>
      <w:r>
        <w:fldChar w:fldCharType="separate"/>
      </w:r>
      <w:r>
        <w:t>80</w:t>
      </w:r>
      <w:r>
        <w:fldChar w:fldCharType="end"/>
      </w:r>
      <w:r>
        <w:rPr>
          <w:color w:val="auto"/>
          <w:highlight w:val="none"/>
        </w:rPr>
        <w:fldChar w:fldCharType="end"/>
      </w:r>
    </w:p>
    <w:p w14:paraId="6F5502C4">
      <w:pPr>
        <w:pStyle w:val="19"/>
        <w:tabs>
          <w:tab w:val="right" w:leader="dot" w:pos="9582"/>
        </w:tabs>
      </w:pPr>
      <w:r>
        <w:rPr>
          <w:color w:val="auto"/>
          <w:highlight w:val="none"/>
        </w:rPr>
        <w:fldChar w:fldCharType="begin"/>
      </w:r>
      <w:r>
        <w:rPr>
          <w:highlight w:val="none"/>
        </w:rPr>
        <w:instrText xml:space="preserve"> HYPERLINK \l _Toc598911105 </w:instrText>
      </w:r>
      <w:r>
        <w:rPr>
          <w:highlight w:val="none"/>
        </w:rPr>
        <w:fldChar w:fldCharType="separate"/>
      </w:r>
      <w:r>
        <w:rPr>
          <w:rFonts w:hint="eastAsia" w:ascii="宋体" w:hAnsi="宋体" w:eastAsia="宋体"/>
          <w:szCs w:val="21"/>
          <w:highlight w:val="none"/>
        </w:rPr>
        <w:t>《北京市清洁燃料车辆加气站管理规定》案由7项</w:t>
      </w:r>
      <w:r>
        <w:tab/>
      </w:r>
      <w:r>
        <w:fldChar w:fldCharType="begin"/>
      </w:r>
      <w:r>
        <w:instrText xml:space="preserve"> PAGEREF _Toc598911105 \h </w:instrText>
      </w:r>
      <w:r>
        <w:fldChar w:fldCharType="separate"/>
      </w:r>
      <w:r>
        <w:t>80</w:t>
      </w:r>
      <w:r>
        <w:fldChar w:fldCharType="end"/>
      </w:r>
      <w:r>
        <w:rPr>
          <w:color w:val="auto"/>
          <w:highlight w:val="none"/>
        </w:rPr>
        <w:fldChar w:fldCharType="end"/>
      </w:r>
    </w:p>
    <w:p w14:paraId="254342BA">
      <w:pPr>
        <w:pStyle w:val="19"/>
        <w:tabs>
          <w:tab w:val="right" w:leader="dot" w:pos="9582"/>
        </w:tabs>
      </w:pPr>
      <w:r>
        <w:rPr>
          <w:color w:val="auto"/>
          <w:highlight w:val="none"/>
        </w:rPr>
        <w:fldChar w:fldCharType="begin"/>
      </w:r>
      <w:r>
        <w:rPr>
          <w:highlight w:val="none"/>
        </w:rPr>
        <w:instrText xml:space="preserve"> HYPERLINK \l _Toc247653558 </w:instrText>
      </w:r>
      <w:r>
        <w:rPr>
          <w:highlight w:val="none"/>
        </w:rPr>
        <w:fldChar w:fldCharType="separate"/>
      </w:r>
      <w:r>
        <w:rPr>
          <w:rFonts w:hint="eastAsia" w:ascii="宋体" w:hAnsi="宋体" w:eastAsia="宋体"/>
          <w:szCs w:val="21"/>
          <w:highlight w:val="none"/>
        </w:rPr>
        <w:t>《</w:t>
      </w:r>
      <w:r>
        <w:rPr>
          <w:rFonts w:ascii="宋体" w:hAnsi="宋体" w:eastAsia="宋体"/>
          <w:szCs w:val="21"/>
          <w:highlight w:val="none"/>
        </w:rPr>
        <w:t>北京市供热采暖管理办法</w:t>
      </w:r>
      <w:r>
        <w:rPr>
          <w:rFonts w:hint="eastAsia" w:ascii="宋体" w:hAnsi="宋体" w:eastAsia="宋体"/>
          <w:szCs w:val="21"/>
          <w:highlight w:val="none"/>
        </w:rPr>
        <w:t>》案由19项</w:t>
      </w:r>
      <w:r>
        <w:tab/>
      </w:r>
      <w:r>
        <w:fldChar w:fldCharType="begin"/>
      </w:r>
      <w:r>
        <w:instrText xml:space="preserve"> PAGEREF _Toc247653558 \h </w:instrText>
      </w:r>
      <w:r>
        <w:fldChar w:fldCharType="separate"/>
      </w:r>
      <w:r>
        <w:t>82</w:t>
      </w:r>
      <w:r>
        <w:fldChar w:fldCharType="end"/>
      </w:r>
      <w:r>
        <w:rPr>
          <w:color w:val="auto"/>
          <w:highlight w:val="none"/>
        </w:rPr>
        <w:fldChar w:fldCharType="end"/>
      </w:r>
    </w:p>
    <w:p w14:paraId="5F1C51DF">
      <w:pPr>
        <w:pStyle w:val="19"/>
        <w:tabs>
          <w:tab w:val="right" w:leader="dot" w:pos="9582"/>
        </w:tabs>
      </w:pPr>
      <w:r>
        <w:rPr>
          <w:color w:val="auto"/>
          <w:highlight w:val="none"/>
        </w:rPr>
        <w:fldChar w:fldCharType="begin"/>
      </w:r>
      <w:r>
        <w:rPr>
          <w:highlight w:val="none"/>
        </w:rPr>
        <w:instrText xml:space="preserve"> HYPERLINK \l _Toc745697621 </w:instrText>
      </w:r>
      <w:r>
        <w:rPr>
          <w:highlight w:val="none"/>
        </w:rPr>
        <w:fldChar w:fldCharType="separate"/>
      </w:r>
      <w:r>
        <w:rPr>
          <w:rFonts w:hint="eastAsia" w:ascii="宋体" w:hAnsi="宋体" w:eastAsia="宋体"/>
          <w:szCs w:val="21"/>
          <w:highlight w:val="none"/>
        </w:rPr>
        <w:t>《北京市民用建筑节能管理办法》案由2项</w:t>
      </w:r>
      <w:r>
        <w:tab/>
      </w:r>
      <w:r>
        <w:fldChar w:fldCharType="begin"/>
      </w:r>
      <w:r>
        <w:instrText xml:space="preserve"> PAGEREF _Toc745697621 \h </w:instrText>
      </w:r>
      <w:r>
        <w:fldChar w:fldCharType="separate"/>
      </w:r>
      <w:r>
        <w:t>84</w:t>
      </w:r>
      <w:r>
        <w:fldChar w:fldCharType="end"/>
      </w:r>
      <w:r>
        <w:rPr>
          <w:color w:val="auto"/>
          <w:highlight w:val="none"/>
        </w:rPr>
        <w:fldChar w:fldCharType="end"/>
      </w:r>
    </w:p>
    <w:p w14:paraId="3D58107E">
      <w:pPr>
        <w:pStyle w:val="19"/>
        <w:tabs>
          <w:tab w:val="right" w:leader="dot" w:pos="9582"/>
        </w:tabs>
      </w:pPr>
      <w:r>
        <w:rPr>
          <w:color w:val="auto"/>
          <w:highlight w:val="none"/>
        </w:rPr>
        <w:fldChar w:fldCharType="begin"/>
      </w:r>
      <w:r>
        <w:rPr>
          <w:highlight w:val="none"/>
        </w:rPr>
        <w:instrText xml:space="preserve"> HYPERLINK \l _Toc1458478113 </w:instrText>
      </w:r>
      <w:r>
        <w:rPr>
          <w:highlight w:val="none"/>
        </w:rPr>
        <w:fldChar w:fldCharType="separate"/>
      </w:r>
      <w:r>
        <w:rPr>
          <w:rFonts w:hint="eastAsia" w:ascii="宋体" w:hAnsi="宋体" w:eastAsia="宋体" w:cs="宋体"/>
          <w:szCs w:val="21"/>
          <w:highlight w:val="none"/>
          <w:lang w:val="en-US" w:eastAsia="zh-CN"/>
        </w:rPr>
        <w:t>《北京市建筑绿色发展条例》案由1项</w:t>
      </w:r>
      <w:r>
        <w:tab/>
      </w:r>
      <w:r>
        <w:fldChar w:fldCharType="begin"/>
      </w:r>
      <w:r>
        <w:instrText xml:space="preserve"> PAGEREF _Toc1458478113 \h </w:instrText>
      </w:r>
      <w:r>
        <w:fldChar w:fldCharType="separate"/>
      </w:r>
      <w:r>
        <w:t>85</w:t>
      </w:r>
      <w:r>
        <w:fldChar w:fldCharType="end"/>
      </w:r>
      <w:r>
        <w:rPr>
          <w:color w:val="auto"/>
          <w:highlight w:val="none"/>
        </w:rPr>
        <w:fldChar w:fldCharType="end"/>
      </w:r>
    </w:p>
    <w:p w14:paraId="1DC66497">
      <w:pPr>
        <w:pStyle w:val="19"/>
        <w:tabs>
          <w:tab w:val="right" w:leader="dot" w:pos="9582"/>
        </w:tabs>
      </w:pPr>
      <w:r>
        <w:rPr>
          <w:color w:val="auto"/>
          <w:highlight w:val="none"/>
        </w:rPr>
        <w:fldChar w:fldCharType="begin"/>
      </w:r>
      <w:r>
        <w:rPr>
          <w:highlight w:val="none"/>
        </w:rPr>
        <w:instrText xml:space="preserve"> HYPERLINK \l _Toc357269991 </w:instrText>
      </w:r>
      <w:r>
        <w:rPr>
          <w:highlight w:val="none"/>
        </w:rPr>
        <w:fldChar w:fldCharType="separate"/>
      </w:r>
      <w:r>
        <w:rPr>
          <w:rFonts w:hint="eastAsia" w:ascii="宋体" w:hAnsi="宋体" w:eastAsia="宋体"/>
          <w:szCs w:val="21"/>
          <w:highlight w:val="none"/>
        </w:rPr>
        <w:t>《北京市单用途预付卡管理条例》案由7项</w:t>
      </w:r>
      <w:r>
        <w:tab/>
      </w:r>
      <w:r>
        <w:fldChar w:fldCharType="begin"/>
      </w:r>
      <w:r>
        <w:instrText xml:space="preserve"> PAGEREF _Toc357269991 \h </w:instrText>
      </w:r>
      <w:r>
        <w:fldChar w:fldCharType="separate"/>
      </w:r>
      <w:r>
        <w:t>85</w:t>
      </w:r>
      <w:r>
        <w:fldChar w:fldCharType="end"/>
      </w:r>
      <w:r>
        <w:rPr>
          <w:color w:val="auto"/>
          <w:highlight w:val="none"/>
        </w:rPr>
        <w:fldChar w:fldCharType="end"/>
      </w:r>
    </w:p>
    <w:p w14:paraId="72057064">
      <w:pPr>
        <w:pStyle w:val="17"/>
        <w:tabs>
          <w:tab w:val="right" w:leader="dot" w:pos="9582"/>
        </w:tabs>
      </w:pPr>
      <w:r>
        <w:rPr>
          <w:color w:val="auto"/>
          <w:highlight w:val="none"/>
        </w:rPr>
        <w:fldChar w:fldCharType="begin"/>
      </w:r>
      <w:r>
        <w:rPr>
          <w:highlight w:val="none"/>
        </w:rPr>
        <w:instrText xml:space="preserve"> HYPERLINK \l _Toc2058843597 </w:instrText>
      </w:r>
      <w:r>
        <w:rPr>
          <w:highlight w:val="none"/>
        </w:rPr>
        <w:fldChar w:fldCharType="separate"/>
      </w:r>
      <w:r>
        <w:rPr>
          <w:rFonts w:hint="eastAsia" w:ascii="黑体" w:hAnsi="黑体" w:eastAsia="黑体"/>
          <w:szCs w:val="28"/>
          <w:highlight w:val="none"/>
        </w:rPr>
        <w:t>园林绿化管理方面</w:t>
      </w:r>
      <w:r>
        <w:tab/>
      </w:r>
      <w:r>
        <w:fldChar w:fldCharType="begin"/>
      </w:r>
      <w:r>
        <w:instrText xml:space="preserve"> PAGEREF _Toc2058843597 \h </w:instrText>
      </w:r>
      <w:r>
        <w:fldChar w:fldCharType="separate"/>
      </w:r>
      <w:r>
        <w:t>86</w:t>
      </w:r>
      <w:r>
        <w:fldChar w:fldCharType="end"/>
      </w:r>
      <w:r>
        <w:rPr>
          <w:color w:val="auto"/>
          <w:highlight w:val="none"/>
        </w:rPr>
        <w:fldChar w:fldCharType="end"/>
      </w:r>
    </w:p>
    <w:p w14:paraId="7EA0FB26">
      <w:pPr>
        <w:pStyle w:val="19"/>
        <w:tabs>
          <w:tab w:val="right" w:leader="dot" w:pos="9582"/>
        </w:tabs>
      </w:pPr>
      <w:r>
        <w:rPr>
          <w:color w:val="auto"/>
          <w:highlight w:val="none"/>
        </w:rPr>
        <w:fldChar w:fldCharType="begin"/>
      </w:r>
      <w:r>
        <w:rPr>
          <w:highlight w:val="none"/>
        </w:rPr>
        <w:instrText xml:space="preserve"> HYPERLINK \l _Toc68389721 </w:instrText>
      </w:r>
      <w:r>
        <w:rPr>
          <w:highlight w:val="none"/>
        </w:rPr>
        <w:fldChar w:fldCharType="separate"/>
      </w:r>
      <w:r>
        <w:rPr>
          <w:rFonts w:hint="eastAsia" w:ascii="宋体" w:hAnsi="宋体" w:eastAsia="宋体"/>
          <w:szCs w:val="21"/>
          <w:highlight w:val="none"/>
        </w:rPr>
        <w:t>《北京市绿化条例》案由16项</w:t>
      </w:r>
      <w:r>
        <w:tab/>
      </w:r>
      <w:r>
        <w:fldChar w:fldCharType="begin"/>
      </w:r>
      <w:r>
        <w:instrText xml:space="preserve"> PAGEREF _Toc68389721 \h </w:instrText>
      </w:r>
      <w:r>
        <w:fldChar w:fldCharType="separate"/>
      </w:r>
      <w:r>
        <w:t>86</w:t>
      </w:r>
      <w:r>
        <w:fldChar w:fldCharType="end"/>
      </w:r>
      <w:r>
        <w:rPr>
          <w:color w:val="auto"/>
          <w:highlight w:val="none"/>
        </w:rPr>
        <w:fldChar w:fldCharType="end"/>
      </w:r>
    </w:p>
    <w:p w14:paraId="507675EC">
      <w:pPr>
        <w:pStyle w:val="19"/>
        <w:tabs>
          <w:tab w:val="right" w:leader="dot" w:pos="9582"/>
        </w:tabs>
      </w:pPr>
      <w:r>
        <w:rPr>
          <w:color w:val="auto"/>
          <w:highlight w:val="none"/>
        </w:rPr>
        <w:fldChar w:fldCharType="begin"/>
      </w:r>
      <w:r>
        <w:rPr>
          <w:highlight w:val="none"/>
        </w:rPr>
        <w:instrText xml:space="preserve"> HYPERLINK \l _Toc1043557846 </w:instrText>
      </w:r>
      <w:r>
        <w:rPr>
          <w:highlight w:val="none"/>
        </w:rPr>
        <w:fldChar w:fldCharType="separate"/>
      </w:r>
      <w:r>
        <w:rPr>
          <w:rFonts w:hint="eastAsia" w:ascii="宋体" w:hAnsi="宋体" w:eastAsia="宋体"/>
          <w:szCs w:val="21"/>
          <w:highlight w:val="none"/>
        </w:rPr>
        <w:t>《北京市物业</w:t>
      </w:r>
      <w:r>
        <w:rPr>
          <w:rFonts w:ascii="宋体" w:hAnsi="宋体" w:eastAsia="宋体"/>
          <w:szCs w:val="21"/>
          <w:highlight w:val="none"/>
        </w:rPr>
        <w:t>管理条例</w:t>
      </w:r>
      <w:r>
        <w:rPr>
          <w:rFonts w:hint="eastAsia" w:ascii="宋体" w:hAnsi="宋体" w:eastAsia="宋体"/>
          <w:szCs w:val="21"/>
          <w:highlight w:val="none"/>
        </w:rPr>
        <w:t>》案由1项</w:t>
      </w:r>
      <w:r>
        <w:tab/>
      </w:r>
      <w:r>
        <w:fldChar w:fldCharType="begin"/>
      </w:r>
      <w:r>
        <w:instrText xml:space="preserve"> PAGEREF _Toc1043557846 \h </w:instrText>
      </w:r>
      <w:r>
        <w:fldChar w:fldCharType="separate"/>
      </w:r>
      <w:r>
        <w:t>89</w:t>
      </w:r>
      <w:r>
        <w:fldChar w:fldCharType="end"/>
      </w:r>
      <w:r>
        <w:rPr>
          <w:color w:val="auto"/>
          <w:highlight w:val="none"/>
        </w:rPr>
        <w:fldChar w:fldCharType="end"/>
      </w:r>
    </w:p>
    <w:p w14:paraId="31CD0C71">
      <w:pPr>
        <w:pStyle w:val="19"/>
        <w:tabs>
          <w:tab w:val="right" w:leader="dot" w:pos="9582"/>
        </w:tabs>
      </w:pPr>
      <w:r>
        <w:rPr>
          <w:color w:val="auto"/>
          <w:highlight w:val="none"/>
        </w:rPr>
        <w:fldChar w:fldCharType="begin"/>
      </w:r>
      <w:r>
        <w:rPr>
          <w:highlight w:val="none"/>
        </w:rPr>
        <w:instrText xml:space="preserve"> HYPERLINK \l _Toc1677030221 </w:instrText>
      </w:r>
      <w:r>
        <w:rPr>
          <w:highlight w:val="none"/>
        </w:rPr>
        <w:fldChar w:fldCharType="separate"/>
      </w:r>
      <w:r>
        <w:rPr>
          <w:rFonts w:hint="eastAsia" w:ascii="宋体" w:hAnsi="宋体" w:eastAsia="宋体" w:cs="宋体"/>
          <w:szCs w:val="21"/>
          <w:highlight w:val="none"/>
        </w:rPr>
        <w:t>《古树名木保护条例》案由11项</w:t>
      </w:r>
      <w:r>
        <w:tab/>
      </w:r>
      <w:r>
        <w:fldChar w:fldCharType="begin"/>
      </w:r>
      <w:r>
        <w:instrText xml:space="preserve"> PAGEREF _Toc1677030221 \h </w:instrText>
      </w:r>
      <w:r>
        <w:fldChar w:fldCharType="separate"/>
      </w:r>
      <w:r>
        <w:t>89</w:t>
      </w:r>
      <w:r>
        <w:fldChar w:fldCharType="end"/>
      </w:r>
      <w:r>
        <w:rPr>
          <w:color w:val="auto"/>
          <w:highlight w:val="none"/>
        </w:rPr>
        <w:fldChar w:fldCharType="end"/>
      </w:r>
    </w:p>
    <w:p w14:paraId="35348D60">
      <w:pPr>
        <w:pStyle w:val="19"/>
        <w:tabs>
          <w:tab w:val="right" w:leader="dot" w:pos="9582"/>
        </w:tabs>
      </w:pPr>
      <w:r>
        <w:rPr>
          <w:color w:val="auto"/>
          <w:highlight w:val="none"/>
        </w:rPr>
        <w:fldChar w:fldCharType="begin"/>
      </w:r>
      <w:r>
        <w:rPr>
          <w:highlight w:val="none"/>
        </w:rPr>
        <w:instrText xml:space="preserve"> HYPERLINK \l _Toc274977827 </w:instrText>
      </w:r>
      <w:r>
        <w:rPr>
          <w:highlight w:val="none"/>
        </w:rPr>
        <w:fldChar w:fldCharType="separate"/>
      </w:r>
      <w:r>
        <w:rPr>
          <w:rFonts w:hint="eastAsia"/>
          <w:szCs w:val="21"/>
          <w:highlight w:val="none"/>
        </w:rPr>
        <w:t>《北京市古树名木保护管理条例》案由</w:t>
      </w:r>
      <w:r>
        <w:rPr>
          <w:rFonts w:hint="eastAsia"/>
          <w:szCs w:val="21"/>
          <w:highlight w:val="none"/>
          <w:lang w:val="en-US" w:eastAsia="zh-CN"/>
        </w:rPr>
        <w:t>3项</w:t>
      </w:r>
      <w:r>
        <w:tab/>
      </w:r>
      <w:r>
        <w:fldChar w:fldCharType="begin"/>
      </w:r>
      <w:r>
        <w:instrText xml:space="preserve"> PAGEREF _Toc274977827 \h </w:instrText>
      </w:r>
      <w:r>
        <w:fldChar w:fldCharType="separate"/>
      </w:r>
      <w:r>
        <w:t>94</w:t>
      </w:r>
      <w:r>
        <w:fldChar w:fldCharType="end"/>
      </w:r>
      <w:r>
        <w:rPr>
          <w:color w:val="auto"/>
          <w:highlight w:val="none"/>
        </w:rPr>
        <w:fldChar w:fldCharType="end"/>
      </w:r>
    </w:p>
    <w:p w14:paraId="797EBCB0">
      <w:pPr>
        <w:pStyle w:val="19"/>
        <w:tabs>
          <w:tab w:val="right" w:leader="dot" w:pos="9582"/>
        </w:tabs>
      </w:pPr>
      <w:r>
        <w:rPr>
          <w:color w:val="auto"/>
          <w:highlight w:val="none"/>
        </w:rPr>
        <w:fldChar w:fldCharType="begin"/>
      </w:r>
      <w:r>
        <w:rPr>
          <w:highlight w:val="none"/>
        </w:rPr>
        <w:instrText xml:space="preserve"> HYPERLINK \l _Toc944187993 </w:instrText>
      </w:r>
      <w:r>
        <w:rPr>
          <w:highlight w:val="none"/>
        </w:rPr>
        <w:fldChar w:fldCharType="separate"/>
      </w:r>
      <w:r>
        <w:rPr>
          <w:rFonts w:hint="eastAsia" w:ascii="宋体" w:hAnsi="宋体" w:eastAsia="宋体"/>
          <w:szCs w:val="21"/>
          <w:highlight w:val="none"/>
        </w:rPr>
        <w:t>《北京市公园条例》案由</w:t>
      </w:r>
      <w:r>
        <w:rPr>
          <w:rFonts w:ascii="宋体" w:hAnsi="宋体" w:eastAsia="宋体"/>
          <w:szCs w:val="21"/>
          <w:highlight w:val="none"/>
        </w:rPr>
        <w:t xml:space="preserve"> 18</w:t>
      </w:r>
      <w:r>
        <w:rPr>
          <w:rFonts w:hint="eastAsia" w:ascii="宋体" w:hAnsi="宋体" w:eastAsia="宋体"/>
          <w:szCs w:val="21"/>
          <w:highlight w:val="none"/>
        </w:rPr>
        <w:t>项</w:t>
      </w:r>
      <w:r>
        <w:tab/>
      </w:r>
      <w:r>
        <w:fldChar w:fldCharType="begin"/>
      </w:r>
      <w:r>
        <w:instrText xml:space="preserve"> PAGEREF _Toc944187993 \h </w:instrText>
      </w:r>
      <w:r>
        <w:fldChar w:fldCharType="separate"/>
      </w:r>
      <w:r>
        <w:t>95</w:t>
      </w:r>
      <w:r>
        <w:fldChar w:fldCharType="end"/>
      </w:r>
      <w:r>
        <w:rPr>
          <w:color w:val="auto"/>
          <w:highlight w:val="none"/>
        </w:rPr>
        <w:fldChar w:fldCharType="end"/>
      </w:r>
    </w:p>
    <w:p w14:paraId="3394D721">
      <w:pPr>
        <w:pStyle w:val="17"/>
        <w:tabs>
          <w:tab w:val="right" w:leader="dot" w:pos="9582"/>
        </w:tabs>
      </w:pPr>
      <w:r>
        <w:rPr>
          <w:color w:val="auto"/>
          <w:highlight w:val="none"/>
        </w:rPr>
        <w:fldChar w:fldCharType="begin"/>
      </w:r>
      <w:r>
        <w:rPr>
          <w:highlight w:val="none"/>
        </w:rPr>
        <w:instrText xml:space="preserve"> HYPERLINK \l _Toc287673253 </w:instrText>
      </w:r>
      <w:r>
        <w:rPr>
          <w:highlight w:val="none"/>
        </w:rPr>
        <w:fldChar w:fldCharType="separate"/>
      </w:r>
      <w:r>
        <w:rPr>
          <w:rFonts w:hint="eastAsia" w:ascii="黑体" w:hAnsi="黑体" w:eastAsia="黑体" w:cs="黑体"/>
          <w:bCs w:val="0"/>
          <w:szCs w:val="28"/>
          <w:highlight w:val="none"/>
        </w:rPr>
        <w:t>环境保护管理方面</w:t>
      </w:r>
      <w:r>
        <w:tab/>
      </w:r>
      <w:r>
        <w:fldChar w:fldCharType="begin"/>
      </w:r>
      <w:r>
        <w:instrText xml:space="preserve"> PAGEREF _Toc287673253 \h </w:instrText>
      </w:r>
      <w:r>
        <w:fldChar w:fldCharType="separate"/>
      </w:r>
      <w:r>
        <w:t>97</w:t>
      </w:r>
      <w:r>
        <w:fldChar w:fldCharType="end"/>
      </w:r>
      <w:r>
        <w:rPr>
          <w:color w:val="auto"/>
          <w:highlight w:val="none"/>
        </w:rPr>
        <w:fldChar w:fldCharType="end"/>
      </w:r>
    </w:p>
    <w:p w14:paraId="69711A83">
      <w:pPr>
        <w:pStyle w:val="19"/>
        <w:tabs>
          <w:tab w:val="right" w:leader="dot" w:pos="9582"/>
        </w:tabs>
      </w:pPr>
      <w:r>
        <w:rPr>
          <w:color w:val="auto"/>
          <w:highlight w:val="none"/>
        </w:rPr>
        <w:fldChar w:fldCharType="begin"/>
      </w:r>
      <w:r>
        <w:rPr>
          <w:highlight w:val="none"/>
        </w:rPr>
        <w:instrText xml:space="preserve"> HYPERLINK \l _Toc852683409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_Toc852683409 \h </w:instrText>
      </w:r>
      <w:r>
        <w:fldChar w:fldCharType="separate"/>
      </w:r>
      <w:r>
        <w:t>97</w:t>
      </w:r>
      <w:r>
        <w:fldChar w:fldCharType="end"/>
      </w:r>
      <w:r>
        <w:rPr>
          <w:color w:val="auto"/>
          <w:highlight w:val="none"/>
        </w:rPr>
        <w:fldChar w:fldCharType="end"/>
      </w:r>
    </w:p>
    <w:p w14:paraId="015D1204">
      <w:pPr>
        <w:pStyle w:val="19"/>
        <w:tabs>
          <w:tab w:val="right" w:leader="dot" w:pos="9582"/>
        </w:tabs>
      </w:pPr>
      <w:r>
        <w:rPr>
          <w:color w:val="auto"/>
          <w:highlight w:val="none"/>
        </w:rPr>
        <w:fldChar w:fldCharType="begin"/>
      </w:r>
      <w:r>
        <w:rPr>
          <w:highlight w:val="none"/>
        </w:rPr>
        <w:instrText xml:space="preserve"> HYPERLINK \l _Toc285647581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_Toc285647581 \h </w:instrText>
      </w:r>
      <w:r>
        <w:fldChar w:fldCharType="separate"/>
      </w:r>
      <w:r>
        <w:t>101</w:t>
      </w:r>
      <w:r>
        <w:fldChar w:fldCharType="end"/>
      </w:r>
      <w:r>
        <w:rPr>
          <w:color w:val="auto"/>
          <w:highlight w:val="none"/>
        </w:rPr>
        <w:fldChar w:fldCharType="end"/>
      </w:r>
    </w:p>
    <w:p w14:paraId="4111BF4C">
      <w:pPr>
        <w:pStyle w:val="19"/>
        <w:tabs>
          <w:tab w:val="right" w:leader="dot" w:pos="9582"/>
        </w:tabs>
      </w:pPr>
      <w:r>
        <w:rPr>
          <w:color w:val="auto"/>
          <w:highlight w:val="none"/>
        </w:rPr>
        <w:fldChar w:fldCharType="begin"/>
      </w:r>
      <w:r>
        <w:rPr>
          <w:highlight w:val="none"/>
        </w:rPr>
        <w:instrText xml:space="preserve"> HYPERLINK \l _Toc954400207 </w:instrText>
      </w:r>
      <w:r>
        <w:rPr>
          <w:highlight w:val="none"/>
        </w:rPr>
        <w:fldChar w:fldCharType="separate"/>
      </w:r>
      <w:r>
        <w:rPr>
          <w:rFonts w:hint="eastAsia" w:ascii="宋体" w:hAnsi="宋体" w:eastAsia="宋体"/>
          <w:szCs w:val="21"/>
          <w:highlight w:val="none"/>
        </w:rPr>
        <w:t>《北京市环境噪声污染防治办法》案由</w:t>
      </w:r>
      <w:r>
        <w:rPr>
          <w:rFonts w:hint="eastAsia" w:ascii="宋体" w:hAnsi="宋体" w:eastAsia="宋体"/>
          <w:szCs w:val="21"/>
          <w:highlight w:val="none"/>
          <w:lang w:val="en-US" w:eastAsia="zh-CN"/>
        </w:rPr>
        <w:t>1</w:t>
      </w:r>
      <w:r>
        <w:rPr>
          <w:rFonts w:hint="eastAsia" w:ascii="宋体" w:hAnsi="宋体" w:eastAsia="宋体"/>
          <w:szCs w:val="21"/>
          <w:highlight w:val="none"/>
        </w:rPr>
        <w:t>项</w:t>
      </w:r>
      <w:r>
        <w:tab/>
      </w:r>
      <w:r>
        <w:fldChar w:fldCharType="begin"/>
      </w:r>
      <w:r>
        <w:instrText xml:space="preserve"> PAGEREF _Toc954400207 \h </w:instrText>
      </w:r>
      <w:r>
        <w:fldChar w:fldCharType="separate"/>
      </w:r>
      <w:r>
        <w:t>102</w:t>
      </w:r>
      <w:r>
        <w:fldChar w:fldCharType="end"/>
      </w:r>
      <w:r>
        <w:rPr>
          <w:color w:val="auto"/>
          <w:highlight w:val="none"/>
        </w:rPr>
        <w:fldChar w:fldCharType="end"/>
      </w:r>
    </w:p>
    <w:p w14:paraId="3E89C539">
      <w:pPr>
        <w:pStyle w:val="19"/>
        <w:tabs>
          <w:tab w:val="right" w:leader="dot" w:pos="9582"/>
        </w:tabs>
      </w:pPr>
      <w:r>
        <w:rPr>
          <w:color w:val="auto"/>
          <w:highlight w:val="none"/>
        </w:rPr>
        <w:fldChar w:fldCharType="begin"/>
      </w:r>
      <w:r>
        <w:rPr>
          <w:highlight w:val="none"/>
        </w:rPr>
        <w:instrText xml:space="preserve"> HYPERLINK \l _Toc1791388183 </w:instrText>
      </w:r>
      <w:r>
        <w:rPr>
          <w:highlight w:val="none"/>
        </w:rPr>
        <w:fldChar w:fldCharType="separate"/>
      </w:r>
      <w:r>
        <w:rPr>
          <w:rFonts w:hint="eastAsia" w:ascii="宋体" w:hAnsi="宋体" w:eastAsia="宋体"/>
          <w:szCs w:val="21"/>
          <w:highlight w:val="none"/>
        </w:rPr>
        <w:t>《中华人民共和国噪声污染防治法》案由</w:t>
      </w:r>
      <w:r>
        <w:rPr>
          <w:rFonts w:hint="eastAsia" w:ascii="宋体" w:hAnsi="宋体" w:eastAsia="宋体"/>
          <w:szCs w:val="21"/>
          <w:highlight w:val="none"/>
          <w:lang w:val="en-US" w:eastAsia="zh-CN"/>
        </w:rPr>
        <w:t>6</w:t>
      </w:r>
      <w:r>
        <w:rPr>
          <w:rFonts w:hint="eastAsia" w:ascii="宋体" w:hAnsi="宋体" w:eastAsia="宋体"/>
          <w:szCs w:val="21"/>
          <w:highlight w:val="none"/>
        </w:rPr>
        <w:t>项</w:t>
      </w:r>
      <w:r>
        <w:tab/>
      </w:r>
      <w:r>
        <w:fldChar w:fldCharType="begin"/>
      </w:r>
      <w:r>
        <w:instrText xml:space="preserve"> PAGEREF _Toc1791388183 \h </w:instrText>
      </w:r>
      <w:r>
        <w:fldChar w:fldCharType="separate"/>
      </w:r>
      <w:r>
        <w:t>103</w:t>
      </w:r>
      <w:r>
        <w:fldChar w:fldCharType="end"/>
      </w:r>
      <w:r>
        <w:rPr>
          <w:color w:val="auto"/>
          <w:highlight w:val="none"/>
        </w:rPr>
        <w:fldChar w:fldCharType="end"/>
      </w:r>
    </w:p>
    <w:p w14:paraId="286D0AE5">
      <w:pPr>
        <w:pStyle w:val="17"/>
        <w:tabs>
          <w:tab w:val="right" w:leader="dot" w:pos="9582"/>
        </w:tabs>
      </w:pPr>
      <w:r>
        <w:rPr>
          <w:color w:val="auto"/>
          <w:highlight w:val="none"/>
        </w:rPr>
        <w:fldChar w:fldCharType="begin"/>
      </w:r>
      <w:r>
        <w:rPr>
          <w:highlight w:val="none"/>
        </w:rPr>
        <w:instrText xml:space="preserve"> HYPERLINK \l _Toc640564770 </w:instrText>
      </w:r>
      <w:r>
        <w:rPr>
          <w:highlight w:val="none"/>
        </w:rPr>
        <w:fldChar w:fldCharType="separate"/>
      </w:r>
      <w:r>
        <w:rPr>
          <w:rFonts w:hint="eastAsia" w:ascii="黑体" w:hAnsi="黑体" w:eastAsia="黑体"/>
          <w:szCs w:val="28"/>
          <w:highlight w:val="none"/>
        </w:rPr>
        <w:t>施工现场管理方面</w:t>
      </w:r>
      <w:r>
        <w:tab/>
      </w:r>
      <w:r>
        <w:fldChar w:fldCharType="begin"/>
      </w:r>
      <w:r>
        <w:instrText xml:space="preserve"> PAGEREF _Toc640564770 \h </w:instrText>
      </w:r>
      <w:r>
        <w:fldChar w:fldCharType="separate"/>
      </w:r>
      <w:r>
        <w:t>105</w:t>
      </w:r>
      <w:r>
        <w:fldChar w:fldCharType="end"/>
      </w:r>
      <w:r>
        <w:rPr>
          <w:color w:val="auto"/>
          <w:highlight w:val="none"/>
        </w:rPr>
        <w:fldChar w:fldCharType="end"/>
      </w:r>
    </w:p>
    <w:p w14:paraId="738E562D">
      <w:pPr>
        <w:pStyle w:val="19"/>
        <w:tabs>
          <w:tab w:val="right" w:leader="dot" w:pos="9582"/>
        </w:tabs>
      </w:pPr>
      <w:r>
        <w:rPr>
          <w:color w:val="auto"/>
          <w:highlight w:val="none"/>
        </w:rPr>
        <w:fldChar w:fldCharType="begin"/>
      </w:r>
      <w:r>
        <w:rPr>
          <w:highlight w:val="none"/>
        </w:rPr>
        <w:instrText xml:space="preserve"> HYPERLINK \l _Toc1019648660 </w:instrText>
      </w:r>
      <w:r>
        <w:rPr>
          <w:highlight w:val="none"/>
        </w:rPr>
        <w:fldChar w:fldCharType="separate"/>
      </w:r>
      <w:r>
        <w:rPr>
          <w:rFonts w:hint="eastAsia" w:ascii="宋体" w:hAnsi="宋体" w:eastAsia="宋体"/>
          <w:szCs w:val="21"/>
          <w:highlight w:val="none"/>
        </w:rPr>
        <w:t>《北京市大气污染防治条例》施工现场执法案由16项</w:t>
      </w:r>
      <w:r>
        <w:tab/>
      </w:r>
      <w:r>
        <w:fldChar w:fldCharType="begin"/>
      </w:r>
      <w:r>
        <w:instrText xml:space="preserve"> PAGEREF _Toc1019648660 \h </w:instrText>
      </w:r>
      <w:r>
        <w:fldChar w:fldCharType="separate"/>
      </w:r>
      <w:r>
        <w:t>105</w:t>
      </w:r>
      <w:r>
        <w:fldChar w:fldCharType="end"/>
      </w:r>
      <w:r>
        <w:rPr>
          <w:color w:val="auto"/>
          <w:highlight w:val="none"/>
        </w:rPr>
        <w:fldChar w:fldCharType="end"/>
      </w:r>
    </w:p>
    <w:p w14:paraId="03B04C0E">
      <w:pPr>
        <w:pStyle w:val="19"/>
        <w:tabs>
          <w:tab w:val="right" w:leader="dot" w:pos="9582"/>
        </w:tabs>
      </w:pPr>
      <w:r>
        <w:rPr>
          <w:color w:val="auto"/>
          <w:highlight w:val="none"/>
        </w:rPr>
        <w:fldChar w:fldCharType="begin"/>
      </w:r>
      <w:r>
        <w:rPr>
          <w:highlight w:val="none"/>
        </w:rPr>
        <w:instrText xml:space="preserve"> HYPERLINK \l _Toc3603249 </w:instrText>
      </w:r>
      <w:r>
        <w:rPr>
          <w:highlight w:val="none"/>
        </w:rPr>
        <w:fldChar w:fldCharType="separate"/>
      </w:r>
      <w:r>
        <w:rPr>
          <w:rFonts w:hint="eastAsia" w:ascii="宋体" w:hAnsi="宋体" w:eastAsia="宋体"/>
          <w:szCs w:val="21"/>
          <w:highlight w:val="none"/>
        </w:rPr>
        <w:t>《北京市建设工程施工现场管理办法》案由13项</w:t>
      </w:r>
      <w:r>
        <w:tab/>
      </w:r>
      <w:r>
        <w:fldChar w:fldCharType="begin"/>
      </w:r>
      <w:r>
        <w:instrText xml:space="preserve"> PAGEREF _Toc3603249 \h </w:instrText>
      </w:r>
      <w:r>
        <w:fldChar w:fldCharType="separate"/>
      </w:r>
      <w:r>
        <w:t>108</w:t>
      </w:r>
      <w:r>
        <w:fldChar w:fldCharType="end"/>
      </w:r>
      <w:r>
        <w:rPr>
          <w:color w:val="auto"/>
          <w:highlight w:val="none"/>
        </w:rPr>
        <w:fldChar w:fldCharType="end"/>
      </w:r>
    </w:p>
    <w:p w14:paraId="30C32B32">
      <w:pPr>
        <w:pStyle w:val="17"/>
        <w:tabs>
          <w:tab w:val="right" w:leader="dot" w:pos="9582"/>
        </w:tabs>
      </w:pPr>
      <w:r>
        <w:rPr>
          <w:color w:val="auto"/>
          <w:highlight w:val="none"/>
        </w:rPr>
        <w:fldChar w:fldCharType="begin"/>
      </w:r>
      <w:r>
        <w:rPr>
          <w:highlight w:val="none"/>
        </w:rPr>
        <w:instrText xml:space="preserve"> HYPERLINK \l _Toc1112928068 </w:instrText>
      </w:r>
      <w:r>
        <w:rPr>
          <w:highlight w:val="none"/>
        </w:rPr>
        <w:fldChar w:fldCharType="separate"/>
      </w:r>
      <w:r>
        <w:rPr>
          <w:rFonts w:hint="eastAsia" w:ascii="黑体" w:hAnsi="黑体" w:eastAsia="黑体"/>
          <w:szCs w:val="28"/>
          <w:highlight w:val="none"/>
        </w:rPr>
        <w:t>停车场管理方面</w:t>
      </w:r>
      <w:r>
        <w:tab/>
      </w:r>
      <w:r>
        <w:fldChar w:fldCharType="begin"/>
      </w:r>
      <w:r>
        <w:instrText xml:space="preserve"> PAGEREF _Toc1112928068 \h </w:instrText>
      </w:r>
      <w:r>
        <w:fldChar w:fldCharType="separate"/>
      </w:r>
      <w:r>
        <w:t>111</w:t>
      </w:r>
      <w:r>
        <w:fldChar w:fldCharType="end"/>
      </w:r>
      <w:r>
        <w:rPr>
          <w:color w:val="auto"/>
          <w:highlight w:val="none"/>
        </w:rPr>
        <w:fldChar w:fldCharType="end"/>
      </w:r>
    </w:p>
    <w:p w14:paraId="050D1E02">
      <w:pPr>
        <w:pStyle w:val="19"/>
        <w:tabs>
          <w:tab w:val="right" w:leader="dot" w:pos="9582"/>
        </w:tabs>
      </w:pPr>
      <w:r>
        <w:rPr>
          <w:color w:val="auto"/>
          <w:highlight w:val="none"/>
        </w:rPr>
        <w:fldChar w:fldCharType="begin"/>
      </w:r>
      <w:r>
        <w:rPr>
          <w:highlight w:val="none"/>
        </w:rPr>
        <w:instrText xml:space="preserve"> HYPERLINK \l _Toc460596015 </w:instrText>
      </w:r>
      <w:r>
        <w:rPr>
          <w:highlight w:val="none"/>
        </w:rPr>
        <w:fldChar w:fldCharType="separate"/>
      </w:r>
      <w:r>
        <w:rPr>
          <w:rFonts w:hint="eastAsia" w:ascii="宋体" w:hAnsi="宋体" w:eastAsia="宋体"/>
          <w:szCs w:val="21"/>
          <w:highlight w:val="none"/>
        </w:rPr>
        <w:t>《北京市机动车停车管理办法》案由13项</w:t>
      </w:r>
      <w:r>
        <w:tab/>
      </w:r>
      <w:r>
        <w:fldChar w:fldCharType="begin"/>
      </w:r>
      <w:r>
        <w:instrText xml:space="preserve"> PAGEREF _Toc460596015 \h </w:instrText>
      </w:r>
      <w:r>
        <w:fldChar w:fldCharType="separate"/>
      </w:r>
      <w:r>
        <w:t>111</w:t>
      </w:r>
      <w:r>
        <w:fldChar w:fldCharType="end"/>
      </w:r>
      <w:r>
        <w:rPr>
          <w:color w:val="auto"/>
          <w:highlight w:val="none"/>
        </w:rPr>
        <w:fldChar w:fldCharType="end"/>
      </w:r>
    </w:p>
    <w:p w14:paraId="022E3846">
      <w:pPr>
        <w:pStyle w:val="19"/>
        <w:tabs>
          <w:tab w:val="right" w:leader="dot" w:pos="9582"/>
        </w:tabs>
      </w:pPr>
      <w:r>
        <w:rPr>
          <w:color w:val="auto"/>
          <w:highlight w:val="none"/>
        </w:rPr>
        <w:fldChar w:fldCharType="begin"/>
      </w:r>
      <w:r>
        <w:rPr>
          <w:highlight w:val="none"/>
        </w:rPr>
        <w:instrText xml:space="preserve"> HYPERLINK \l _Toc744429173 </w:instrText>
      </w:r>
      <w:r>
        <w:rPr>
          <w:highlight w:val="none"/>
        </w:rPr>
        <w:fldChar w:fldCharType="separate"/>
      </w:r>
      <w:r>
        <w:rPr>
          <w:rFonts w:hint="eastAsia" w:ascii="宋体" w:hAnsi="宋体" w:eastAsia="宋体"/>
          <w:szCs w:val="21"/>
          <w:highlight w:val="none"/>
        </w:rPr>
        <w:t>《北京市</w:t>
      </w:r>
      <w:r>
        <w:rPr>
          <w:rFonts w:ascii="宋体" w:hAnsi="宋体" w:eastAsia="宋体"/>
          <w:szCs w:val="21"/>
          <w:highlight w:val="none"/>
        </w:rPr>
        <w:t>机动车停车条例</w:t>
      </w:r>
      <w:r>
        <w:rPr>
          <w:rFonts w:hint="eastAsia" w:ascii="宋体" w:hAnsi="宋体" w:eastAsia="宋体"/>
          <w:szCs w:val="21"/>
          <w:highlight w:val="none"/>
        </w:rPr>
        <w:t>》案由6项</w:t>
      </w:r>
      <w:r>
        <w:tab/>
      </w:r>
      <w:r>
        <w:fldChar w:fldCharType="begin"/>
      </w:r>
      <w:r>
        <w:instrText xml:space="preserve"> PAGEREF _Toc744429173 \h </w:instrText>
      </w:r>
      <w:r>
        <w:fldChar w:fldCharType="separate"/>
      </w:r>
      <w:r>
        <w:t>113</w:t>
      </w:r>
      <w:r>
        <w:fldChar w:fldCharType="end"/>
      </w:r>
      <w:r>
        <w:rPr>
          <w:color w:val="auto"/>
          <w:highlight w:val="none"/>
        </w:rPr>
        <w:fldChar w:fldCharType="end"/>
      </w:r>
    </w:p>
    <w:p w14:paraId="3D975D70">
      <w:pPr>
        <w:pStyle w:val="19"/>
        <w:tabs>
          <w:tab w:val="right" w:leader="dot" w:pos="9582"/>
        </w:tabs>
      </w:pPr>
      <w:r>
        <w:rPr>
          <w:color w:val="auto"/>
          <w:highlight w:val="none"/>
        </w:rPr>
        <w:fldChar w:fldCharType="begin"/>
      </w:r>
      <w:r>
        <w:rPr>
          <w:highlight w:val="none"/>
        </w:rPr>
        <w:instrText xml:space="preserve"> HYPERLINK \l _Toc880763206 </w:instrText>
      </w:r>
      <w:r>
        <w:rPr>
          <w:highlight w:val="none"/>
        </w:rPr>
        <w:fldChar w:fldCharType="separate"/>
      </w:r>
      <w:r>
        <w:rPr>
          <w:rFonts w:hint="eastAsia" w:ascii="宋体" w:hAnsi="宋体" w:eastAsia="宋体"/>
          <w:szCs w:val="21"/>
          <w:highlight w:val="none"/>
        </w:rPr>
        <w:t>《北京市非机动车停车管理办法》《北京市</w:t>
      </w:r>
      <w:r>
        <w:rPr>
          <w:rFonts w:ascii="宋体" w:hAnsi="宋体" w:eastAsia="宋体"/>
          <w:szCs w:val="21"/>
          <w:highlight w:val="none"/>
        </w:rPr>
        <w:t>非机动车</w:t>
      </w:r>
      <w:r>
        <w:rPr>
          <w:rFonts w:hint="eastAsia" w:ascii="宋体" w:hAnsi="宋体" w:eastAsia="宋体"/>
          <w:szCs w:val="21"/>
          <w:highlight w:val="none"/>
        </w:rPr>
        <w:t>管理</w:t>
      </w:r>
      <w:r>
        <w:rPr>
          <w:rFonts w:ascii="宋体" w:hAnsi="宋体" w:eastAsia="宋体"/>
          <w:szCs w:val="21"/>
          <w:highlight w:val="none"/>
        </w:rPr>
        <w:t>条例</w:t>
      </w:r>
      <w:r>
        <w:rPr>
          <w:rFonts w:hint="eastAsia" w:ascii="宋体" w:hAnsi="宋体" w:eastAsia="宋体"/>
          <w:szCs w:val="21"/>
          <w:highlight w:val="none"/>
        </w:rPr>
        <w:t>》案由</w:t>
      </w:r>
      <w:r>
        <w:rPr>
          <w:rFonts w:hint="eastAsia" w:ascii="宋体" w:hAnsi="宋体" w:eastAsia="宋体"/>
          <w:szCs w:val="21"/>
          <w:highlight w:val="none"/>
          <w:lang w:val="en-US" w:eastAsia="zh-CN"/>
        </w:rPr>
        <w:t>6</w:t>
      </w:r>
      <w:r>
        <w:rPr>
          <w:rFonts w:hint="eastAsia" w:ascii="宋体" w:hAnsi="宋体" w:eastAsia="宋体"/>
          <w:szCs w:val="21"/>
          <w:highlight w:val="none"/>
        </w:rPr>
        <w:t>项</w:t>
      </w:r>
      <w:r>
        <w:tab/>
      </w:r>
      <w:r>
        <w:fldChar w:fldCharType="begin"/>
      </w:r>
      <w:r>
        <w:instrText xml:space="preserve"> PAGEREF _Toc880763206 \h </w:instrText>
      </w:r>
      <w:r>
        <w:fldChar w:fldCharType="separate"/>
      </w:r>
      <w:r>
        <w:t>114</w:t>
      </w:r>
      <w:r>
        <w:fldChar w:fldCharType="end"/>
      </w:r>
      <w:r>
        <w:rPr>
          <w:color w:val="auto"/>
          <w:highlight w:val="none"/>
        </w:rPr>
        <w:fldChar w:fldCharType="end"/>
      </w:r>
    </w:p>
    <w:p w14:paraId="6CF505F0">
      <w:pPr>
        <w:pStyle w:val="17"/>
        <w:tabs>
          <w:tab w:val="right" w:leader="dot" w:pos="9582"/>
        </w:tabs>
      </w:pPr>
      <w:r>
        <w:rPr>
          <w:color w:val="auto"/>
          <w:highlight w:val="none"/>
        </w:rPr>
        <w:fldChar w:fldCharType="begin"/>
      </w:r>
      <w:r>
        <w:rPr>
          <w:highlight w:val="none"/>
        </w:rPr>
        <w:instrText xml:space="preserve"> HYPERLINK \l _Toc272872790 </w:instrText>
      </w:r>
      <w:r>
        <w:rPr>
          <w:highlight w:val="none"/>
        </w:rPr>
        <w:fldChar w:fldCharType="separate"/>
      </w:r>
      <w:r>
        <w:rPr>
          <w:rFonts w:hint="eastAsia" w:ascii="黑体" w:hAnsi="黑体" w:eastAsia="黑体"/>
          <w:szCs w:val="28"/>
          <w:highlight w:val="none"/>
        </w:rPr>
        <w:t>交通运输管理方面</w:t>
      </w:r>
      <w:r>
        <w:tab/>
      </w:r>
      <w:r>
        <w:fldChar w:fldCharType="begin"/>
      </w:r>
      <w:r>
        <w:instrText xml:space="preserve"> PAGEREF _Toc272872790 \h </w:instrText>
      </w:r>
      <w:r>
        <w:fldChar w:fldCharType="separate"/>
      </w:r>
      <w:r>
        <w:t>117</w:t>
      </w:r>
      <w:r>
        <w:fldChar w:fldCharType="end"/>
      </w:r>
      <w:r>
        <w:rPr>
          <w:color w:val="auto"/>
          <w:highlight w:val="none"/>
        </w:rPr>
        <w:fldChar w:fldCharType="end"/>
      </w:r>
    </w:p>
    <w:p w14:paraId="539501B1">
      <w:pPr>
        <w:pStyle w:val="19"/>
        <w:tabs>
          <w:tab w:val="right" w:leader="dot" w:pos="9582"/>
        </w:tabs>
      </w:pPr>
      <w:r>
        <w:rPr>
          <w:color w:val="auto"/>
          <w:highlight w:val="none"/>
        </w:rPr>
        <w:fldChar w:fldCharType="begin"/>
      </w:r>
      <w:r>
        <w:rPr>
          <w:highlight w:val="none"/>
        </w:rPr>
        <w:instrText xml:space="preserve"> HYPERLINK \l _Toc1003354917 </w:instrText>
      </w:r>
      <w:r>
        <w:rPr>
          <w:highlight w:val="none"/>
        </w:rPr>
        <w:fldChar w:fldCharType="separate"/>
      </w:r>
      <w:r>
        <w:rPr>
          <w:rFonts w:hint="eastAsia" w:ascii="宋体" w:hAnsi="宋体" w:eastAsia="宋体"/>
          <w:bCs/>
          <w:strike w:val="0"/>
          <w:dstrike w:val="0"/>
          <w:szCs w:val="21"/>
          <w:highlight w:val="none"/>
        </w:rPr>
        <w:t>《巡游出租汽车经营服务管理规定》案由1项</w:t>
      </w:r>
      <w:r>
        <w:tab/>
      </w:r>
      <w:r>
        <w:fldChar w:fldCharType="begin"/>
      </w:r>
      <w:r>
        <w:instrText xml:space="preserve"> PAGEREF _Toc1003354917 \h </w:instrText>
      </w:r>
      <w:r>
        <w:fldChar w:fldCharType="separate"/>
      </w:r>
      <w:r>
        <w:t>117</w:t>
      </w:r>
      <w:r>
        <w:fldChar w:fldCharType="end"/>
      </w:r>
      <w:r>
        <w:rPr>
          <w:color w:val="auto"/>
          <w:highlight w:val="none"/>
        </w:rPr>
        <w:fldChar w:fldCharType="end"/>
      </w:r>
    </w:p>
    <w:p w14:paraId="69B20824">
      <w:pPr>
        <w:pStyle w:val="19"/>
        <w:tabs>
          <w:tab w:val="right" w:leader="dot" w:pos="9582"/>
        </w:tabs>
      </w:pPr>
      <w:r>
        <w:rPr>
          <w:color w:val="auto"/>
          <w:highlight w:val="none"/>
        </w:rPr>
        <w:fldChar w:fldCharType="begin"/>
      </w:r>
      <w:r>
        <w:rPr>
          <w:highlight w:val="none"/>
        </w:rPr>
        <w:instrText xml:space="preserve"> HYPERLINK \l _Toc1464911332 </w:instrText>
      </w:r>
      <w:r>
        <w:rPr>
          <w:highlight w:val="none"/>
        </w:rPr>
        <w:fldChar w:fldCharType="separate"/>
      </w:r>
      <w:r>
        <w:rPr>
          <w:rFonts w:hint="eastAsia" w:ascii="宋体" w:hAnsi="宋体" w:eastAsia="宋体"/>
          <w:szCs w:val="21"/>
          <w:highlight w:val="none"/>
        </w:rPr>
        <w:t>《北京市查处非法客运若干规定》案由2项</w:t>
      </w:r>
      <w:r>
        <w:tab/>
      </w:r>
      <w:r>
        <w:fldChar w:fldCharType="begin"/>
      </w:r>
      <w:r>
        <w:instrText xml:space="preserve"> PAGEREF _Toc1464911332 \h </w:instrText>
      </w:r>
      <w:r>
        <w:fldChar w:fldCharType="separate"/>
      </w:r>
      <w:r>
        <w:t>117</w:t>
      </w:r>
      <w:r>
        <w:fldChar w:fldCharType="end"/>
      </w:r>
      <w:r>
        <w:rPr>
          <w:color w:val="auto"/>
          <w:highlight w:val="none"/>
        </w:rPr>
        <w:fldChar w:fldCharType="end"/>
      </w:r>
    </w:p>
    <w:p w14:paraId="36F1420D">
      <w:pPr>
        <w:pStyle w:val="17"/>
        <w:tabs>
          <w:tab w:val="right" w:leader="dot" w:pos="9582"/>
        </w:tabs>
      </w:pPr>
      <w:r>
        <w:rPr>
          <w:color w:val="auto"/>
          <w:highlight w:val="none"/>
        </w:rPr>
        <w:fldChar w:fldCharType="begin"/>
      </w:r>
      <w:r>
        <w:rPr>
          <w:highlight w:val="none"/>
        </w:rPr>
        <w:instrText xml:space="preserve"> HYPERLINK \l _Toc2143954148 </w:instrText>
      </w:r>
      <w:r>
        <w:rPr>
          <w:highlight w:val="none"/>
        </w:rPr>
        <w:fldChar w:fldCharType="separate"/>
      </w:r>
      <w:r>
        <w:rPr>
          <w:rFonts w:hint="eastAsia" w:ascii="黑体" w:hAnsi="黑体" w:eastAsia="黑体"/>
          <w:szCs w:val="28"/>
          <w:highlight w:val="none"/>
        </w:rPr>
        <w:t>市场监督管理（流动无照经营）方面</w:t>
      </w:r>
      <w:r>
        <w:tab/>
      </w:r>
      <w:r>
        <w:fldChar w:fldCharType="begin"/>
      </w:r>
      <w:r>
        <w:instrText xml:space="preserve"> PAGEREF _Toc2143954148 \h </w:instrText>
      </w:r>
      <w:r>
        <w:fldChar w:fldCharType="separate"/>
      </w:r>
      <w:r>
        <w:t>118</w:t>
      </w:r>
      <w:r>
        <w:fldChar w:fldCharType="end"/>
      </w:r>
      <w:r>
        <w:rPr>
          <w:color w:val="auto"/>
          <w:highlight w:val="none"/>
        </w:rPr>
        <w:fldChar w:fldCharType="end"/>
      </w:r>
    </w:p>
    <w:p w14:paraId="659DEE9B">
      <w:pPr>
        <w:pStyle w:val="19"/>
        <w:tabs>
          <w:tab w:val="right" w:leader="dot" w:pos="9582"/>
        </w:tabs>
      </w:pPr>
      <w:r>
        <w:rPr>
          <w:color w:val="auto"/>
          <w:highlight w:val="none"/>
        </w:rPr>
        <w:fldChar w:fldCharType="begin"/>
      </w:r>
      <w:r>
        <w:rPr>
          <w:highlight w:val="none"/>
        </w:rPr>
        <w:instrText xml:space="preserve"> HYPERLINK \l _Toc1606894570 </w:instrText>
      </w:r>
      <w:r>
        <w:rPr>
          <w:highlight w:val="none"/>
        </w:rPr>
        <w:fldChar w:fldCharType="separate"/>
      </w:r>
      <w:r>
        <w:rPr>
          <w:rFonts w:hint="eastAsia" w:ascii="宋体" w:hAnsi="宋体" w:eastAsia="宋体"/>
          <w:szCs w:val="21"/>
          <w:highlight w:val="none"/>
        </w:rPr>
        <w:t>《无证</w:t>
      </w:r>
      <w:r>
        <w:rPr>
          <w:rFonts w:ascii="宋体" w:hAnsi="宋体" w:eastAsia="宋体"/>
          <w:szCs w:val="21"/>
          <w:highlight w:val="none"/>
        </w:rPr>
        <w:t>无照经营查处办法</w:t>
      </w:r>
      <w:r>
        <w:rPr>
          <w:rFonts w:hint="eastAsia" w:ascii="宋体" w:hAnsi="宋体" w:eastAsia="宋体"/>
          <w:szCs w:val="21"/>
          <w:highlight w:val="none"/>
        </w:rPr>
        <w:t>》案由3项</w:t>
      </w:r>
      <w:r>
        <w:tab/>
      </w:r>
      <w:r>
        <w:fldChar w:fldCharType="begin"/>
      </w:r>
      <w:r>
        <w:instrText xml:space="preserve"> PAGEREF _Toc1606894570 \h </w:instrText>
      </w:r>
      <w:r>
        <w:fldChar w:fldCharType="separate"/>
      </w:r>
      <w:r>
        <w:t>118</w:t>
      </w:r>
      <w:r>
        <w:fldChar w:fldCharType="end"/>
      </w:r>
      <w:r>
        <w:rPr>
          <w:color w:val="auto"/>
          <w:highlight w:val="none"/>
        </w:rPr>
        <w:fldChar w:fldCharType="end"/>
      </w:r>
    </w:p>
    <w:p w14:paraId="187D0F16">
      <w:pPr>
        <w:pStyle w:val="17"/>
        <w:tabs>
          <w:tab w:val="right" w:leader="dot" w:pos="9582"/>
        </w:tabs>
      </w:pPr>
      <w:r>
        <w:rPr>
          <w:color w:val="auto"/>
          <w:highlight w:val="none"/>
        </w:rPr>
        <w:fldChar w:fldCharType="begin"/>
      </w:r>
      <w:r>
        <w:rPr>
          <w:highlight w:val="none"/>
        </w:rPr>
        <w:instrText xml:space="preserve"> HYPERLINK \l _Toc1516342011 </w:instrText>
      </w:r>
      <w:r>
        <w:rPr>
          <w:highlight w:val="none"/>
        </w:rPr>
        <w:fldChar w:fldCharType="separate"/>
      </w:r>
      <w:r>
        <w:rPr>
          <w:rFonts w:hint="eastAsia" w:ascii="黑体" w:hAnsi="黑体" w:eastAsia="黑体"/>
          <w:szCs w:val="28"/>
          <w:highlight w:val="none"/>
        </w:rPr>
        <w:t>城</w:t>
      </w:r>
      <w:r>
        <w:rPr>
          <w:rFonts w:hint="eastAsia" w:ascii="黑体" w:hAnsi="黑体" w:eastAsia="黑体"/>
          <w:szCs w:val="28"/>
          <w:highlight w:val="none"/>
          <w:lang w:eastAsia="zh-CN"/>
        </w:rPr>
        <w:t>乡</w:t>
      </w:r>
      <w:r>
        <w:rPr>
          <w:rFonts w:hint="eastAsia" w:ascii="黑体" w:hAnsi="黑体" w:eastAsia="黑体"/>
          <w:szCs w:val="28"/>
          <w:highlight w:val="none"/>
        </w:rPr>
        <w:t>规划管理方面</w:t>
      </w:r>
      <w:r>
        <w:tab/>
      </w:r>
      <w:r>
        <w:fldChar w:fldCharType="begin"/>
      </w:r>
      <w:r>
        <w:instrText xml:space="preserve"> PAGEREF _Toc1516342011 \h </w:instrText>
      </w:r>
      <w:r>
        <w:fldChar w:fldCharType="separate"/>
      </w:r>
      <w:r>
        <w:t>118</w:t>
      </w:r>
      <w:r>
        <w:fldChar w:fldCharType="end"/>
      </w:r>
      <w:r>
        <w:rPr>
          <w:color w:val="auto"/>
          <w:highlight w:val="none"/>
        </w:rPr>
        <w:fldChar w:fldCharType="end"/>
      </w:r>
    </w:p>
    <w:p w14:paraId="3AF967C7">
      <w:pPr>
        <w:pStyle w:val="19"/>
        <w:tabs>
          <w:tab w:val="right" w:leader="dot" w:pos="9582"/>
        </w:tabs>
      </w:pPr>
      <w:r>
        <w:rPr>
          <w:color w:val="auto"/>
          <w:highlight w:val="none"/>
        </w:rPr>
        <w:fldChar w:fldCharType="begin"/>
      </w:r>
      <w:r>
        <w:rPr>
          <w:highlight w:val="none"/>
        </w:rPr>
        <w:instrText xml:space="preserve"> HYPERLINK \l _Toc2059876047 </w:instrText>
      </w:r>
      <w:r>
        <w:rPr>
          <w:highlight w:val="none"/>
        </w:rPr>
        <w:fldChar w:fldCharType="separate"/>
      </w:r>
      <w:r>
        <w:rPr>
          <w:rFonts w:hint="eastAsia" w:ascii="宋体" w:hAnsi="宋体" w:eastAsia="宋体"/>
          <w:szCs w:val="21"/>
          <w:highlight w:val="none"/>
        </w:rPr>
        <w:t>《中华人民共和国城乡规划法》《北京市城乡规划条例》</w:t>
      </w:r>
      <w:r>
        <w:rPr>
          <w:rFonts w:hint="eastAsia" w:ascii="宋体" w:hAnsi="宋体" w:eastAsia="宋体"/>
          <w:szCs w:val="21"/>
          <w:highlight w:val="none"/>
          <w:lang w:val="en-US" w:eastAsia="zh-CN"/>
        </w:rPr>
        <w:t xml:space="preserve"> </w:t>
      </w:r>
      <w:r>
        <w:rPr>
          <w:rFonts w:hint="eastAsia" w:ascii="宋体" w:hAnsi="宋体" w:eastAsia="宋体"/>
          <w:szCs w:val="21"/>
          <w:highlight w:val="none"/>
        </w:rPr>
        <w:t>案由2项</w:t>
      </w:r>
      <w:r>
        <w:tab/>
      </w:r>
      <w:r>
        <w:fldChar w:fldCharType="begin"/>
      </w:r>
      <w:r>
        <w:instrText xml:space="preserve"> PAGEREF _Toc2059876047 \h </w:instrText>
      </w:r>
      <w:r>
        <w:fldChar w:fldCharType="separate"/>
      </w:r>
      <w:r>
        <w:t>118</w:t>
      </w:r>
      <w:r>
        <w:fldChar w:fldCharType="end"/>
      </w:r>
      <w:r>
        <w:rPr>
          <w:color w:val="auto"/>
          <w:highlight w:val="none"/>
        </w:rPr>
        <w:fldChar w:fldCharType="end"/>
      </w:r>
    </w:p>
    <w:p w14:paraId="4EF25600">
      <w:pPr>
        <w:pStyle w:val="17"/>
        <w:tabs>
          <w:tab w:val="right" w:leader="dot" w:pos="9582"/>
        </w:tabs>
      </w:pPr>
      <w:r>
        <w:rPr>
          <w:color w:val="auto"/>
          <w:highlight w:val="none"/>
        </w:rPr>
        <w:fldChar w:fldCharType="begin"/>
      </w:r>
      <w:r>
        <w:rPr>
          <w:highlight w:val="none"/>
        </w:rPr>
        <w:instrText xml:space="preserve"> HYPERLINK \l _Toc1909913449 </w:instrText>
      </w:r>
      <w:r>
        <w:rPr>
          <w:highlight w:val="none"/>
        </w:rPr>
        <w:fldChar w:fldCharType="separate"/>
      </w:r>
      <w:r>
        <w:rPr>
          <w:rFonts w:hint="eastAsia" w:ascii="黑体" w:hAnsi="黑体" w:eastAsia="黑体"/>
          <w:szCs w:val="28"/>
          <w:highlight w:val="none"/>
        </w:rPr>
        <w:t>旅游管理（黑导游）方面</w:t>
      </w:r>
      <w:r>
        <w:tab/>
      </w:r>
      <w:r>
        <w:fldChar w:fldCharType="begin"/>
      </w:r>
      <w:r>
        <w:instrText xml:space="preserve"> PAGEREF _Toc1909913449 \h </w:instrText>
      </w:r>
      <w:r>
        <w:fldChar w:fldCharType="separate"/>
      </w:r>
      <w:r>
        <w:t>119</w:t>
      </w:r>
      <w:r>
        <w:fldChar w:fldCharType="end"/>
      </w:r>
      <w:r>
        <w:rPr>
          <w:color w:val="auto"/>
          <w:highlight w:val="none"/>
        </w:rPr>
        <w:fldChar w:fldCharType="end"/>
      </w:r>
    </w:p>
    <w:p w14:paraId="545665CE">
      <w:pPr>
        <w:pStyle w:val="19"/>
        <w:tabs>
          <w:tab w:val="right" w:leader="dot" w:pos="9582"/>
        </w:tabs>
      </w:pPr>
      <w:r>
        <w:rPr>
          <w:color w:val="auto"/>
          <w:highlight w:val="none"/>
        </w:rPr>
        <w:fldChar w:fldCharType="begin"/>
      </w:r>
      <w:r>
        <w:rPr>
          <w:highlight w:val="none"/>
        </w:rPr>
        <w:instrText xml:space="preserve"> HYPERLINK \l _Toc2115253117 </w:instrText>
      </w:r>
      <w:r>
        <w:rPr>
          <w:highlight w:val="none"/>
        </w:rPr>
        <w:fldChar w:fldCharType="separate"/>
      </w:r>
      <w:r>
        <w:rPr>
          <w:rFonts w:hint="eastAsia" w:ascii="宋体" w:hAnsi="宋体" w:eastAsia="宋体"/>
          <w:szCs w:val="21"/>
          <w:highlight w:val="none"/>
        </w:rPr>
        <w:t>《中华人民共和国旅游法》案由1项</w:t>
      </w:r>
      <w:r>
        <w:tab/>
      </w:r>
      <w:r>
        <w:fldChar w:fldCharType="begin"/>
      </w:r>
      <w:r>
        <w:instrText xml:space="preserve"> PAGEREF _Toc2115253117 \h </w:instrText>
      </w:r>
      <w:r>
        <w:fldChar w:fldCharType="separate"/>
      </w:r>
      <w:r>
        <w:t>119</w:t>
      </w:r>
      <w:r>
        <w:fldChar w:fldCharType="end"/>
      </w:r>
      <w:r>
        <w:rPr>
          <w:color w:val="auto"/>
          <w:highlight w:val="none"/>
        </w:rPr>
        <w:fldChar w:fldCharType="end"/>
      </w:r>
    </w:p>
    <w:p w14:paraId="01BECCAF">
      <w:pPr>
        <w:pStyle w:val="17"/>
        <w:tabs>
          <w:tab w:val="right" w:leader="dot" w:pos="9582"/>
        </w:tabs>
      </w:pPr>
      <w:r>
        <w:rPr>
          <w:color w:val="auto"/>
          <w:highlight w:val="none"/>
        </w:rPr>
        <w:fldChar w:fldCharType="begin"/>
      </w:r>
      <w:r>
        <w:rPr>
          <w:highlight w:val="none"/>
        </w:rPr>
        <w:instrText xml:space="preserve"> HYPERLINK \l _Toc160045957 </w:instrText>
      </w:r>
      <w:r>
        <w:rPr>
          <w:highlight w:val="none"/>
        </w:rPr>
        <w:fldChar w:fldCharType="separate"/>
      </w:r>
      <w:r>
        <w:rPr>
          <w:rFonts w:hint="eastAsia" w:ascii="黑体" w:hAnsi="黑体" w:eastAsia="黑体"/>
          <w:szCs w:val="28"/>
          <w:highlight w:val="none"/>
        </w:rPr>
        <w:t>食品安全管理方面</w:t>
      </w:r>
      <w:r>
        <w:tab/>
      </w:r>
      <w:r>
        <w:fldChar w:fldCharType="begin"/>
      </w:r>
      <w:r>
        <w:instrText xml:space="preserve"> PAGEREF _Toc160045957 \h </w:instrText>
      </w:r>
      <w:r>
        <w:fldChar w:fldCharType="separate"/>
      </w:r>
      <w:r>
        <w:t>120</w:t>
      </w:r>
      <w:r>
        <w:fldChar w:fldCharType="end"/>
      </w:r>
      <w:r>
        <w:rPr>
          <w:color w:val="auto"/>
          <w:highlight w:val="none"/>
        </w:rPr>
        <w:fldChar w:fldCharType="end"/>
      </w:r>
    </w:p>
    <w:p w14:paraId="67B81CF6">
      <w:pPr>
        <w:pStyle w:val="19"/>
        <w:tabs>
          <w:tab w:val="right" w:leader="dot" w:pos="9582"/>
        </w:tabs>
      </w:pPr>
      <w:r>
        <w:rPr>
          <w:color w:val="auto"/>
          <w:highlight w:val="none"/>
        </w:rPr>
        <w:fldChar w:fldCharType="begin"/>
      </w:r>
      <w:r>
        <w:rPr>
          <w:highlight w:val="none"/>
        </w:rPr>
        <w:instrText xml:space="preserve"> HYPERLINK \l _Toc508127422 </w:instrText>
      </w:r>
      <w:r>
        <w:rPr>
          <w:highlight w:val="none"/>
        </w:rPr>
        <w:fldChar w:fldCharType="separate"/>
      </w:r>
      <w:r>
        <w:rPr>
          <w:rFonts w:hint="eastAsia" w:ascii="宋体" w:hAnsi="宋体" w:eastAsia="宋体"/>
          <w:szCs w:val="21"/>
          <w:highlight w:val="none"/>
        </w:rPr>
        <w:t>《北京市小规模食品生产经营管理规定》案由23项</w:t>
      </w:r>
      <w:r>
        <w:tab/>
      </w:r>
      <w:r>
        <w:fldChar w:fldCharType="begin"/>
      </w:r>
      <w:r>
        <w:instrText xml:space="preserve"> PAGEREF _Toc508127422 \h </w:instrText>
      </w:r>
      <w:r>
        <w:fldChar w:fldCharType="separate"/>
      </w:r>
      <w:r>
        <w:t>120</w:t>
      </w:r>
      <w:r>
        <w:fldChar w:fldCharType="end"/>
      </w:r>
      <w:r>
        <w:rPr>
          <w:color w:val="auto"/>
          <w:highlight w:val="none"/>
        </w:rPr>
        <w:fldChar w:fldCharType="end"/>
      </w:r>
    </w:p>
    <w:p w14:paraId="7DD47BC9">
      <w:pPr>
        <w:pStyle w:val="17"/>
        <w:tabs>
          <w:tab w:val="right" w:leader="dot" w:pos="9582"/>
        </w:tabs>
      </w:pPr>
      <w:r>
        <w:rPr>
          <w:color w:val="auto"/>
          <w:highlight w:val="none"/>
        </w:rPr>
        <w:fldChar w:fldCharType="begin"/>
      </w:r>
      <w:r>
        <w:rPr>
          <w:highlight w:val="none"/>
        </w:rPr>
        <w:instrText xml:space="preserve"> HYPERLINK \l _Toc1426247582 </w:instrText>
      </w:r>
      <w:r>
        <w:rPr>
          <w:highlight w:val="none"/>
        </w:rPr>
        <w:fldChar w:fldCharType="separate"/>
      </w:r>
      <w:r>
        <w:rPr>
          <w:rFonts w:hint="eastAsia" w:ascii="黑体" w:hAnsi="黑体" w:eastAsia="黑体"/>
          <w:szCs w:val="28"/>
          <w:highlight w:val="none"/>
        </w:rPr>
        <w:t>能源运行管理方面</w:t>
      </w:r>
      <w:r>
        <w:tab/>
      </w:r>
      <w:r>
        <w:fldChar w:fldCharType="begin"/>
      </w:r>
      <w:r>
        <w:instrText xml:space="preserve"> PAGEREF _Toc1426247582 \h </w:instrText>
      </w:r>
      <w:r>
        <w:fldChar w:fldCharType="separate"/>
      </w:r>
      <w:r>
        <w:t>124</w:t>
      </w:r>
      <w:r>
        <w:fldChar w:fldCharType="end"/>
      </w:r>
      <w:r>
        <w:rPr>
          <w:color w:val="auto"/>
          <w:highlight w:val="none"/>
        </w:rPr>
        <w:fldChar w:fldCharType="end"/>
      </w:r>
    </w:p>
    <w:p w14:paraId="55C05766">
      <w:pPr>
        <w:pStyle w:val="19"/>
        <w:tabs>
          <w:tab w:val="right" w:leader="dot" w:pos="9582"/>
        </w:tabs>
      </w:pPr>
      <w:r>
        <w:rPr>
          <w:color w:val="auto"/>
          <w:highlight w:val="none"/>
        </w:rPr>
        <w:fldChar w:fldCharType="begin"/>
      </w:r>
      <w:r>
        <w:rPr>
          <w:highlight w:val="none"/>
        </w:rPr>
        <w:instrText xml:space="preserve"> HYPERLINK \l _Toc517315949 </w:instrText>
      </w:r>
      <w:r>
        <w:rPr>
          <w:highlight w:val="none"/>
        </w:rPr>
        <w:fldChar w:fldCharType="separate"/>
      </w:r>
      <w:r>
        <w:rPr>
          <w:rFonts w:hint="eastAsia" w:ascii="宋体" w:hAnsi="宋体" w:eastAsia="宋体"/>
          <w:szCs w:val="21"/>
          <w:highlight w:val="none"/>
        </w:rPr>
        <w:t>《中华人民共和国煤炭法》案由</w:t>
      </w:r>
      <w:r>
        <w:rPr>
          <w:rFonts w:ascii="宋体" w:hAnsi="宋体" w:eastAsia="宋体"/>
          <w:szCs w:val="21"/>
          <w:highlight w:val="none"/>
        </w:rPr>
        <w:t>3</w:t>
      </w:r>
      <w:r>
        <w:rPr>
          <w:rFonts w:hint="eastAsia" w:ascii="宋体" w:hAnsi="宋体" w:eastAsia="宋体"/>
          <w:szCs w:val="21"/>
          <w:highlight w:val="none"/>
        </w:rPr>
        <w:t>项</w:t>
      </w:r>
      <w:r>
        <w:tab/>
      </w:r>
      <w:r>
        <w:fldChar w:fldCharType="begin"/>
      </w:r>
      <w:r>
        <w:instrText xml:space="preserve"> PAGEREF _Toc517315949 \h </w:instrText>
      </w:r>
      <w:r>
        <w:fldChar w:fldCharType="separate"/>
      </w:r>
      <w:r>
        <w:t>124</w:t>
      </w:r>
      <w:r>
        <w:fldChar w:fldCharType="end"/>
      </w:r>
      <w:r>
        <w:rPr>
          <w:color w:val="auto"/>
          <w:highlight w:val="none"/>
        </w:rPr>
        <w:fldChar w:fldCharType="end"/>
      </w:r>
    </w:p>
    <w:p w14:paraId="5D7C4197">
      <w:pPr>
        <w:pStyle w:val="19"/>
        <w:tabs>
          <w:tab w:val="right" w:leader="dot" w:pos="9582"/>
        </w:tabs>
      </w:pPr>
      <w:r>
        <w:rPr>
          <w:color w:val="auto"/>
          <w:highlight w:val="none"/>
        </w:rPr>
        <w:fldChar w:fldCharType="begin"/>
      </w:r>
      <w:r>
        <w:rPr>
          <w:highlight w:val="none"/>
        </w:rPr>
        <w:instrText xml:space="preserve"> HYPERLINK \l _Toc419487371 </w:instrText>
      </w:r>
      <w:r>
        <w:rPr>
          <w:highlight w:val="none"/>
        </w:rPr>
        <w:fldChar w:fldCharType="separate"/>
      </w:r>
      <w:r>
        <w:rPr>
          <w:rFonts w:hint="eastAsia" w:ascii="宋体" w:hAnsi="宋体" w:eastAsia="宋体"/>
          <w:szCs w:val="21"/>
          <w:highlight w:val="none"/>
        </w:rPr>
        <w:t>《中华人民共和国可再生能源法》案由2项</w:t>
      </w:r>
      <w:r>
        <w:tab/>
      </w:r>
      <w:r>
        <w:fldChar w:fldCharType="begin"/>
      </w:r>
      <w:r>
        <w:instrText xml:space="preserve"> PAGEREF _Toc419487371 \h </w:instrText>
      </w:r>
      <w:r>
        <w:fldChar w:fldCharType="separate"/>
      </w:r>
      <w:r>
        <w:t>125</w:t>
      </w:r>
      <w:r>
        <w:fldChar w:fldCharType="end"/>
      </w:r>
      <w:r>
        <w:rPr>
          <w:color w:val="auto"/>
          <w:highlight w:val="none"/>
        </w:rPr>
        <w:fldChar w:fldCharType="end"/>
      </w:r>
    </w:p>
    <w:p w14:paraId="3442E7D7">
      <w:pPr>
        <w:pStyle w:val="19"/>
        <w:tabs>
          <w:tab w:val="right" w:leader="dot" w:pos="9582"/>
        </w:tabs>
      </w:pPr>
      <w:r>
        <w:rPr>
          <w:color w:val="auto"/>
          <w:highlight w:val="none"/>
        </w:rPr>
        <w:fldChar w:fldCharType="begin"/>
      </w:r>
      <w:r>
        <w:rPr>
          <w:highlight w:val="none"/>
        </w:rPr>
        <w:instrText xml:space="preserve"> HYPERLINK \l _Toc1494637303 </w:instrText>
      </w:r>
      <w:r>
        <w:rPr>
          <w:highlight w:val="none"/>
        </w:rPr>
        <w:fldChar w:fldCharType="separate"/>
      </w:r>
      <w:r>
        <w:rPr>
          <w:rFonts w:hint="eastAsia" w:ascii="宋体" w:hAnsi="宋体" w:eastAsia="宋体"/>
          <w:szCs w:val="21"/>
          <w:highlight w:val="none"/>
        </w:rPr>
        <w:t>《中华人民共和国电力法》《电力供应与使用条例》案由</w:t>
      </w:r>
      <w:r>
        <w:rPr>
          <w:rFonts w:ascii="宋体" w:hAnsi="宋体" w:eastAsia="宋体"/>
          <w:szCs w:val="21"/>
          <w:highlight w:val="none"/>
        </w:rPr>
        <w:t>6</w:t>
      </w:r>
      <w:r>
        <w:rPr>
          <w:rFonts w:hint="eastAsia" w:ascii="宋体" w:hAnsi="宋体" w:eastAsia="宋体"/>
          <w:szCs w:val="21"/>
          <w:highlight w:val="none"/>
        </w:rPr>
        <w:t>项</w:t>
      </w:r>
      <w:r>
        <w:tab/>
      </w:r>
      <w:r>
        <w:fldChar w:fldCharType="begin"/>
      </w:r>
      <w:r>
        <w:instrText xml:space="preserve"> PAGEREF _Toc1494637303 \h </w:instrText>
      </w:r>
      <w:r>
        <w:fldChar w:fldCharType="separate"/>
      </w:r>
      <w:r>
        <w:t>125</w:t>
      </w:r>
      <w:r>
        <w:fldChar w:fldCharType="end"/>
      </w:r>
      <w:r>
        <w:rPr>
          <w:color w:val="auto"/>
          <w:highlight w:val="none"/>
        </w:rPr>
        <w:fldChar w:fldCharType="end"/>
      </w:r>
    </w:p>
    <w:p w14:paraId="0B38D658">
      <w:pPr>
        <w:pStyle w:val="19"/>
        <w:tabs>
          <w:tab w:val="right" w:leader="dot" w:pos="9582"/>
        </w:tabs>
      </w:pPr>
      <w:r>
        <w:rPr>
          <w:color w:val="auto"/>
          <w:highlight w:val="none"/>
        </w:rPr>
        <w:fldChar w:fldCharType="begin"/>
      </w:r>
      <w:r>
        <w:rPr>
          <w:highlight w:val="none"/>
        </w:rPr>
        <w:instrText xml:space="preserve"> HYPERLINK \l _Toc1560873795 </w:instrText>
      </w:r>
      <w:r>
        <w:rPr>
          <w:highlight w:val="none"/>
        </w:rPr>
        <w:fldChar w:fldCharType="separate"/>
      </w:r>
      <w:r>
        <w:rPr>
          <w:rFonts w:hint="eastAsia" w:ascii="宋体" w:hAnsi="宋体" w:eastAsia="宋体"/>
          <w:szCs w:val="21"/>
          <w:highlight w:val="none"/>
        </w:rPr>
        <w:t>《电力设施保护条例》《电力设施保护条例实施细则》案由5项</w:t>
      </w:r>
      <w:r>
        <w:tab/>
      </w:r>
      <w:r>
        <w:fldChar w:fldCharType="begin"/>
      </w:r>
      <w:r>
        <w:instrText xml:space="preserve"> PAGEREF _Toc1560873795 \h </w:instrText>
      </w:r>
      <w:r>
        <w:fldChar w:fldCharType="separate"/>
      </w:r>
      <w:r>
        <w:t>127</w:t>
      </w:r>
      <w:r>
        <w:fldChar w:fldCharType="end"/>
      </w:r>
      <w:r>
        <w:rPr>
          <w:color w:val="auto"/>
          <w:highlight w:val="none"/>
        </w:rPr>
        <w:fldChar w:fldCharType="end"/>
      </w:r>
    </w:p>
    <w:p w14:paraId="16E698AF">
      <w:pPr>
        <w:pStyle w:val="19"/>
        <w:tabs>
          <w:tab w:val="right" w:leader="dot" w:pos="9582"/>
        </w:tabs>
      </w:pPr>
      <w:r>
        <w:rPr>
          <w:color w:val="auto"/>
          <w:highlight w:val="none"/>
        </w:rPr>
        <w:fldChar w:fldCharType="begin"/>
      </w:r>
      <w:r>
        <w:rPr>
          <w:highlight w:val="none"/>
        </w:rPr>
        <w:instrText xml:space="preserve"> HYPERLINK \l _Toc2096517592 </w:instrText>
      </w:r>
      <w:r>
        <w:rPr>
          <w:highlight w:val="none"/>
        </w:rPr>
        <w:fldChar w:fldCharType="separate"/>
      </w:r>
      <w:r>
        <w:rPr>
          <w:rFonts w:hint="eastAsia"/>
          <w:szCs w:val="21"/>
          <w:highlight w:val="none"/>
          <w:lang w:val="en-US" w:eastAsia="zh-CN"/>
        </w:rPr>
        <w:t>《北京市优化营商环境条例》案由1项</w:t>
      </w:r>
      <w:r>
        <w:tab/>
      </w:r>
      <w:r>
        <w:fldChar w:fldCharType="begin"/>
      </w:r>
      <w:r>
        <w:instrText xml:space="preserve"> PAGEREF _Toc2096517592 \h </w:instrText>
      </w:r>
      <w:r>
        <w:fldChar w:fldCharType="separate"/>
      </w:r>
      <w:r>
        <w:t>127</w:t>
      </w:r>
      <w:r>
        <w:fldChar w:fldCharType="end"/>
      </w:r>
      <w:r>
        <w:rPr>
          <w:color w:val="auto"/>
          <w:highlight w:val="none"/>
        </w:rPr>
        <w:fldChar w:fldCharType="end"/>
      </w:r>
    </w:p>
    <w:p w14:paraId="673C20E2">
      <w:pPr>
        <w:pStyle w:val="19"/>
        <w:tabs>
          <w:tab w:val="right" w:leader="dot" w:pos="9582"/>
        </w:tabs>
      </w:pPr>
      <w:r>
        <w:rPr>
          <w:color w:val="auto"/>
          <w:highlight w:val="none"/>
        </w:rPr>
        <w:fldChar w:fldCharType="begin"/>
      </w:r>
      <w:r>
        <w:rPr>
          <w:highlight w:val="none"/>
        </w:rPr>
        <w:instrText xml:space="preserve"> HYPERLINK \l _Toc1769615131 </w:instrText>
      </w:r>
      <w:r>
        <w:rPr>
          <w:highlight w:val="none"/>
        </w:rPr>
        <w:fldChar w:fldCharType="separate"/>
      </w:r>
      <w:r>
        <w:rPr>
          <w:rFonts w:hint="eastAsia" w:ascii="宋体" w:hAnsi="宋体" w:eastAsia="宋体" w:cs="宋体"/>
          <w:szCs w:val="21"/>
          <w:highlight w:val="none"/>
          <w:lang w:val="en-US" w:eastAsia="zh-CN"/>
        </w:rPr>
        <w:t xml:space="preserve">《中华人民共和国石油天然气管道保护法》案由22项  </w:t>
      </w:r>
      <w:r>
        <w:tab/>
      </w:r>
      <w:r>
        <w:fldChar w:fldCharType="begin"/>
      </w:r>
      <w:r>
        <w:instrText xml:space="preserve"> PAGEREF _Toc1769615131 \h </w:instrText>
      </w:r>
      <w:r>
        <w:fldChar w:fldCharType="separate"/>
      </w:r>
      <w:r>
        <w:t>128</w:t>
      </w:r>
      <w:r>
        <w:fldChar w:fldCharType="end"/>
      </w:r>
      <w:r>
        <w:rPr>
          <w:color w:val="auto"/>
          <w:highlight w:val="none"/>
        </w:rPr>
        <w:fldChar w:fldCharType="end"/>
      </w:r>
    </w:p>
    <w:p w14:paraId="5C3873B1">
      <w:pPr>
        <w:pStyle w:val="17"/>
        <w:tabs>
          <w:tab w:val="right" w:leader="dot" w:pos="9582"/>
        </w:tabs>
      </w:pPr>
      <w:r>
        <w:rPr>
          <w:color w:val="auto"/>
          <w:highlight w:val="none"/>
        </w:rPr>
        <w:fldChar w:fldCharType="begin"/>
      </w:r>
      <w:r>
        <w:rPr>
          <w:highlight w:val="none"/>
        </w:rPr>
        <w:instrText xml:space="preserve"> HYPERLINK \l _Toc357578141 </w:instrText>
      </w:r>
      <w:r>
        <w:rPr>
          <w:highlight w:val="none"/>
        </w:rPr>
        <w:fldChar w:fldCharType="separate"/>
      </w:r>
      <w:r>
        <w:rPr>
          <w:rFonts w:hint="eastAsia" w:ascii="黑体" w:hAnsi="黑体" w:eastAsia="黑体"/>
          <w:szCs w:val="28"/>
          <w:highlight w:val="none"/>
        </w:rPr>
        <w:t>国际交往语言环境建设方面</w:t>
      </w:r>
      <w:r>
        <w:tab/>
      </w:r>
      <w:r>
        <w:fldChar w:fldCharType="begin"/>
      </w:r>
      <w:r>
        <w:instrText xml:space="preserve"> PAGEREF _Toc357578141 \h </w:instrText>
      </w:r>
      <w:r>
        <w:fldChar w:fldCharType="separate"/>
      </w:r>
      <w:r>
        <w:t>132</w:t>
      </w:r>
      <w:r>
        <w:fldChar w:fldCharType="end"/>
      </w:r>
      <w:r>
        <w:rPr>
          <w:color w:val="auto"/>
          <w:highlight w:val="none"/>
        </w:rPr>
        <w:fldChar w:fldCharType="end"/>
      </w:r>
    </w:p>
    <w:p w14:paraId="0619E8A6">
      <w:pPr>
        <w:pStyle w:val="19"/>
        <w:tabs>
          <w:tab w:val="right" w:leader="dot" w:pos="9582"/>
        </w:tabs>
      </w:pPr>
      <w:r>
        <w:rPr>
          <w:color w:val="auto"/>
          <w:highlight w:val="none"/>
        </w:rPr>
        <w:fldChar w:fldCharType="begin"/>
      </w:r>
      <w:r>
        <w:rPr>
          <w:highlight w:val="none"/>
        </w:rPr>
        <w:instrText xml:space="preserve"> HYPERLINK \l _Toc236707198 </w:instrText>
      </w:r>
      <w:r>
        <w:rPr>
          <w:highlight w:val="none"/>
        </w:rPr>
        <w:fldChar w:fldCharType="separate"/>
      </w:r>
      <w:r>
        <w:rPr>
          <w:rFonts w:hint="eastAsia"/>
          <w:szCs w:val="21"/>
          <w:highlight w:val="none"/>
        </w:rPr>
        <w:t>《</w:t>
      </w:r>
      <w:r>
        <w:rPr>
          <w:rFonts w:hint="eastAsia"/>
          <w:szCs w:val="21"/>
          <w:highlight w:val="none"/>
          <w:lang w:val="zh-CN"/>
        </w:rPr>
        <w:t>北京市国际交往语言环境建设条例</w:t>
      </w:r>
      <w:r>
        <w:rPr>
          <w:rFonts w:hint="eastAsia"/>
          <w:szCs w:val="21"/>
          <w:highlight w:val="none"/>
        </w:rPr>
        <w:t>》案由</w:t>
      </w:r>
      <w:r>
        <w:rPr>
          <w:rFonts w:hint="eastAsia"/>
          <w:bCs w:val="0"/>
          <w:szCs w:val="21"/>
          <w:highlight w:val="none"/>
        </w:rPr>
        <w:t>4</w:t>
      </w:r>
      <w:r>
        <w:rPr>
          <w:rFonts w:hint="eastAsia"/>
          <w:szCs w:val="21"/>
          <w:highlight w:val="none"/>
        </w:rPr>
        <w:t>项</w:t>
      </w:r>
      <w:r>
        <w:tab/>
      </w:r>
      <w:r>
        <w:fldChar w:fldCharType="begin"/>
      </w:r>
      <w:r>
        <w:instrText xml:space="preserve"> PAGEREF _Toc236707198 \h </w:instrText>
      </w:r>
      <w:r>
        <w:fldChar w:fldCharType="separate"/>
      </w:r>
      <w:r>
        <w:t>132</w:t>
      </w:r>
      <w:r>
        <w:fldChar w:fldCharType="end"/>
      </w:r>
      <w:r>
        <w:rPr>
          <w:color w:val="auto"/>
          <w:highlight w:val="none"/>
        </w:rPr>
        <w:fldChar w:fldCharType="end"/>
      </w:r>
    </w:p>
    <w:p w14:paraId="121B90E9">
      <w:pPr>
        <w:pStyle w:val="17"/>
        <w:tabs>
          <w:tab w:val="right" w:leader="dot" w:pos="9582"/>
        </w:tabs>
      </w:pPr>
      <w:r>
        <w:rPr>
          <w:color w:val="auto"/>
          <w:highlight w:val="none"/>
        </w:rPr>
        <w:fldChar w:fldCharType="begin"/>
      </w:r>
      <w:r>
        <w:rPr>
          <w:highlight w:val="none"/>
        </w:rPr>
        <w:instrText xml:space="preserve"> HYPERLINK \l _Toc474814892 </w:instrText>
      </w:r>
      <w:r>
        <w:rPr>
          <w:highlight w:val="none"/>
        </w:rPr>
        <w:fldChar w:fldCharType="separate"/>
      </w:r>
      <w:r>
        <w:rPr>
          <w:rFonts w:hint="eastAsia" w:ascii="黑体" w:hAnsi="黑体" w:eastAsia="黑体"/>
          <w:szCs w:val="28"/>
          <w:highlight w:val="none"/>
          <w:lang w:val="en-US" w:eastAsia="zh-CN"/>
        </w:rPr>
        <w:t>安全生产管理方面</w:t>
      </w:r>
      <w:r>
        <w:tab/>
      </w:r>
      <w:r>
        <w:fldChar w:fldCharType="begin"/>
      </w:r>
      <w:r>
        <w:instrText xml:space="preserve"> PAGEREF _Toc474814892 \h </w:instrText>
      </w:r>
      <w:r>
        <w:fldChar w:fldCharType="separate"/>
      </w:r>
      <w:r>
        <w:t>133</w:t>
      </w:r>
      <w:r>
        <w:fldChar w:fldCharType="end"/>
      </w:r>
      <w:r>
        <w:rPr>
          <w:color w:val="auto"/>
          <w:highlight w:val="none"/>
        </w:rPr>
        <w:fldChar w:fldCharType="end"/>
      </w:r>
    </w:p>
    <w:p w14:paraId="08ADB33A">
      <w:pPr>
        <w:pStyle w:val="19"/>
        <w:tabs>
          <w:tab w:val="right" w:leader="dot" w:pos="9582"/>
        </w:tabs>
      </w:pPr>
      <w:r>
        <w:rPr>
          <w:color w:val="auto"/>
          <w:highlight w:val="none"/>
        </w:rPr>
        <w:fldChar w:fldCharType="begin"/>
      </w:r>
      <w:r>
        <w:rPr>
          <w:highlight w:val="none"/>
        </w:rPr>
        <w:instrText xml:space="preserve"> HYPERLINK \l _Toc643225722 </w:instrText>
      </w:r>
      <w:r>
        <w:rPr>
          <w:highlight w:val="none"/>
        </w:rPr>
        <w:fldChar w:fldCharType="separate"/>
      </w:r>
      <w:r>
        <w:rPr>
          <w:rFonts w:hint="eastAsia" w:ascii="宋体" w:hAnsi="宋体" w:eastAsia="宋体" w:cs="宋体"/>
          <w:szCs w:val="21"/>
          <w:highlight w:val="none"/>
          <w:lang w:eastAsia="zh-Hans"/>
        </w:rPr>
        <w:t>《中华人民共和国安全生产法》</w:t>
      </w:r>
      <w:r>
        <w:rPr>
          <w:rFonts w:hint="eastAsia" w:ascii="宋体" w:hAnsi="宋体" w:eastAsia="宋体" w:cs="宋体"/>
          <w:szCs w:val="21"/>
          <w:highlight w:val="none"/>
        </w:rPr>
        <w:t>《北京市安全生产条例》</w:t>
      </w:r>
      <w:r>
        <w:rPr>
          <w:rFonts w:hint="eastAsia" w:ascii="宋体" w:hAnsi="宋体" w:eastAsia="宋体" w:cs="宋体"/>
          <w:szCs w:val="21"/>
          <w:highlight w:val="none"/>
          <w:lang w:eastAsia="zh-Hans"/>
        </w:rPr>
        <w:t>案由</w:t>
      </w:r>
      <w:r>
        <w:rPr>
          <w:rFonts w:hint="eastAsia" w:ascii="宋体" w:hAnsi="宋体" w:eastAsia="宋体" w:cs="宋体"/>
          <w:bCs w:val="0"/>
          <w:szCs w:val="21"/>
          <w:highlight w:val="none"/>
          <w:lang w:val="en-US" w:eastAsia="zh-CN"/>
        </w:rPr>
        <w:t>4</w:t>
      </w:r>
      <w:r>
        <w:rPr>
          <w:rFonts w:hint="default" w:ascii="宋体" w:hAnsi="宋体" w:eastAsia="宋体" w:cs="宋体"/>
          <w:bCs w:val="0"/>
          <w:szCs w:val="21"/>
          <w:highlight w:val="none"/>
          <w:lang w:val="en-US" w:eastAsia="zh-CN"/>
        </w:rPr>
        <w:t>3</w:t>
      </w:r>
      <w:r>
        <w:rPr>
          <w:rFonts w:hint="eastAsia" w:ascii="宋体" w:hAnsi="宋体" w:eastAsia="宋体" w:cs="宋体"/>
          <w:szCs w:val="21"/>
          <w:highlight w:val="none"/>
          <w:lang w:eastAsia="zh-Hans"/>
        </w:rPr>
        <w:t>项</w:t>
      </w:r>
      <w:r>
        <w:tab/>
      </w:r>
      <w:r>
        <w:fldChar w:fldCharType="begin"/>
      </w:r>
      <w:r>
        <w:instrText xml:space="preserve"> PAGEREF _Toc643225722 \h </w:instrText>
      </w:r>
      <w:r>
        <w:fldChar w:fldCharType="separate"/>
      </w:r>
      <w:r>
        <w:t>133</w:t>
      </w:r>
      <w:r>
        <w:fldChar w:fldCharType="end"/>
      </w:r>
      <w:r>
        <w:rPr>
          <w:color w:val="auto"/>
          <w:highlight w:val="none"/>
        </w:rPr>
        <w:fldChar w:fldCharType="end"/>
      </w:r>
    </w:p>
    <w:p w14:paraId="3AA02E70">
      <w:pPr>
        <w:pStyle w:val="19"/>
        <w:tabs>
          <w:tab w:val="right" w:leader="dot" w:pos="9582"/>
        </w:tabs>
      </w:pPr>
      <w:r>
        <w:rPr>
          <w:color w:val="auto"/>
          <w:highlight w:val="none"/>
        </w:rPr>
        <w:fldChar w:fldCharType="begin"/>
      </w:r>
      <w:r>
        <w:rPr>
          <w:highlight w:val="none"/>
        </w:rPr>
        <w:instrText xml:space="preserve"> HYPERLINK \l _Toc1191107405 </w:instrText>
      </w:r>
      <w:r>
        <w:rPr>
          <w:highlight w:val="none"/>
        </w:rPr>
        <w:fldChar w:fldCharType="separate"/>
      </w:r>
      <w:r>
        <w:rPr>
          <w:rFonts w:hint="eastAsia" w:ascii="宋体" w:hAnsi="宋体" w:eastAsia="宋体" w:cs="宋体"/>
          <w:szCs w:val="21"/>
          <w:highlight w:val="none"/>
        </w:rPr>
        <w:t>《北京市生产安全事故隐患排查治理办法》</w:t>
      </w:r>
      <w:r>
        <w:rPr>
          <w:rFonts w:hint="eastAsia" w:ascii="宋体" w:hAnsi="宋体" w:eastAsia="宋体" w:cs="宋体"/>
          <w:szCs w:val="21"/>
          <w:highlight w:val="none"/>
          <w:lang w:eastAsia="zh-Hans"/>
        </w:rPr>
        <w:t>案由</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eastAsia="zh-Hans"/>
        </w:rPr>
        <w:t>项</w:t>
      </w:r>
      <w:r>
        <w:tab/>
      </w:r>
      <w:r>
        <w:fldChar w:fldCharType="begin"/>
      </w:r>
      <w:r>
        <w:instrText xml:space="preserve"> PAGEREF _Toc1191107405 \h </w:instrText>
      </w:r>
      <w:r>
        <w:fldChar w:fldCharType="separate"/>
      </w:r>
      <w:r>
        <w:t>146</w:t>
      </w:r>
      <w:r>
        <w:fldChar w:fldCharType="end"/>
      </w:r>
      <w:r>
        <w:rPr>
          <w:color w:val="auto"/>
          <w:highlight w:val="none"/>
        </w:rPr>
        <w:fldChar w:fldCharType="end"/>
      </w:r>
    </w:p>
    <w:p w14:paraId="5ACFEE32">
      <w:pPr>
        <w:pStyle w:val="19"/>
        <w:tabs>
          <w:tab w:val="right" w:leader="dot" w:pos="9582"/>
        </w:tabs>
      </w:pPr>
      <w:r>
        <w:rPr>
          <w:color w:val="auto"/>
          <w:highlight w:val="none"/>
        </w:rPr>
        <w:fldChar w:fldCharType="begin"/>
      </w:r>
      <w:r>
        <w:rPr>
          <w:highlight w:val="none"/>
        </w:rPr>
        <w:instrText xml:space="preserve"> HYPERLINK \l _Toc118719427 </w:instrText>
      </w:r>
      <w:r>
        <w:rPr>
          <w:highlight w:val="none"/>
        </w:rPr>
        <w:fldChar w:fldCharType="separate"/>
      </w:r>
      <w:r>
        <w:rPr>
          <w:rFonts w:hint="eastAsia" w:ascii="宋体" w:hAnsi="宋体" w:eastAsia="宋体" w:cs="宋体"/>
          <w:szCs w:val="21"/>
          <w:highlight w:val="none"/>
          <w:lang w:val="en-US" w:eastAsia="zh-CN"/>
        </w:rPr>
        <w:t>《北京市生产经营单位安全生产主体责任规定》案由2项</w:t>
      </w:r>
      <w:r>
        <w:tab/>
      </w:r>
      <w:r>
        <w:fldChar w:fldCharType="begin"/>
      </w:r>
      <w:r>
        <w:instrText xml:space="preserve"> PAGEREF _Toc118719427 \h </w:instrText>
      </w:r>
      <w:r>
        <w:fldChar w:fldCharType="separate"/>
      </w:r>
      <w:r>
        <w:t>147</w:t>
      </w:r>
      <w:r>
        <w:fldChar w:fldCharType="end"/>
      </w:r>
      <w:r>
        <w:rPr>
          <w:color w:val="auto"/>
          <w:highlight w:val="none"/>
        </w:rPr>
        <w:fldChar w:fldCharType="end"/>
      </w:r>
    </w:p>
    <w:p w14:paraId="59AD8627">
      <w:pPr>
        <w:pStyle w:val="17"/>
        <w:tabs>
          <w:tab w:val="right" w:leader="dot" w:pos="9582"/>
        </w:tabs>
      </w:pPr>
      <w:r>
        <w:rPr>
          <w:color w:val="auto"/>
          <w:highlight w:val="none"/>
        </w:rPr>
        <w:fldChar w:fldCharType="begin"/>
      </w:r>
      <w:r>
        <w:rPr>
          <w:highlight w:val="none"/>
        </w:rPr>
        <w:instrText xml:space="preserve"> HYPERLINK \l _Toc1283790493 </w:instrText>
      </w:r>
      <w:r>
        <w:rPr>
          <w:highlight w:val="none"/>
        </w:rPr>
        <w:fldChar w:fldCharType="separate"/>
      </w:r>
      <w:r>
        <w:rPr>
          <w:rFonts w:hint="eastAsia" w:ascii="黑体" w:hAnsi="黑体" w:eastAsia="黑体" w:cs="黑体"/>
          <w:kern w:val="0"/>
          <w:szCs w:val="28"/>
          <w:highlight w:val="none"/>
        </w:rPr>
        <w:t>节约用水管理方面</w:t>
      </w:r>
      <w:r>
        <w:tab/>
      </w:r>
      <w:r>
        <w:fldChar w:fldCharType="begin"/>
      </w:r>
      <w:r>
        <w:instrText xml:space="preserve"> PAGEREF _Toc1283790493 \h </w:instrText>
      </w:r>
      <w:r>
        <w:fldChar w:fldCharType="separate"/>
      </w:r>
      <w:r>
        <w:t>147</w:t>
      </w:r>
      <w:r>
        <w:fldChar w:fldCharType="end"/>
      </w:r>
      <w:r>
        <w:rPr>
          <w:color w:val="auto"/>
          <w:highlight w:val="none"/>
        </w:rPr>
        <w:fldChar w:fldCharType="end"/>
      </w:r>
    </w:p>
    <w:p w14:paraId="5D0EF404">
      <w:pPr>
        <w:pStyle w:val="19"/>
        <w:tabs>
          <w:tab w:val="right" w:leader="dot" w:pos="9582"/>
        </w:tabs>
      </w:pPr>
      <w:r>
        <w:rPr>
          <w:color w:val="auto"/>
          <w:highlight w:val="none"/>
        </w:rPr>
        <w:fldChar w:fldCharType="begin"/>
      </w:r>
      <w:r>
        <w:rPr>
          <w:highlight w:val="none"/>
        </w:rPr>
        <w:instrText xml:space="preserve"> HYPERLINK \l _Toc63272418 </w:instrText>
      </w:r>
      <w:r>
        <w:rPr>
          <w:highlight w:val="none"/>
        </w:rPr>
        <w:fldChar w:fldCharType="separate"/>
      </w:r>
      <w:r>
        <w:rPr>
          <w:rFonts w:hint="eastAsia" w:ascii="宋体" w:hAnsi="宋体" w:eastAsia="宋体" w:cs="宋体"/>
          <w:bCs/>
          <w:kern w:val="0"/>
          <w:szCs w:val="21"/>
          <w:highlight w:val="none"/>
        </w:rPr>
        <w:t>《中华人民共和国水法》《节约用水条例》案由4项</w:t>
      </w:r>
      <w:r>
        <w:tab/>
      </w:r>
      <w:r>
        <w:fldChar w:fldCharType="begin"/>
      </w:r>
      <w:r>
        <w:instrText xml:space="preserve"> PAGEREF _Toc63272418 \h </w:instrText>
      </w:r>
      <w:r>
        <w:fldChar w:fldCharType="separate"/>
      </w:r>
      <w:r>
        <w:t>147</w:t>
      </w:r>
      <w:r>
        <w:fldChar w:fldCharType="end"/>
      </w:r>
      <w:r>
        <w:rPr>
          <w:color w:val="auto"/>
          <w:highlight w:val="none"/>
        </w:rPr>
        <w:fldChar w:fldCharType="end"/>
      </w:r>
    </w:p>
    <w:p w14:paraId="7959B74D">
      <w:pPr>
        <w:pStyle w:val="19"/>
        <w:tabs>
          <w:tab w:val="right" w:leader="dot" w:pos="9582"/>
        </w:tabs>
      </w:pPr>
      <w:r>
        <w:rPr>
          <w:color w:val="auto"/>
          <w:highlight w:val="none"/>
        </w:rPr>
        <w:fldChar w:fldCharType="begin"/>
      </w:r>
      <w:r>
        <w:rPr>
          <w:highlight w:val="none"/>
        </w:rPr>
        <w:instrText xml:space="preserve"> HYPERLINK \l _Toc122322676 </w:instrText>
      </w:r>
      <w:r>
        <w:rPr>
          <w:highlight w:val="none"/>
        </w:rPr>
        <w:fldChar w:fldCharType="separate"/>
      </w:r>
      <w:r>
        <w:rPr>
          <w:rFonts w:hint="eastAsia" w:ascii="宋体" w:hAnsi="宋体" w:eastAsia="宋体" w:cs="宋体"/>
          <w:bCs/>
          <w:kern w:val="0"/>
          <w:szCs w:val="21"/>
          <w:highlight w:val="none"/>
        </w:rPr>
        <w:t>《城市房屋便器水箱应用监督管理办法》案由4项</w:t>
      </w:r>
      <w:r>
        <w:tab/>
      </w:r>
      <w:r>
        <w:fldChar w:fldCharType="begin"/>
      </w:r>
      <w:r>
        <w:instrText xml:space="preserve"> PAGEREF _Toc122322676 \h </w:instrText>
      </w:r>
      <w:r>
        <w:fldChar w:fldCharType="separate"/>
      </w:r>
      <w:r>
        <w:t>149</w:t>
      </w:r>
      <w:r>
        <w:fldChar w:fldCharType="end"/>
      </w:r>
      <w:r>
        <w:rPr>
          <w:color w:val="auto"/>
          <w:highlight w:val="none"/>
        </w:rPr>
        <w:fldChar w:fldCharType="end"/>
      </w:r>
    </w:p>
    <w:p w14:paraId="7C595BFB">
      <w:pPr>
        <w:pStyle w:val="19"/>
        <w:tabs>
          <w:tab w:val="right" w:leader="dot" w:pos="9582"/>
        </w:tabs>
      </w:pPr>
      <w:r>
        <w:rPr>
          <w:color w:val="auto"/>
          <w:highlight w:val="none"/>
        </w:rPr>
        <w:fldChar w:fldCharType="begin"/>
      </w:r>
      <w:r>
        <w:rPr>
          <w:highlight w:val="none"/>
        </w:rPr>
        <w:instrText xml:space="preserve"> HYPERLINK \l _Toc249234913 </w:instrText>
      </w:r>
      <w:r>
        <w:rPr>
          <w:highlight w:val="none"/>
        </w:rPr>
        <w:fldChar w:fldCharType="separate"/>
      </w:r>
      <w:r>
        <w:rPr>
          <w:rFonts w:hint="eastAsia" w:ascii="宋体" w:hAnsi="宋体" w:eastAsia="宋体" w:cs="宋体"/>
          <w:bCs/>
          <w:kern w:val="0"/>
          <w:szCs w:val="21"/>
          <w:highlight w:val="none"/>
        </w:rPr>
        <w:t>《北京市节水条例》《北京市水污染防治条例》案由14项</w:t>
      </w:r>
      <w:r>
        <w:tab/>
      </w:r>
      <w:r>
        <w:fldChar w:fldCharType="begin"/>
      </w:r>
      <w:r>
        <w:instrText xml:space="preserve"> PAGEREF _Toc249234913 \h </w:instrText>
      </w:r>
      <w:r>
        <w:fldChar w:fldCharType="separate"/>
      </w:r>
      <w:r>
        <w:t>150</w:t>
      </w:r>
      <w:r>
        <w:fldChar w:fldCharType="end"/>
      </w:r>
      <w:r>
        <w:rPr>
          <w:color w:val="auto"/>
          <w:highlight w:val="none"/>
        </w:rPr>
        <w:fldChar w:fldCharType="end"/>
      </w:r>
    </w:p>
    <w:p w14:paraId="5C57A30D">
      <w:pPr>
        <w:pStyle w:val="17"/>
        <w:tabs>
          <w:tab w:val="right" w:leader="dot" w:pos="9582"/>
        </w:tabs>
      </w:pPr>
      <w:r>
        <w:rPr>
          <w:color w:val="auto"/>
          <w:highlight w:val="none"/>
        </w:rPr>
        <w:fldChar w:fldCharType="begin"/>
      </w:r>
      <w:r>
        <w:rPr>
          <w:highlight w:val="none"/>
        </w:rPr>
        <w:instrText xml:space="preserve"> HYPERLINK \l _Toc523868433 </w:instrText>
      </w:r>
      <w:r>
        <w:rPr>
          <w:highlight w:val="none"/>
        </w:rPr>
        <w:fldChar w:fldCharType="separate"/>
      </w:r>
      <w:r>
        <w:rPr>
          <w:rFonts w:hint="eastAsia" w:ascii="黑体" w:hAnsi="黑体" w:eastAsia="黑体" w:cs="黑体"/>
          <w:kern w:val="0"/>
          <w:szCs w:val="28"/>
          <w:highlight w:val="none"/>
        </w:rPr>
        <w:t>水资源管理方面</w:t>
      </w:r>
      <w:r>
        <w:tab/>
      </w:r>
      <w:r>
        <w:fldChar w:fldCharType="begin"/>
      </w:r>
      <w:r>
        <w:instrText xml:space="preserve"> PAGEREF _Toc523868433 \h </w:instrText>
      </w:r>
      <w:r>
        <w:fldChar w:fldCharType="separate"/>
      </w:r>
      <w:r>
        <w:t>155</w:t>
      </w:r>
      <w:r>
        <w:fldChar w:fldCharType="end"/>
      </w:r>
      <w:r>
        <w:rPr>
          <w:color w:val="auto"/>
          <w:highlight w:val="none"/>
        </w:rPr>
        <w:fldChar w:fldCharType="end"/>
      </w:r>
    </w:p>
    <w:p w14:paraId="243EED7D">
      <w:pPr>
        <w:pStyle w:val="19"/>
        <w:tabs>
          <w:tab w:val="right" w:leader="dot" w:pos="9582"/>
        </w:tabs>
      </w:pPr>
      <w:r>
        <w:rPr>
          <w:color w:val="auto"/>
          <w:highlight w:val="none"/>
        </w:rPr>
        <w:fldChar w:fldCharType="begin"/>
      </w:r>
      <w:r>
        <w:rPr>
          <w:highlight w:val="none"/>
        </w:rPr>
        <w:instrText xml:space="preserve"> HYPERLINK \l _Toc866751849 </w:instrText>
      </w:r>
      <w:r>
        <w:rPr>
          <w:highlight w:val="none"/>
        </w:rPr>
        <w:fldChar w:fldCharType="separate"/>
      </w:r>
      <w:r>
        <w:rPr>
          <w:rFonts w:hint="eastAsia" w:ascii="宋体" w:hAnsi="宋体" w:eastAsia="宋体" w:cs="宋体"/>
          <w:bCs/>
          <w:kern w:val="0"/>
          <w:szCs w:val="21"/>
          <w:highlight w:val="none"/>
        </w:rPr>
        <w:t>《中华人民共和国水法》案由2项</w:t>
      </w:r>
      <w:r>
        <w:tab/>
      </w:r>
      <w:r>
        <w:fldChar w:fldCharType="begin"/>
      </w:r>
      <w:r>
        <w:instrText xml:space="preserve"> PAGEREF _Toc866751849 \h </w:instrText>
      </w:r>
      <w:r>
        <w:fldChar w:fldCharType="separate"/>
      </w:r>
      <w:r>
        <w:t>155</w:t>
      </w:r>
      <w:r>
        <w:fldChar w:fldCharType="end"/>
      </w:r>
      <w:r>
        <w:rPr>
          <w:color w:val="auto"/>
          <w:highlight w:val="none"/>
        </w:rPr>
        <w:fldChar w:fldCharType="end"/>
      </w:r>
    </w:p>
    <w:p w14:paraId="0C542813">
      <w:pPr>
        <w:pStyle w:val="19"/>
        <w:tabs>
          <w:tab w:val="right" w:leader="dot" w:pos="9582"/>
        </w:tabs>
      </w:pPr>
      <w:r>
        <w:rPr>
          <w:color w:val="auto"/>
          <w:highlight w:val="none"/>
        </w:rPr>
        <w:fldChar w:fldCharType="begin"/>
      </w:r>
      <w:r>
        <w:rPr>
          <w:highlight w:val="none"/>
        </w:rPr>
        <w:instrText xml:space="preserve"> HYPERLINK \l _Toc1129998119 </w:instrText>
      </w:r>
      <w:r>
        <w:rPr>
          <w:highlight w:val="none"/>
        </w:rPr>
        <w:fldChar w:fldCharType="separate"/>
      </w:r>
      <w:r>
        <w:rPr>
          <w:rFonts w:hint="eastAsia" w:ascii="宋体" w:hAnsi="宋体" w:eastAsia="宋体" w:cs="宋体"/>
          <w:bCs/>
          <w:kern w:val="0"/>
          <w:szCs w:val="21"/>
          <w:highlight w:val="none"/>
        </w:rPr>
        <w:t>《取水许可和水资源费征收管理条例》《地下水管理条例》案由9项</w:t>
      </w:r>
      <w:r>
        <w:tab/>
      </w:r>
      <w:r>
        <w:fldChar w:fldCharType="begin"/>
      </w:r>
      <w:r>
        <w:instrText xml:space="preserve"> PAGEREF _Toc1129998119 \h </w:instrText>
      </w:r>
      <w:r>
        <w:fldChar w:fldCharType="separate"/>
      </w:r>
      <w:r>
        <w:t>155</w:t>
      </w:r>
      <w:r>
        <w:fldChar w:fldCharType="end"/>
      </w:r>
      <w:r>
        <w:rPr>
          <w:color w:val="auto"/>
          <w:highlight w:val="none"/>
        </w:rPr>
        <w:fldChar w:fldCharType="end"/>
      </w:r>
    </w:p>
    <w:p w14:paraId="2C142DFD">
      <w:pPr>
        <w:pStyle w:val="19"/>
        <w:tabs>
          <w:tab w:val="right" w:leader="dot" w:pos="9582"/>
        </w:tabs>
      </w:pPr>
      <w:r>
        <w:rPr>
          <w:color w:val="auto"/>
          <w:highlight w:val="none"/>
        </w:rPr>
        <w:fldChar w:fldCharType="begin"/>
      </w:r>
      <w:r>
        <w:rPr>
          <w:highlight w:val="none"/>
        </w:rPr>
        <w:instrText xml:space="preserve"> HYPERLINK \l _Toc796741224 </w:instrText>
      </w:r>
      <w:r>
        <w:rPr>
          <w:highlight w:val="none"/>
        </w:rPr>
        <w:fldChar w:fldCharType="separate"/>
      </w:r>
      <w:r>
        <w:rPr>
          <w:rFonts w:hint="eastAsia" w:ascii="宋体" w:hAnsi="宋体" w:eastAsia="宋体" w:cs="宋体"/>
          <w:bCs/>
          <w:kern w:val="0"/>
          <w:szCs w:val="21"/>
          <w:highlight w:val="none"/>
        </w:rPr>
        <w:t>《地下水管理条例》案由6项</w:t>
      </w:r>
      <w:r>
        <w:tab/>
      </w:r>
      <w:r>
        <w:fldChar w:fldCharType="begin"/>
      </w:r>
      <w:r>
        <w:instrText xml:space="preserve"> PAGEREF _Toc796741224 \h </w:instrText>
      </w:r>
      <w:r>
        <w:fldChar w:fldCharType="separate"/>
      </w:r>
      <w:r>
        <w:t>158</w:t>
      </w:r>
      <w:r>
        <w:fldChar w:fldCharType="end"/>
      </w:r>
      <w:r>
        <w:rPr>
          <w:color w:val="auto"/>
          <w:highlight w:val="none"/>
        </w:rPr>
        <w:fldChar w:fldCharType="end"/>
      </w:r>
    </w:p>
    <w:p w14:paraId="0D9CEA19">
      <w:pPr>
        <w:pStyle w:val="19"/>
        <w:tabs>
          <w:tab w:val="right" w:leader="dot" w:pos="9582"/>
        </w:tabs>
      </w:pPr>
      <w:r>
        <w:rPr>
          <w:color w:val="auto"/>
          <w:highlight w:val="none"/>
        </w:rPr>
        <w:fldChar w:fldCharType="begin"/>
      </w:r>
      <w:r>
        <w:rPr>
          <w:highlight w:val="none"/>
        </w:rPr>
        <w:instrText xml:space="preserve"> HYPERLINK \l _Toc1870106766 </w:instrText>
      </w:r>
      <w:r>
        <w:rPr>
          <w:highlight w:val="none"/>
        </w:rPr>
        <w:fldChar w:fldCharType="separate"/>
      </w:r>
      <w:r>
        <w:rPr>
          <w:rFonts w:hint="eastAsia" w:ascii="宋体" w:hAnsi="宋体" w:eastAsia="宋体" w:cs="宋体"/>
          <w:bCs/>
          <w:kern w:val="0"/>
          <w:szCs w:val="21"/>
          <w:highlight w:val="none"/>
        </w:rPr>
        <w:t>《取水许可管理办法》案由3项</w:t>
      </w:r>
      <w:r>
        <w:tab/>
      </w:r>
      <w:r>
        <w:fldChar w:fldCharType="begin"/>
      </w:r>
      <w:r>
        <w:instrText xml:space="preserve"> PAGEREF _Toc1870106766 \h </w:instrText>
      </w:r>
      <w:r>
        <w:fldChar w:fldCharType="separate"/>
      </w:r>
      <w:r>
        <w:t>160</w:t>
      </w:r>
      <w:r>
        <w:fldChar w:fldCharType="end"/>
      </w:r>
      <w:r>
        <w:rPr>
          <w:color w:val="auto"/>
          <w:highlight w:val="none"/>
        </w:rPr>
        <w:fldChar w:fldCharType="end"/>
      </w:r>
    </w:p>
    <w:p w14:paraId="1B772DA7">
      <w:pPr>
        <w:pStyle w:val="19"/>
        <w:tabs>
          <w:tab w:val="right" w:leader="dot" w:pos="9582"/>
        </w:tabs>
      </w:pPr>
      <w:r>
        <w:rPr>
          <w:color w:val="auto"/>
          <w:highlight w:val="none"/>
        </w:rPr>
        <w:fldChar w:fldCharType="begin"/>
      </w:r>
      <w:r>
        <w:rPr>
          <w:highlight w:val="none"/>
        </w:rPr>
        <w:instrText xml:space="preserve"> HYPERLINK \l _Toc447425803 </w:instrText>
      </w:r>
      <w:r>
        <w:rPr>
          <w:highlight w:val="none"/>
        </w:rPr>
        <w:fldChar w:fldCharType="separate"/>
      </w:r>
      <w:r>
        <w:rPr>
          <w:rFonts w:hint="eastAsia" w:ascii="宋体" w:hAnsi="宋体" w:eastAsia="宋体" w:cs="宋体"/>
          <w:bCs/>
          <w:kern w:val="0"/>
          <w:szCs w:val="21"/>
          <w:highlight w:val="none"/>
        </w:rPr>
        <w:t>《北京市实施</w:t>
      </w:r>
      <w:r>
        <w:rPr>
          <w:rFonts w:hint="eastAsia" w:ascii="仿宋" w:hAnsi="仿宋" w:eastAsia="仿宋" w:cs="仿宋"/>
          <w:bCs/>
          <w:kern w:val="0"/>
          <w:szCs w:val="21"/>
          <w:highlight w:val="none"/>
        </w:rPr>
        <w:t>&lt;</w:t>
      </w:r>
      <w:r>
        <w:rPr>
          <w:rFonts w:hint="eastAsia" w:ascii="宋体" w:hAnsi="宋体" w:eastAsia="宋体" w:cs="宋体"/>
          <w:bCs/>
          <w:kern w:val="0"/>
          <w:szCs w:val="21"/>
          <w:highlight w:val="none"/>
        </w:rPr>
        <w:t>中华人民共和国水法</w:t>
      </w:r>
      <w:r>
        <w:rPr>
          <w:rFonts w:hint="eastAsia" w:ascii="仿宋" w:hAnsi="仿宋" w:eastAsia="仿宋" w:cs="仿宋"/>
          <w:bCs/>
          <w:kern w:val="0"/>
          <w:szCs w:val="21"/>
          <w:highlight w:val="none"/>
        </w:rPr>
        <w:t>&gt;</w:t>
      </w:r>
      <w:r>
        <w:rPr>
          <w:rFonts w:hint="eastAsia" w:ascii="宋体" w:hAnsi="宋体" w:eastAsia="宋体" w:cs="宋体"/>
          <w:bCs/>
          <w:kern w:val="0"/>
          <w:szCs w:val="21"/>
          <w:highlight w:val="none"/>
        </w:rPr>
        <w:t>办法》案由1项</w:t>
      </w:r>
      <w:r>
        <w:tab/>
      </w:r>
      <w:r>
        <w:fldChar w:fldCharType="begin"/>
      </w:r>
      <w:r>
        <w:instrText xml:space="preserve"> PAGEREF _Toc447425803 \h </w:instrText>
      </w:r>
      <w:r>
        <w:fldChar w:fldCharType="separate"/>
      </w:r>
      <w:r>
        <w:t>161</w:t>
      </w:r>
      <w:r>
        <w:fldChar w:fldCharType="end"/>
      </w:r>
      <w:r>
        <w:rPr>
          <w:color w:val="auto"/>
          <w:highlight w:val="none"/>
        </w:rPr>
        <w:fldChar w:fldCharType="end"/>
      </w:r>
    </w:p>
    <w:p w14:paraId="75C0F08E">
      <w:pPr>
        <w:pStyle w:val="17"/>
        <w:tabs>
          <w:tab w:val="right" w:leader="dot" w:pos="9582"/>
        </w:tabs>
      </w:pPr>
      <w:r>
        <w:rPr>
          <w:color w:val="auto"/>
          <w:highlight w:val="none"/>
        </w:rPr>
        <w:fldChar w:fldCharType="begin"/>
      </w:r>
      <w:r>
        <w:rPr>
          <w:highlight w:val="none"/>
        </w:rPr>
        <w:instrText xml:space="preserve"> HYPERLINK \l _Toc793211724 </w:instrText>
      </w:r>
      <w:r>
        <w:rPr>
          <w:highlight w:val="none"/>
        </w:rPr>
        <w:fldChar w:fldCharType="separate"/>
      </w:r>
      <w:r>
        <w:rPr>
          <w:rFonts w:hint="eastAsia" w:ascii="黑体" w:hAnsi="黑体" w:eastAsia="黑体" w:cs="黑体"/>
          <w:kern w:val="0"/>
          <w:szCs w:val="28"/>
          <w:highlight w:val="none"/>
        </w:rPr>
        <w:t>排水管理方面</w:t>
      </w:r>
      <w:r>
        <w:tab/>
      </w:r>
      <w:r>
        <w:fldChar w:fldCharType="begin"/>
      </w:r>
      <w:r>
        <w:instrText xml:space="preserve"> PAGEREF _Toc793211724 \h </w:instrText>
      </w:r>
      <w:r>
        <w:fldChar w:fldCharType="separate"/>
      </w:r>
      <w:r>
        <w:t>161</w:t>
      </w:r>
      <w:r>
        <w:fldChar w:fldCharType="end"/>
      </w:r>
      <w:r>
        <w:rPr>
          <w:color w:val="auto"/>
          <w:highlight w:val="none"/>
        </w:rPr>
        <w:fldChar w:fldCharType="end"/>
      </w:r>
    </w:p>
    <w:p w14:paraId="642DC227">
      <w:pPr>
        <w:pStyle w:val="19"/>
        <w:tabs>
          <w:tab w:val="right" w:leader="dot" w:pos="9582"/>
        </w:tabs>
      </w:pPr>
      <w:r>
        <w:rPr>
          <w:color w:val="auto"/>
          <w:highlight w:val="none"/>
        </w:rPr>
        <w:fldChar w:fldCharType="begin"/>
      </w:r>
      <w:r>
        <w:rPr>
          <w:highlight w:val="none"/>
        </w:rPr>
        <w:instrText xml:space="preserve"> HYPERLINK \l _Toc1329517689 </w:instrText>
      </w:r>
      <w:r>
        <w:rPr>
          <w:highlight w:val="none"/>
        </w:rPr>
        <w:fldChar w:fldCharType="separate"/>
      </w:r>
      <w:r>
        <w:rPr>
          <w:rFonts w:hint="eastAsia" w:ascii="宋体" w:hAnsi="宋体" w:eastAsia="宋体" w:cs="宋体"/>
          <w:bCs/>
          <w:kern w:val="0"/>
          <w:szCs w:val="21"/>
          <w:highlight w:val="none"/>
        </w:rPr>
        <w:t>《中华人民共和国固体废物污染环境防治法》《城镇排水与污水处理条例》《中华人民共和国水污染防治法》案由2项</w:t>
      </w:r>
      <w:r>
        <w:tab/>
      </w:r>
      <w:r>
        <w:fldChar w:fldCharType="begin"/>
      </w:r>
      <w:r>
        <w:instrText xml:space="preserve"> PAGEREF _Toc1329517689 \h </w:instrText>
      </w:r>
      <w:r>
        <w:fldChar w:fldCharType="separate"/>
      </w:r>
      <w:r>
        <w:t>161</w:t>
      </w:r>
      <w:r>
        <w:fldChar w:fldCharType="end"/>
      </w:r>
      <w:r>
        <w:rPr>
          <w:color w:val="auto"/>
          <w:highlight w:val="none"/>
        </w:rPr>
        <w:fldChar w:fldCharType="end"/>
      </w:r>
    </w:p>
    <w:p w14:paraId="02CFE2B0">
      <w:pPr>
        <w:pStyle w:val="19"/>
        <w:tabs>
          <w:tab w:val="right" w:leader="dot" w:pos="9582"/>
        </w:tabs>
      </w:pPr>
      <w:r>
        <w:rPr>
          <w:color w:val="auto"/>
          <w:highlight w:val="none"/>
        </w:rPr>
        <w:fldChar w:fldCharType="begin"/>
      </w:r>
      <w:r>
        <w:rPr>
          <w:highlight w:val="none"/>
        </w:rPr>
        <w:instrText xml:space="preserve"> HYPERLINK \l _Toc1963767815 </w:instrText>
      </w:r>
      <w:r>
        <w:rPr>
          <w:highlight w:val="none"/>
        </w:rPr>
        <w:fldChar w:fldCharType="separate"/>
      </w:r>
      <w:r>
        <w:rPr>
          <w:rFonts w:hint="eastAsia" w:ascii="宋体" w:hAnsi="宋体" w:eastAsia="宋体" w:cs="宋体"/>
          <w:bCs/>
          <w:kern w:val="0"/>
          <w:szCs w:val="21"/>
          <w:highlight w:val="none"/>
        </w:rPr>
        <w:t>《城镇排水与污水处理条例》《北京市排水和再生水管理办法》案由12项</w:t>
      </w:r>
      <w:r>
        <w:tab/>
      </w:r>
      <w:r>
        <w:fldChar w:fldCharType="begin"/>
      </w:r>
      <w:r>
        <w:instrText xml:space="preserve"> PAGEREF _Toc1963767815 \h </w:instrText>
      </w:r>
      <w:r>
        <w:fldChar w:fldCharType="separate"/>
      </w:r>
      <w:r>
        <w:t>163</w:t>
      </w:r>
      <w:r>
        <w:fldChar w:fldCharType="end"/>
      </w:r>
      <w:r>
        <w:rPr>
          <w:color w:val="auto"/>
          <w:highlight w:val="none"/>
        </w:rPr>
        <w:fldChar w:fldCharType="end"/>
      </w:r>
    </w:p>
    <w:p w14:paraId="56FF8675">
      <w:pPr>
        <w:pStyle w:val="19"/>
        <w:tabs>
          <w:tab w:val="right" w:leader="dot" w:pos="9582"/>
        </w:tabs>
      </w:pPr>
      <w:r>
        <w:rPr>
          <w:color w:val="auto"/>
          <w:highlight w:val="none"/>
        </w:rPr>
        <w:fldChar w:fldCharType="begin"/>
      </w:r>
      <w:r>
        <w:rPr>
          <w:highlight w:val="none"/>
        </w:rPr>
        <w:instrText xml:space="preserve"> HYPERLINK \l _Toc705604123 </w:instrText>
      </w:r>
      <w:r>
        <w:rPr>
          <w:highlight w:val="none"/>
        </w:rPr>
        <w:fldChar w:fldCharType="separate"/>
      </w:r>
      <w:r>
        <w:rPr>
          <w:rFonts w:hint="eastAsia" w:ascii="宋体" w:hAnsi="宋体" w:eastAsia="宋体" w:cs="宋体"/>
          <w:bCs/>
          <w:kern w:val="0"/>
          <w:szCs w:val="21"/>
          <w:highlight w:val="none"/>
        </w:rPr>
        <w:t>《城镇污水排入排水管网许可管理办法》《城镇排水与污水处理条例》案由10项</w:t>
      </w:r>
      <w:r>
        <w:tab/>
      </w:r>
      <w:r>
        <w:fldChar w:fldCharType="begin"/>
      </w:r>
      <w:r>
        <w:instrText xml:space="preserve"> PAGEREF _Toc705604123 \h </w:instrText>
      </w:r>
      <w:r>
        <w:fldChar w:fldCharType="separate"/>
      </w:r>
      <w:r>
        <w:t>167</w:t>
      </w:r>
      <w:r>
        <w:fldChar w:fldCharType="end"/>
      </w:r>
      <w:r>
        <w:rPr>
          <w:color w:val="auto"/>
          <w:highlight w:val="none"/>
        </w:rPr>
        <w:fldChar w:fldCharType="end"/>
      </w:r>
    </w:p>
    <w:p w14:paraId="442FB77E">
      <w:pPr>
        <w:pStyle w:val="19"/>
        <w:tabs>
          <w:tab w:val="right" w:leader="dot" w:pos="9582"/>
        </w:tabs>
      </w:pPr>
      <w:r>
        <w:rPr>
          <w:color w:val="auto"/>
          <w:highlight w:val="none"/>
        </w:rPr>
        <w:fldChar w:fldCharType="begin"/>
      </w:r>
      <w:r>
        <w:rPr>
          <w:highlight w:val="none"/>
        </w:rPr>
        <w:instrText xml:space="preserve"> HYPERLINK \l _Toc1091947490 </w:instrText>
      </w:r>
      <w:r>
        <w:rPr>
          <w:highlight w:val="none"/>
        </w:rPr>
        <w:fldChar w:fldCharType="separate"/>
      </w:r>
      <w:r>
        <w:rPr>
          <w:rFonts w:hint="eastAsia" w:ascii="宋体" w:hAnsi="宋体" w:eastAsia="宋体" w:cs="宋体"/>
          <w:bCs/>
          <w:kern w:val="0"/>
          <w:szCs w:val="21"/>
          <w:highlight w:val="none"/>
        </w:rPr>
        <w:t>《北京市水污染防治条例》案由1项</w:t>
      </w:r>
      <w:r>
        <w:tab/>
      </w:r>
      <w:r>
        <w:fldChar w:fldCharType="begin"/>
      </w:r>
      <w:r>
        <w:instrText xml:space="preserve"> PAGEREF _Toc1091947490 \h </w:instrText>
      </w:r>
      <w:r>
        <w:fldChar w:fldCharType="separate"/>
      </w:r>
      <w:r>
        <w:t>172</w:t>
      </w:r>
      <w:r>
        <w:fldChar w:fldCharType="end"/>
      </w:r>
      <w:r>
        <w:rPr>
          <w:color w:val="auto"/>
          <w:highlight w:val="none"/>
        </w:rPr>
        <w:fldChar w:fldCharType="end"/>
      </w:r>
    </w:p>
    <w:p w14:paraId="4DC19EB6">
      <w:pPr>
        <w:pStyle w:val="19"/>
        <w:tabs>
          <w:tab w:val="right" w:leader="dot" w:pos="9582"/>
        </w:tabs>
      </w:pPr>
      <w:r>
        <w:rPr>
          <w:color w:val="auto"/>
          <w:highlight w:val="none"/>
        </w:rPr>
        <w:fldChar w:fldCharType="begin"/>
      </w:r>
      <w:r>
        <w:rPr>
          <w:highlight w:val="none"/>
        </w:rPr>
        <w:instrText xml:space="preserve"> HYPERLINK \l _Toc1931537284 </w:instrText>
      </w:r>
      <w:r>
        <w:rPr>
          <w:highlight w:val="none"/>
        </w:rPr>
        <w:fldChar w:fldCharType="separate"/>
      </w:r>
      <w:r>
        <w:rPr>
          <w:rFonts w:hint="eastAsia" w:ascii="宋体" w:hAnsi="宋体" w:eastAsia="宋体" w:cs="宋体"/>
          <w:bCs/>
          <w:kern w:val="0"/>
          <w:szCs w:val="21"/>
          <w:highlight w:val="none"/>
        </w:rPr>
        <w:t>《北京市排水和再生水管理办法》案由9项</w:t>
      </w:r>
      <w:r>
        <w:tab/>
      </w:r>
      <w:r>
        <w:fldChar w:fldCharType="begin"/>
      </w:r>
      <w:r>
        <w:instrText xml:space="preserve"> PAGEREF _Toc1931537284 \h </w:instrText>
      </w:r>
      <w:r>
        <w:fldChar w:fldCharType="separate"/>
      </w:r>
      <w:r>
        <w:t>172</w:t>
      </w:r>
      <w:r>
        <w:fldChar w:fldCharType="end"/>
      </w:r>
      <w:r>
        <w:rPr>
          <w:color w:val="auto"/>
          <w:highlight w:val="none"/>
        </w:rPr>
        <w:fldChar w:fldCharType="end"/>
      </w:r>
    </w:p>
    <w:p w14:paraId="14F87F4D">
      <w:pPr>
        <w:pStyle w:val="17"/>
        <w:tabs>
          <w:tab w:val="right" w:leader="dot" w:pos="9582"/>
        </w:tabs>
      </w:pPr>
      <w:r>
        <w:rPr>
          <w:color w:val="auto"/>
          <w:highlight w:val="none"/>
        </w:rPr>
        <w:fldChar w:fldCharType="begin"/>
      </w:r>
      <w:r>
        <w:rPr>
          <w:highlight w:val="none"/>
        </w:rPr>
        <w:instrText xml:space="preserve"> HYPERLINK \l _Toc865650080 </w:instrText>
      </w:r>
      <w:r>
        <w:rPr>
          <w:highlight w:val="none"/>
        </w:rPr>
        <w:fldChar w:fldCharType="separate"/>
      </w:r>
      <w:r>
        <w:rPr>
          <w:rFonts w:hint="eastAsia" w:ascii="黑体" w:hAnsi="黑体" w:eastAsia="黑体" w:cs="黑体"/>
          <w:kern w:val="0"/>
          <w:szCs w:val="28"/>
          <w:highlight w:val="none"/>
        </w:rPr>
        <w:t>供水管理方面</w:t>
      </w:r>
      <w:r>
        <w:tab/>
      </w:r>
      <w:r>
        <w:fldChar w:fldCharType="begin"/>
      </w:r>
      <w:r>
        <w:instrText xml:space="preserve"> PAGEREF _Toc865650080 \h </w:instrText>
      </w:r>
      <w:r>
        <w:fldChar w:fldCharType="separate"/>
      </w:r>
      <w:r>
        <w:t>174</w:t>
      </w:r>
      <w:r>
        <w:fldChar w:fldCharType="end"/>
      </w:r>
      <w:r>
        <w:rPr>
          <w:color w:val="auto"/>
          <w:highlight w:val="none"/>
        </w:rPr>
        <w:fldChar w:fldCharType="end"/>
      </w:r>
    </w:p>
    <w:p w14:paraId="234CDED2">
      <w:pPr>
        <w:pStyle w:val="19"/>
        <w:tabs>
          <w:tab w:val="right" w:leader="dot" w:pos="9582"/>
        </w:tabs>
      </w:pPr>
      <w:r>
        <w:rPr>
          <w:color w:val="auto"/>
          <w:highlight w:val="none"/>
        </w:rPr>
        <w:fldChar w:fldCharType="begin"/>
      </w:r>
      <w:r>
        <w:rPr>
          <w:highlight w:val="none"/>
        </w:rPr>
        <w:instrText xml:space="preserve"> HYPERLINK \l _Toc1600074913 </w:instrText>
      </w:r>
      <w:r>
        <w:rPr>
          <w:highlight w:val="none"/>
        </w:rPr>
        <w:fldChar w:fldCharType="separate"/>
      </w:r>
      <w:r>
        <w:rPr>
          <w:rFonts w:hint="eastAsia" w:ascii="宋体" w:hAnsi="宋体" w:eastAsia="宋体" w:cs="宋体"/>
          <w:bCs/>
          <w:kern w:val="0"/>
          <w:szCs w:val="21"/>
          <w:highlight w:val="none"/>
        </w:rPr>
        <w:t>《中华人民共和国水污染防治法》《城市供水条例》《北京市自建设施供水管理办法》《北京市城市公共供水管理办法》案由1项</w:t>
      </w:r>
      <w:r>
        <w:tab/>
      </w:r>
      <w:r>
        <w:fldChar w:fldCharType="begin"/>
      </w:r>
      <w:r>
        <w:instrText xml:space="preserve"> PAGEREF _Toc1600074913 \h </w:instrText>
      </w:r>
      <w:r>
        <w:fldChar w:fldCharType="separate"/>
      </w:r>
      <w:r>
        <w:t>174</w:t>
      </w:r>
      <w:r>
        <w:fldChar w:fldCharType="end"/>
      </w:r>
      <w:r>
        <w:rPr>
          <w:color w:val="auto"/>
          <w:highlight w:val="none"/>
        </w:rPr>
        <w:fldChar w:fldCharType="end"/>
      </w:r>
    </w:p>
    <w:p w14:paraId="5158850D">
      <w:pPr>
        <w:pStyle w:val="19"/>
        <w:tabs>
          <w:tab w:val="right" w:leader="dot" w:pos="9582"/>
        </w:tabs>
      </w:pPr>
      <w:r>
        <w:rPr>
          <w:color w:val="auto"/>
          <w:highlight w:val="none"/>
        </w:rPr>
        <w:fldChar w:fldCharType="begin"/>
      </w:r>
      <w:r>
        <w:rPr>
          <w:highlight w:val="none"/>
        </w:rPr>
        <w:instrText xml:space="preserve"> HYPERLINK \l _Toc1210301218 </w:instrText>
      </w:r>
      <w:r>
        <w:rPr>
          <w:highlight w:val="none"/>
        </w:rPr>
        <w:fldChar w:fldCharType="separate"/>
      </w:r>
      <w:r>
        <w:rPr>
          <w:rFonts w:hint="eastAsia" w:ascii="宋体" w:hAnsi="宋体" w:eastAsia="宋体" w:cs="宋体"/>
          <w:bCs/>
          <w:kern w:val="0"/>
          <w:szCs w:val="21"/>
          <w:highlight w:val="none"/>
        </w:rPr>
        <w:t>《城市供水条例》《建设工程质量管理条例》《北京市城市公共供水管理办法》案由4项</w:t>
      </w:r>
      <w:r>
        <w:tab/>
      </w:r>
      <w:r>
        <w:fldChar w:fldCharType="begin"/>
      </w:r>
      <w:r>
        <w:instrText xml:space="preserve"> PAGEREF _Toc1210301218 \h </w:instrText>
      </w:r>
      <w:r>
        <w:fldChar w:fldCharType="separate"/>
      </w:r>
      <w:r>
        <w:t>175</w:t>
      </w:r>
      <w:r>
        <w:fldChar w:fldCharType="end"/>
      </w:r>
      <w:r>
        <w:rPr>
          <w:color w:val="auto"/>
          <w:highlight w:val="none"/>
        </w:rPr>
        <w:fldChar w:fldCharType="end"/>
      </w:r>
    </w:p>
    <w:p w14:paraId="63B4DE62">
      <w:pPr>
        <w:pStyle w:val="19"/>
        <w:tabs>
          <w:tab w:val="right" w:leader="dot" w:pos="9582"/>
        </w:tabs>
      </w:pPr>
      <w:r>
        <w:rPr>
          <w:color w:val="auto"/>
          <w:highlight w:val="none"/>
        </w:rPr>
        <w:fldChar w:fldCharType="begin"/>
      </w:r>
      <w:r>
        <w:rPr>
          <w:highlight w:val="none"/>
        </w:rPr>
        <w:instrText xml:space="preserve"> HYPERLINK \l _Toc1382966029 </w:instrText>
      </w:r>
      <w:r>
        <w:rPr>
          <w:highlight w:val="none"/>
        </w:rPr>
        <w:fldChar w:fldCharType="separate"/>
      </w:r>
      <w:r>
        <w:rPr>
          <w:rFonts w:hint="eastAsia" w:ascii="宋体" w:hAnsi="宋体" w:eastAsia="宋体" w:cs="宋体"/>
          <w:bCs/>
          <w:kern w:val="0"/>
          <w:szCs w:val="21"/>
          <w:highlight w:val="none"/>
        </w:rPr>
        <w:t>《城市供水水质管理规定》案由9项</w:t>
      </w:r>
      <w:r>
        <w:tab/>
      </w:r>
      <w:r>
        <w:fldChar w:fldCharType="begin"/>
      </w:r>
      <w:r>
        <w:instrText xml:space="preserve"> PAGEREF _Toc1382966029 \h </w:instrText>
      </w:r>
      <w:r>
        <w:fldChar w:fldCharType="separate"/>
      </w:r>
      <w:r>
        <w:t>176</w:t>
      </w:r>
      <w:r>
        <w:fldChar w:fldCharType="end"/>
      </w:r>
      <w:r>
        <w:rPr>
          <w:color w:val="auto"/>
          <w:highlight w:val="none"/>
        </w:rPr>
        <w:fldChar w:fldCharType="end"/>
      </w:r>
    </w:p>
    <w:p w14:paraId="4EA5D5A3">
      <w:pPr>
        <w:pStyle w:val="19"/>
        <w:tabs>
          <w:tab w:val="right" w:leader="dot" w:pos="9582"/>
        </w:tabs>
      </w:pPr>
      <w:r>
        <w:rPr>
          <w:color w:val="auto"/>
          <w:highlight w:val="none"/>
        </w:rPr>
        <w:fldChar w:fldCharType="begin"/>
      </w:r>
      <w:r>
        <w:rPr>
          <w:highlight w:val="none"/>
        </w:rPr>
        <w:instrText xml:space="preserve"> HYPERLINK \l _Toc2019562284 </w:instrText>
      </w:r>
      <w:r>
        <w:rPr>
          <w:highlight w:val="none"/>
        </w:rPr>
        <w:fldChar w:fldCharType="separate"/>
      </w:r>
      <w:r>
        <w:rPr>
          <w:rFonts w:hint="eastAsia" w:ascii="宋体" w:hAnsi="宋体" w:eastAsia="宋体" w:cs="宋体"/>
          <w:bCs/>
          <w:kern w:val="0"/>
          <w:szCs w:val="21"/>
          <w:highlight w:val="none"/>
        </w:rPr>
        <w:t>《生活饮用水卫生监督管理办法》案由2项</w:t>
      </w:r>
      <w:r>
        <w:tab/>
      </w:r>
      <w:r>
        <w:fldChar w:fldCharType="begin"/>
      </w:r>
      <w:r>
        <w:instrText xml:space="preserve"> PAGEREF _Toc2019562284 \h </w:instrText>
      </w:r>
      <w:r>
        <w:fldChar w:fldCharType="separate"/>
      </w:r>
      <w:r>
        <w:t>177</w:t>
      </w:r>
      <w:r>
        <w:fldChar w:fldCharType="end"/>
      </w:r>
      <w:r>
        <w:rPr>
          <w:color w:val="auto"/>
          <w:highlight w:val="none"/>
        </w:rPr>
        <w:fldChar w:fldCharType="end"/>
      </w:r>
    </w:p>
    <w:p w14:paraId="2D4D7144">
      <w:pPr>
        <w:pStyle w:val="19"/>
        <w:tabs>
          <w:tab w:val="right" w:leader="dot" w:pos="9582"/>
        </w:tabs>
      </w:pPr>
      <w:r>
        <w:rPr>
          <w:color w:val="auto"/>
          <w:highlight w:val="none"/>
        </w:rPr>
        <w:fldChar w:fldCharType="begin"/>
      </w:r>
      <w:r>
        <w:rPr>
          <w:highlight w:val="none"/>
        </w:rPr>
        <w:instrText xml:space="preserve"> HYPERLINK \l _Toc557454873 </w:instrText>
      </w:r>
      <w:r>
        <w:rPr>
          <w:highlight w:val="none"/>
        </w:rPr>
        <w:fldChar w:fldCharType="separate"/>
      </w:r>
      <w:r>
        <w:rPr>
          <w:rFonts w:hint="eastAsia" w:ascii="宋体" w:hAnsi="宋体" w:eastAsia="宋体" w:cs="宋体"/>
          <w:bCs/>
          <w:kern w:val="0"/>
          <w:szCs w:val="21"/>
          <w:highlight w:val="none"/>
        </w:rPr>
        <w:t>《北京市节水条例》案由7项</w:t>
      </w:r>
      <w:r>
        <w:tab/>
      </w:r>
      <w:r>
        <w:fldChar w:fldCharType="begin"/>
      </w:r>
      <w:r>
        <w:instrText xml:space="preserve"> PAGEREF _Toc557454873 \h </w:instrText>
      </w:r>
      <w:r>
        <w:fldChar w:fldCharType="separate"/>
      </w:r>
      <w:r>
        <w:t>178</w:t>
      </w:r>
      <w:r>
        <w:fldChar w:fldCharType="end"/>
      </w:r>
      <w:r>
        <w:rPr>
          <w:color w:val="auto"/>
          <w:highlight w:val="none"/>
        </w:rPr>
        <w:fldChar w:fldCharType="end"/>
      </w:r>
    </w:p>
    <w:p w14:paraId="620E76BA">
      <w:pPr>
        <w:pStyle w:val="19"/>
        <w:tabs>
          <w:tab w:val="right" w:leader="dot" w:pos="9582"/>
        </w:tabs>
      </w:pPr>
      <w:r>
        <w:rPr>
          <w:color w:val="auto"/>
          <w:highlight w:val="none"/>
        </w:rPr>
        <w:fldChar w:fldCharType="begin"/>
      </w:r>
      <w:r>
        <w:rPr>
          <w:highlight w:val="none"/>
        </w:rPr>
        <w:instrText xml:space="preserve"> HYPERLINK \l _Toc796356177 </w:instrText>
      </w:r>
      <w:r>
        <w:rPr>
          <w:highlight w:val="none"/>
        </w:rPr>
        <w:fldChar w:fldCharType="separate"/>
      </w:r>
      <w:r>
        <w:rPr>
          <w:rFonts w:hint="eastAsia" w:ascii="宋体" w:hAnsi="宋体" w:eastAsia="宋体" w:cs="宋体"/>
          <w:bCs/>
          <w:kern w:val="0"/>
          <w:szCs w:val="21"/>
          <w:highlight w:val="none"/>
        </w:rPr>
        <w:t>《北京市物业管理条例》案由1项</w:t>
      </w:r>
      <w:r>
        <w:tab/>
      </w:r>
      <w:r>
        <w:fldChar w:fldCharType="begin"/>
      </w:r>
      <w:r>
        <w:instrText xml:space="preserve"> PAGEREF _Toc796356177 \h </w:instrText>
      </w:r>
      <w:r>
        <w:fldChar w:fldCharType="separate"/>
      </w:r>
      <w:r>
        <w:t>181</w:t>
      </w:r>
      <w:r>
        <w:fldChar w:fldCharType="end"/>
      </w:r>
      <w:r>
        <w:rPr>
          <w:color w:val="auto"/>
          <w:highlight w:val="none"/>
        </w:rPr>
        <w:fldChar w:fldCharType="end"/>
      </w:r>
    </w:p>
    <w:p w14:paraId="0C1DFC5E">
      <w:pPr>
        <w:pStyle w:val="19"/>
        <w:tabs>
          <w:tab w:val="right" w:leader="dot" w:pos="9582"/>
        </w:tabs>
      </w:pPr>
      <w:r>
        <w:rPr>
          <w:color w:val="auto"/>
          <w:highlight w:val="none"/>
        </w:rPr>
        <w:fldChar w:fldCharType="begin"/>
      </w:r>
      <w:r>
        <w:rPr>
          <w:highlight w:val="none"/>
        </w:rPr>
        <w:instrText xml:space="preserve"> HYPERLINK \l _Toc1968596229 </w:instrText>
      </w:r>
      <w:r>
        <w:rPr>
          <w:highlight w:val="none"/>
        </w:rPr>
        <w:fldChar w:fldCharType="separate"/>
      </w:r>
      <w:r>
        <w:rPr>
          <w:rFonts w:hint="eastAsia" w:ascii="宋体" w:hAnsi="宋体" w:eastAsia="宋体" w:cs="宋体"/>
          <w:bCs/>
          <w:kern w:val="0"/>
          <w:szCs w:val="21"/>
          <w:highlight w:val="none"/>
        </w:rPr>
        <w:t>《北京市城市公共供水管理办法》案由7项</w:t>
      </w:r>
      <w:r>
        <w:tab/>
      </w:r>
      <w:r>
        <w:fldChar w:fldCharType="begin"/>
      </w:r>
      <w:r>
        <w:instrText xml:space="preserve"> PAGEREF _Toc1968596229 \h </w:instrText>
      </w:r>
      <w:r>
        <w:fldChar w:fldCharType="separate"/>
      </w:r>
      <w:r>
        <w:t>182</w:t>
      </w:r>
      <w:r>
        <w:fldChar w:fldCharType="end"/>
      </w:r>
      <w:r>
        <w:rPr>
          <w:color w:val="auto"/>
          <w:highlight w:val="none"/>
        </w:rPr>
        <w:fldChar w:fldCharType="end"/>
      </w:r>
    </w:p>
    <w:p w14:paraId="7C2B7C17">
      <w:pPr>
        <w:pStyle w:val="19"/>
        <w:tabs>
          <w:tab w:val="right" w:leader="dot" w:pos="9582"/>
        </w:tabs>
      </w:pPr>
      <w:r>
        <w:rPr>
          <w:color w:val="auto"/>
          <w:highlight w:val="none"/>
        </w:rPr>
        <w:fldChar w:fldCharType="begin"/>
      </w:r>
      <w:r>
        <w:rPr>
          <w:highlight w:val="none"/>
        </w:rPr>
        <w:instrText xml:space="preserve"> HYPERLINK \l _Toc179586356 </w:instrText>
      </w:r>
      <w:r>
        <w:rPr>
          <w:highlight w:val="none"/>
        </w:rPr>
        <w:fldChar w:fldCharType="separate"/>
      </w:r>
      <w:r>
        <w:rPr>
          <w:rFonts w:hint="eastAsia" w:ascii="宋体" w:hAnsi="宋体" w:eastAsia="宋体" w:cs="宋体"/>
          <w:bCs/>
          <w:kern w:val="0"/>
          <w:szCs w:val="21"/>
          <w:highlight w:val="none"/>
        </w:rPr>
        <w:t>《北京市自建设施供水管理办法》《城市供水条例》案由3项</w:t>
      </w:r>
      <w:r>
        <w:tab/>
      </w:r>
      <w:r>
        <w:fldChar w:fldCharType="begin"/>
      </w:r>
      <w:r>
        <w:instrText xml:space="preserve"> PAGEREF _Toc179586356 \h </w:instrText>
      </w:r>
      <w:r>
        <w:fldChar w:fldCharType="separate"/>
      </w:r>
      <w:r>
        <w:t>184</w:t>
      </w:r>
      <w:r>
        <w:fldChar w:fldCharType="end"/>
      </w:r>
      <w:r>
        <w:rPr>
          <w:color w:val="auto"/>
          <w:highlight w:val="none"/>
        </w:rPr>
        <w:fldChar w:fldCharType="end"/>
      </w:r>
    </w:p>
    <w:p w14:paraId="204A3053">
      <w:pPr>
        <w:pStyle w:val="17"/>
        <w:tabs>
          <w:tab w:val="right" w:leader="dot" w:pos="9582"/>
        </w:tabs>
      </w:pPr>
      <w:r>
        <w:rPr>
          <w:color w:val="auto"/>
          <w:highlight w:val="none"/>
        </w:rPr>
        <w:fldChar w:fldCharType="begin"/>
      </w:r>
      <w:r>
        <w:rPr>
          <w:highlight w:val="none"/>
        </w:rPr>
        <w:instrText xml:space="preserve"> HYPERLINK \l _Toc1153934318 </w:instrText>
      </w:r>
      <w:r>
        <w:rPr>
          <w:highlight w:val="none"/>
        </w:rPr>
        <w:fldChar w:fldCharType="separate"/>
      </w:r>
      <w:r>
        <w:rPr>
          <w:rFonts w:hint="eastAsia" w:ascii="黑体" w:hAnsi="黑体" w:eastAsia="黑体" w:cs="黑体"/>
          <w:kern w:val="0"/>
          <w:szCs w:val="28"/>
          <w:highlight w:val="none"/>
        </w:rPr>
        <w:t>水环境管理方面</w:t>
      </w:r>
      <w:r>
        <w:tab/>
      </w:r>
      <w:r>
        <w:fldChar w:fldCharType="begin"/>
      </w:r>
      <w:r>
        <w:instrText xml:space="preserve"> PAGEREF _Toc1153934318 \h </w:instrText>
      </w:r>
      <w:r>
        <w:fldChar w:fldCharType="separate"/>
      </w:r>
      <w:r>
        <w:t>185</w:t>
      </w:r>
      <w:r>
        <w:fldChar w:fldCharType="end"/>
      </w:r>
      <w:r>
        <w:rPr>
          <w:color w:val="auto"/>
          <w:highlight w:val="none"/>
        </w:rPr>
        <w:fldChar w:fldCharType="end"/>
      </w:r>
    </w:p>
    <w:p w14:paraId="43423B28">
      <w:pPr>
        <w:pStyle w:val="19"/>
        <w:tabs>
          <w:tab w:val="right" w:leader="dot" w:pos="9582"/>
        </w:tabs>
      </w:pPr>
      <w:r>
        <w:rPr>
          <w:color w:val="auto"/>
          <w:highlight w:val="none"/>
        </w:rPr>
        <w:fldChar w:fldCharType="begin"/>
      </w:r>
      <w:r>
        <w:rPr>
          <w:highlight w:val="none"/>
        </w:rPr>
        <w:instrText xml:space="preserve"> HYPERLINK \l _Toc57819779 </w:instrText>
      </w:r>
      <w:r>
        <w:rPr>
          <w:highlight w:val="none"/>
        </w:rPr>
        <w:fldChar w:fldCharType="separate"/>
      </w:r>
      <w:r>
        <w:rPr>
          <w:rFonts w:hint="eastAsia" w:ascii="宋体" w:hAnsi="宋体" w:eastAsia="宋体" w:cs="宋体"/>
          <w:bCs/>
          <w:kern w:val="0"/>
          <w:szCs w:val="21"/>
          <w:highlight w:val="none"/>
        </w:rPr>
        <w:t>《中华人民共和国防洪法》《中华人民共和国水法》《北京市河湖保护管理条例》案由2项</w:t>
      </w:r>
      <w:r>
        <w:tab/>
      </w:r>
      <w:r>
        <w:fldChar w:fldCharType="begin"/>
      </w:r>
      <w:r>
        <w:instrText xml:space="preserve"> PAGEREF _Toc57819779 \h </w:instrText>
      </w:r>
      <w:r>
        <w:fldChar w:fldCharType="separate"/>
      </w:r>
      <w:r>
        <w:t>185</w:t>
      </w:r>
      <w:r>
        <w:fldChar w:fldCharType="end"/>
      </w:r>
      <w:r>
        <w:rPr>
          <w:color w:val="auto"/>
          <w:highlight w:val="none"/>
        </w:rPr>
        <w:fldChar w:fldCharType="end"/>
      </w:r>
    </w:p>
    <w:p w14:paraId="05DAA28A">
      <w:pPr>
        <w:pStyle w:val="19"/>
        <w:tabs>
          <w:tab w:val="right" w:leader="dot" w:pos="9582"/>
        </w:tabs>
      </w:pPr>
      <w:r>
        <w:rPr>
          <w:color w:val="auto"/>
          <w:highlight w:val="none"/>
        </w:rPr>
        <w:fldChar w:fldCharType="begin"/>
      </w:r>
      <w:r>
        <w:rPr>
          <w:highlight w:val="none"/>
        </w:rPr>
        <w:instrText xml:space="preserve"> HYPERLINK \l _Toc654401249 </w:instrText>
      </w:r>
      <w:r>
        <w:rPr>
          <w:highlight w:val="none"/>
        </w:rPr>
        <w:fldChar w:fldCharType="separate"/>
      </w:r>
      <w:r>
        <w:rPr>
          <w:rFonts w:hint="eastAsia" w:ascii="宋体" w:hAnsi="宋体" w:eastAsia="宋体" w:cs="宋体"/>
          <w:bCs/>
          <w:kern w:val="0"/>
          <w:szCs w:val="21"/>
          <w:highlight w:val="none"/>
        </w:rPr>
        <w:t>《中华人民共和国水污染防治法》案由1项</w:t>
      </w:r>
      <w:r>
        <w:tab/>
      </w:r>
      <w:r>
        <w:fldChar w:fldCharType="begin"/>
      </w:r>
      <w:r>
        <w:instrText xml:space="preserve"> PAGEREF _Toc654401249 \h </w:instrText>
      </w:r>
      <w:r>
        <w:fldChar w:fldCharType="separate"/>
      </w:r>
      <w:r>
        <w:t>186</w:t>
      </w:r>
      <w:r>
        <w:fldChar w:fldCharType="end"/>
      </w:r>
      <w:r>
        <w:rPr>
          <w:color w:val="auto"/>
          <w:highlight w:val="none"/>
        </w:rPr>
        <w:fldChar w:fldCharType="end"/>
      </w:r>
    </w:p>
    <w:p w14:paraId="35F41EEB">
      <w:pPr>
        <w:pStyle w:val="19"/>
        <w:tabs>
          <w:tab w:val="right" w:leader="dot" w:pos="9582"/>
        </w:tabs>
      </w:pPr>
      <w:r>
        <w:rPr>
          <w:color w:val="auto"/>
          <w:highlight w:val="none"/>
        </w:rPr>
        <w:fldChar w:fldCharType="begin"/>
      </w:r>
      <w:r>
        <w:rPr>
          <w:highlight w:val="none"/>
        </w:rPr>
        <w:instrText xml:space="preserve"> HYPERLINK \l _Toc1797160040 </w:instrText>
      </w:r>
      <w:r>
        <w:rPr>
          <w:highlight w:val="none"/>
        </w:rPr>
        <w:fldChar w:fldCharType="separate"/>
      </w:r>
      <w:r>
        <w:rPr>
          <w:rFonts w:hint="eastAsia" w:ascii="宋体" w:hAnsi="宋体" w:eastAsia="宋体" w:cs="宋体"/>
          <w:bCs/>
          <w:kern w:val="0"/>
          <w:szCs w:val="21"/>
          <w:highlight w:val="none"/>
        </w:rPr>
        <w:t>《中华人民共和国河道管理条例》《北京市河湖保护管理条例》案由2项</w:t>
      </w:r>
      <w:r>
        <w:tab/>
      </w:r>
      <w:r>
        <w:fldChar w:fldCharType="begin"/>
      </w:r>
      <w:r>
        <w:instrText xml:space="preserve"> PAGEREF _Toc1797160040 \h </w:instrText>
      </w:r>
      <w:r>
        <w:fldChar w:fldCharType="separate"/>
      </w:r>
      <w:r>
        <w:t>186</w:t>
      </w:r>
      <w:r>
        <w:fldChar w:fldCharType="end"/>
      </w:r>
      <w:r>
        <w:rPr>
          <w:color w:val="auto"/>
          <w:highlight w:val="none"/>
        </w:rPr>
        <w:fldChar w:fldCharType="end"/>
      </w:r>
    </w:p>
    <w:p w14:paraId="429D765F">
      <w:pPr>
        <w:pStyle w:val="19"/>
        <w:tabs>
          <w:tab w:val="right" w:leader="dot" w:pos="9582"/>
        </w:tabs>
      </w:pPr>
      <w:r>
        <w:rPr>
          <w:color w:val="auto"/>
          <w:highlight w:val="none"/>
        </w:rPr>
        <w:fldChar w:fldCharType="begin"/>
      </w:r>
      <w:r>
        <w:rPr>
          <w:highlight w:val="none"/>
        </w:rPr>
        <w:instrText xml:space="preserve"> HYPERLINK \l _Toc1248927184 </w:instrText>
      </w:r>
      <w:r>
        <w:rPr>
          <w:highlight w:val="none"/>
        </w:rPr>
        <w:fldChar w:fldCharType="separate"/>
      </w:r>
      <w:r>
        <w:rPr>
          <w:rFonts w:hint="eastAsia" w:ascii="宋体" w:hAnsi="宋体" w:eastAsia="宋体" w:cs="宋体"/>
          <w:bCs/>
          <w:kern w:val="0"/>
          <w:szCs w:val="21"/>
          <w:highlight w:val="none"/>
        </w:rPr>
        <w:t>《公路安全保护条例》案由1项</w:t>
      </w:r>
      <w:r>
        <w:tab/>
      </w:r>
      <w:r>
        <w:fldChar w:fldCharType="begin"/>
      </w:r>
      <w:r>
        <w:instrText xml:space="preserve"> PAGEREF _Toc1248927184 \h </w:instrText>
      </w:r>
      <w:r>
        <w:fldChar w:fldCharType="separate"/>
      </w:r>
      <w:r>
        <w:t>186</w:t>
      </w:r>
      <w:r>
        <w:fldChar w:fldCharType="end"/>
      </w:r>
      <w:r>
        <w:rPr>
          <w:color w:val="auto"/>
          <w:highlight w:val="none"/>
        </w:rPr>
        <w:fldChar w:fldCharType="end"/>
      </w:r>
    </w:p>
    <w:p w14:paraId="758BC1D7">
      <w:pPr>
        <w:pStyle w:val="19"/>
        <w:tabs>
          <w:tab w:val="right" w:leader="dot" w:pos="9582"/>
        </w:tabs>
      </w:pPr>
      <w:r>
        <w:rPr>
          <w:color w:val="auto"/>
          <w:highlight w:val="none"/>
        </w:rPr>
        <w:fldChar w:fldCharType="begin"/>
      </w:r>
      <w:r>
        <w:rPr>
          <w:highlight w:val="none"/>
        </w:rPr>
        <w:instrText xml:space="preserve"> HYPERLINK \l _Toc773120676 </w:instrText>
      </w:r>
      <w:r>
        <w:rPr>
          <w:highlight w:val="none"/>
        </w:rPr>
        <w:fldChar w:fldCharType="separate"/>
      </w:r>
      <w:r>
        <w:rPr>
          <w:rFonts w:hint="eastAsia" w:ascii="宋体" w:hAnsi="宋体" w:eastAsia="宋体" w:cs="宋体"/>
          <w:bCs/>
          <w:kern w:val="0"/>
          <w:szCs w:val="21"/>
          <w:highlight w:val="none"/>
        </w:rPr>
        <w:t>《北京市河湖保护管理条例》案由4项</w:t>
      </w:r>
      <w:r>
        <w:tab/>
      </w:r>
      <w:r>
        <w:fldChar w:fldCharType="begin"/>
      </w:r>
      <w:r>
        <w:instrText xml:space="preserve"> PAGEREF _Toc773120676 \h </w:instrText>
      </w:r>
      <w:r>
        <w:fldChar w:fldCharType="separate"/>
      </w:r>
      <w:r>
        <w:t>187</w:t>
      </w:r>
      <w:r>
        <w:fldChar w:fldCharType="end"/>
      </w:r>
      <w:r>
        <w:rPr>
          <w:color w:val="auto"/>
          <w:highlight w:val="none"/>
        </w:rPr>
        <w:fldChar w:fldCharType="end"/>
      </w:r>
    </w:p>
    <w:p w14:paraId="728143D8">
      <w:pPr>
        <w:pStyle w:val="19"/>
        <w:tabs>
          <w:tab w:val="right" w:leader="dot" w:pos="9582"/>
        </w:tabs>
      </w:pPr>
      <w:r>
        <w:rPr>
          <w:color w:val="auto"/>
          <w:highlight w:val="none"/>
        </w:rPr>
        <w:fldChar w:fldCharType="begin"/>
      </w:r>
      <w:r>
        <w:rPr>
          <w:highlight w:val="none"/>
        </w:rPr>
        <w:instrText xml:space="preserve"> HYPERLINK \l _Toc933466885 </w:instrText>
      </w:r>
      <w:r>
        <w:rPr>
          <w:highlight w:val="none"/>
        </w:rPr>
        <w:fldChar w:fldCharType="separate"/>
      </w:r>
      <w:r>
        <w:rPr>
          <w:rFonts w:hint="eastAsia" w:ascii="宋体" w:hAnsi="宋体" w:eastAsia="宋体" w:cs="宋体"/>
          <w:bCs/>
          <w:kern w:val="0"/>
          <w:szCs w:val="21"/>
          <w:highlight w:val="none"/>
        </w:rPr>
        <w:t>《北京市湿地保护条例》案由8项</w:t>
      </w:r>
      <w:r>
        <w:tab/>
      </w:r>
      <w:r>
        <w:fldChar w:fldCharType="begin"/>
      </w:r>
      <w:r>
        <w:instrText xml:space="preserve"> PAGEREF _Toc933466885 \h </w:instrText>
      </w:r>
      <w:r>
        <w:fldChar w:fldCharType="separate"/>
      </w:r>
      <w:r>
        <w:t>188</w:t>
      </w:r>
      <w:r>
        <w:fldChar w:fldCharType="end"/>
      </w:r>
      <w:r>
        <w:rPr>
          <w:color w:val="auto"/>
          <w:highlight w:val="none"/>
        </w:rPr>
        <w:fldChar w:fldCharType="end"/>
      </w:r>
    </w:p>
    <w:p w14:paraId="018D5A08">
      <w:pPr>
        <w:pStyle w:val="19"/>
        <w:tabs>
          <w:tab w:val="right" w:leader="dot" w:pos="9582"/>
        </w:tabs>
      </w:pPr>
      <w:r>
        <w:rPr>
          <w:color w:val="auto"/>
          <w:highlight w:val="none"/>
        </w:rPr>
        <w:fldChar w:fldCharType="begin"/>
      </w:r>
      <w:r>
        <w:rPr>
          <w:highlight w:val="none"/>
        </w:rPr>
        <w:instrText xml:space="preserve"> HYPERLINK \l _Toc1312199602 </w:instrText>
      </w:r>
      <w:r>
        <w:rPr>
          <w:highlight w:val="none"/>
        </w:rPr>
        <w:fldChar w:fldCharType="separate"/>
      </w:r>
      <w:r>
        <w:rPr>
          <w:rFonts w:hint="eastAsia" w:ascii="宋体" w:hAnsi="宋体" w:eastAsia="宋体" w:cs="宋体"/>
          <w:bCs/>
          <w:kern w:val="0"/>
          <w:szCs w:val="21"/>
          <w:highlight w:val="none"/>
        </w:rPr>
        <w:t>《北京市水污染防治条例》案由2项</w:t>
      </w:r>
      <w:r>
        <w:tab/>
      </w:r>
      <w:r>
        <w:fldChar w:fldCharType="begin"/>
      </w:r>
      <w:r>
        <w:instrText xml:space="preserve"> PAGEREF _Toc1312199602 \h </w:instrText>
      </w:r>
      <w:r>
        <w:fldChar w:fldCharType="separate"/>
      </w:r>
      <w:r>
        <w:t>193</w:t>
      </w:r>
      <w:r>
        <w:fldChar w:fldCharType="end"/>
      </w:r>
      <w:r>
        <w:rPr>
          <w:color w:val="auto"/>
          <w:highlight w:val="none"/>
        </w:rPr>
        <w:fldChar w:fldCharType="end"/>
      </w:r>
    </w:p>
    <w:p w14:paraId="31DB4B72">
      <w:pPr>
        <w:pStyle w:val="17"/>
        <w:tabs>
          <w:tab w:val="right" w:leader="dot" w:pos="9582"/>
        </w:tabs>
      </w:pPr>
      <w:r>
        <w:rPr>
          <w:color w:val="auto"/>
          <w:highlight w:val="none"/>
        </w:rPr>
        <w:fldChar w:fldCharType="begin"/>
      </w:r>
      <w:r>
        <w:rPr>
          <w:highlight w:val="none"/>
        </w:rPr>
        <w:instrText xml:space="preserve"> HYPERLINK \l _Toc895443353 </w:instrText>
      </w:r>
      <w:r>
        <w:rPr>
          <w:highlight w:val="none"/>
        </w:rPr>
        <w:fldChar w:fldCharType="separate"/>
      </w:r>
      <w:r>
        <w:rPr>
          <w:rFonts w:hint="eastAsia" w:ascii="黑体" w:hAnsi="黑体" w:eastAsia="黑体" w:cs="黑体"/>
          <w:kern w:val="0"/>
          <w:szCs w:val="28"/>
          <w:highlight w:val="none"/>
        </w:rPr>
        <w:t>水土保持管理方面</w:t>
      </w:r>
      <w:r>
        <w:tab/>
      </w:r>
      <w:r>
        <w:fldChar w:fldCharType="begin"/>
      </w:r>
      <w:r>
        <w:instrText xml:space="preserve"> PAGEREF _Toc895443353 \h </w:instrText>
      </w:r>
      <w:r>
        <w:fldChar w:fldCharType="separate"/>
      </w:r>
      <w:r>
        <w:t>193</w:t>
      </w:r>
      <w:r>
        <w:fldChar w:fldCharType="end"/>
      </w:r>
      <w:r>
        <w:rPr>
          <w:color w:val="auto"/>
          <w:highlight w:val="none"/>
        </w:rPr>
        <w:fldChar w:fldCharType="end"/>
      </w:r>
    </w:p>
    <w:p w14:paraId="72A79276">
      <w:pPr>
        <w:pStyle w:val="19"/>
        <w:tabs>
          <w:tab w:val="right" w:leader="dot" w:pos="9582"/>
        </w:tabs>
      </w:pPr>
      <w:r>
        <w:rPr>
          <w:color w:val="auto"/>
          <w:highlight w:val="none"/>
        </w:rPr>
        <w:fldChar w:fldCharType="begin"/>
      </w:r>
      <w:r>
        <w:rPr>
          <w:highlight w:val="none"/>
        </w:rPr>
        <w:instrText xml:space="preserve"> HYPERLINK \l _Toc1182701798 </w:instrText>
      </w:r>
      <w:r>
        <w:rPr>
          <w:highlight w:val="none"/>
        </w:rPr>
        <w:fldChar w:fldCharType="separate"/>
      </w:r>
      <w:r>
        <w:rPr>
          <w:rFonts w:hint="eastAsia" w:ascii="宋体" w:hAnsi="宋体" w:eastAsia="宋体" w:cs="宋体"/>
          <w:bCs/>
          <w:kern w:val="0"/>
          <w:szCs w:val="21"/>
          <w:highlight w:val="none"/>
        </w:rPr>
        <w:t>《中华人民共和国水土保持法》案由9项</w:t>
      </w:r>
      <w:r>
        <w:tab/>
      </w:r>
      <w:r>
        <w:fldChar w:fldCharType="begin"/>
      </w:r>
      <w:r>
        <w:instrText xml:space="preserve"> PAGEREF _Toc1182701798 \h </w:instrText>
      </w:r>
      <w:r>
        <w:fldChar w:fldCharType="separate"/>
      </w:r>
      <w:r>
        <w:t>193</w:t>
      </w:r>
      <w:r>
        <w:fldChar w:fldCharType="end"/>
      </w:r>
      <w:r>
        <w:rPr>
          <w:color w:val="auto"/>
          <w:highlight w:val="none"/>
        </w:rPr>
        <w:fldChar w:fldCharType="end"/>
      </w:r>
    </w:p>
    <w:p w14:paraId="36CFBEDB">
      <w:pPr>
        <w:pStyle w:val="19"/>
        <w:tabs>
          <w:tab w:val="right" w:leader="dot" w:pos="9582"/>
        </w:tabs>
      </w:pPr>
      <w:r>
        <w:rPr>
          <w:color w:val="auto"/>
          <w:highlight w:val="none"/>
        </w:rPr>
        <w:fldChar w:fldCharType="begin"/>
      </w:r>
      <w:r>
        <w:rPr>
          <w:highlight w:val="none"/>
        </w:rPr>
        <w:instrText xml:space="preserve"> HYPERLINK \l _Toc1836068036 </w:instrText>
      </w:r>
      <w:r>
        <w:rPr>
          <w:highlight w:val="none"/>
        </w:rPr>
        <w:fldChar w:fldCharType="separate"/>
      </w:r>
      <w:r>
        <w:rPr>
          <w:rFonts w:hint="eastAsia" w:ascii="宋体" w:hAnsi="宋体" w:eastAsia="宋体" w:cs="宋体"/>
          <w:bCs/>
          <w:kern w:val="0"/>
          <w:szCs w:val="21"/>
          <w:highlight w:val="none"/>
        </w:rPr>
        <w:t>《北京市水土保持条例》案由9项</w:t>
      </w:r>
      <w:r>
        <w:tab/>
      </w:r>
      <w:r>
        <w:fldChar w:fldCharType="begin"/>
      </w:r>
      <w:r>
        <w:instrText xml:space="preserve"> PAGEREF _Toc1836068036 \h </w:instrText>
      </w:r>
      <w:r>
        <w:fldChar w:fldCharType="separate"/>
      </w:r>
      <w:r>
        <w:t>196</w:t>
      </w:r>
      <w:r>
        <w:fldChar w:fldCharType="end"/>
      </w:r>
      <w:r>
        <w:rPr>
          <w:color w:val="auto"/>
          <w:highlight w:val="none"/>
        </w:rPr>
        <w:fldChar w:fldCharType="end"/>
      </w:r>
    </w:p>
    <w:p w14:paraId="026BEFD8">
      <w:pPr>
        <w:pStyle w:val="17"/>
        <w:tabs>
          <w:tab w:val="right" w:leader="dot" w:pos="9582"/>
        </w:tabs>
      </w:pPr>
      <w:r>
        <w:rPr>
          <w:color w:val="auto"/>
          <w:highlight w:val="none"/>
        </w:rPr>
        <w:fldChar w:fldCharType="begin"/>
      </w:r>
      <w:r>
        <w:rPr>
          <w:highlight w:val="none"/>
        </w:rPr>
        <w:instrText xml:space="preserve"> HYPERLINK \l _Toc1762195202 </w:instrText>
      </w:r>
      <w:r>
        <w:rPr>
          <w:highlight w:val="none"/>
        </w:rPr>
        <w:fldChar w:fldCharType="separate"/>
      </w:r>
      <w:r>
        <w:rPr>
          <w:rFonts w:hint="eastAsia" w:ascii="黑体" w:hAnsi="黑体" w:eastAsia="黑体" w:cs="黑体"/>
          <w:kern w:val="0"/>
          <w:szCs w:val="28"/>
          <w:highlight w:val="none"/>
        </w:rPr>
        <w:t>水工程运行管理方面</w:t>
      </w:r>
      <w:r>
        <w:tab/>
      </w:r>
      <w:r>
        <w:fldChar w:fldCharType="begin"/>
      </w:r>
      <w:r>
        <w:instrText xml:space="preserve"> PAGEREF _Toc1762195202 \h </w:instrText>
      </w:r>
      <w:r>
        <w:fldChar w:fldCharType="separate"/>
      </w:r>
      <w:r>
        <w:t>198</w:t>
      </w:r>
      <w:r>
        <w:fldChar w:fldCharType="end"/>
      </w:r>
      <w:r>
        <w:rPr>
          <w:color w:val="auto"/>
          <w:highlight w:val="none"/>
        </w:rPr>
        <w:fldChar w:fldCharType="end"/>
      </w:r>
    </w:p>
    <w:p w14:paraId="432E59AC">
      <w:pPr>
        <w:pStyle w:val="19"/>
        <w:tabs>
          <w:tab w:val="right" w:leader="dot" w:pos="9582"/>
        </w:tabs>
      </w:pPr>
      <w:r>
        <w:rPr>
          <w:color w:val="auto"/>
          <w:highlight w:val="none"/>
        </w:rPr>
        <w:fldChar w:fldCharType="begin"/>
      </w:r>
      <w:r>
        <w:rPr>
          <w:highlight w:val="none"/>
        </w:rPr>
        <w:instrText xml:space="preserve"> HYPERLINK \l _Toc165216269 </w:instrText>
      </w:r>
      <w:r>
        <w:rPr>
          <w:highlight w:val="none"/>
        </w:rPr>
        <w:fldChar w:fldCharType="separate"/>
      </w:r>
      <w:r>
        <w:rPr>
          <w:rFonts w:hint="eastAsia" w:ascii="宋体" w:hAnsi="宋体" w:eastAsia="宋体" w:cs="宋体"/>
          <w:bCs/>
          <w:kern w:val="0"/>
          <w:szCs w:val="21"/>
          <w:highlight w:val="none"/>
        </w:rPr>
        <w:t>《中华人民共和国水法》《中华人民共和国河道管理条例》《南水北调工程供用水管理条例》案由10项</w:t>
      </w:r>
      <w:r>
        <w:tab/>
      </w:r>
      <w:r>
        <w:fldChar w:fldCharType="begin"/>
      </w:r>
      <w:r>
        <w:instrText xml:space="preserve"> PAGEREF _Toc165216269 \h </w:instrText>
      </w:r>
      <w:r>
        <w:fldChar w:fldCharType="separate"/>
      </w:r>
      <w:r>
        <w:t>198</w:t>
      </w:r>
      <w:r>
        <w:fldChar w:fldCharType="end"/>
      </w:r>
      <w:r>
        <w:rPr>
          <w:color w:val="auto"/>
          <w:highlight w:val="none"/>
        </w:rPr>
        <w:fldChar w:fldCharType="end"/>
      </w:r>
    </w:p>
    <w:p w14:paraId="4E699DBC">
      <w:pPr>
        <w:pStyle w:val="19"/>
        <w:tabs>
          <w:tab w:val="right" w:leader="dot" w:pos="9582"/>
        </w:tabs>
      </w:pPr>
      <w:r>
        <w:rPr>
          <w:color w:val="auto"/>
          <w:highlight w:val="none"/>
        </w:rPr>
        <w:fldChar w:fldCharType="begin"/>
      </w:r>
      <w:r>
        <w:rPr>
          <w:highlight w:val="none"/>
        </w:rPr>
        <w:instrText xml:space="preserve"> HYPERLINK \l _Toc485325612 </w:instrText>
      </w:r>
      <w:r>
        <w:rPr>
          <w:highlight w:val="none"/>
        </w:rPr>
        <w:fldChar w:fldCharType="separate"/>
      </w:r>
      <w:r>
        <w:rPr>
          <w:rFonts w:hint="eastAsia" w:ascii="宋体" w:hAnsi="宋体" w:eastAsia="宋体" w:cs="宋体"/>
          <w:bCs/>
          <w:kern w:val="0"/>
          <w:szCs w:val="21"/>
          <w:highlight w:val="none"/>
        </w:rPr>
        <w:t>《中华人民共和国防洪法》案由7项</w:t>
      </w:r>
      <w:r>
        <w:tab/>
      </w:r>
      <w:r>
        <w:fldChar w:fldCharType="begin"/>
      </w:r>
      <w:r>
        <w:instrText xml:space="preserve"> PAGEREF _Toc485325612 \h </w:instrText>
      </w:r>
      <w:r>
        <w:fldChar w:fldCharType="separate"/>
      </w:r>
      <w:r>
        <w:t>201</w:t>
      </w:r>
      <w:r>
        <w:fldChar w:fldCharType="end"/>
      </w:r>
      <w:r>
        <w:rPr>
          <w:color w:val="auto"/>
          <w:highlight w:val="none"/>
        </w:rPr>
        <w:fldChar w:fldCharType="end"/>
      </w:r>
    </w:p>
    <w:p w14:paraId="0F5EA58C">
      <w:pPr>
        <w:pStyle w:val="19"/>
        <w:tabs>
          <w:tab w:val="right" w:leader="dot" w:pos="9582"/>
        </w:tabs>
      </w:pPr>
      <w:r>
        <w:rPr>
          <w:color w:val="auto"/>
          <w:highlight w:val="none"/>
        </w:rPr>
        <w:fldChar w:fldCharType="begin"/>
      </w:r>
      <w:r>
        <w:rPr>
          <w:highlight w:val="none"/>
        </w:rPr>
        <w:instrText xml:space="preserve"> HYPERLINK \l _Toc1484818321 </w:instrText>
      </w:r>
      <w:r>
        <w:rPr>
          <w:highlight w:val="none"/>
        </w:rPr>
        <w:fldChar w:fldCharType="separate"/>
      </w:r>
      <w:r>
        <w:rPr>
          <w:rFonts w:hint="eastAsia" w:ascii="宋体" w:hAnsi="宋体" w:eastAsia="宋体" w:cs="宋体"/>
          <w:bCs/>
          <w:kern w:val="0"/>
          <w:szCs w:val="21"/>
          <w:highlight w:val="none"/>
        </w:rPr>
        <w:t>《中华人民共和国河道管理条例》案由1项</w:t>
      </w:r>
      <w:r>
        <w:tab/>
      </w:r>
      <w:r>
        <w:fldChar w:fldCharType="begin"/>
      </w:r>
      <w:r>
        <w:instrText xml:space="preserve"> PAGEREF _Toc1484818321 \h </w:instrText>
      </w:r>
      <w:r>
        <w:fldChar w:fldCharType="separate"/>
      </w:r>
      <w:r>
        <w:t>202</w:t>
      </w:r>
      <w:r>
        <w:fldChar w:fldCharType="end"/>
      </w:r>
      <w:r>
        <w:rPr>
          <w:color w:val="auto"/>
          <w:highlight w:val="none"/>
        </w:rPr>
        <w:fldChar w:fldCharType="end"/>
      </w:r>
    </w:p>
    <w:p w14:paraId="1712E30E">
      <w:pPr>
        <w:pStyle w:val="19"/>
        <w:tabs>
          <w:tab w:val="right" w:leader="dot" w:pos="9582"/>
        </w:tabs>
      </w:pPr>
      <w:r>
        <w:rPr>
          <w:color w:val="auto"/>
          <w:highlight w:val="none"/>
        </w:rPr>
        <w:fldChar w:fldCharType="begin"/>
      </w:r>
      <w:r>
        <w:rPr>
          <w:highlight w:val="none"/>
        </w:rPr>
        <w:instrText xml:space="preserve"> HYPERLINK \l _Toc612642073 </w:instrText>
      </w:r>
      <w:r>
        <w:rPr>
          <w:highlight w:val="none"/>
        </w:rPr>
        <w:fldChar w:fldCharType="separate"/>
      </w:r>
      <w:r>
        <w:rPr>
          <w:rFonts w:hint="eastAsia" w:ascii="宋体" w:hAnsi="宋体" w:eastAsia="宋体" w:cs="宋体"/>
          <w:bCs/>
          <w:kern w:val="0"/>
          <w:szCs w:val="21"/>
          <w:highlight w:val="none"/>
        </w:rPr>
        <w:t>《水库大坝注册登记办法》案由1项</w:t>
      </w:r>
      <w:r>
        <w:tab/>
      </w:r>
      <w:r>
        <w:fldChar w:fldCharType="begin"/>
      </w:r>
      <w:r>
        <w:instrText xml:space="preserve"> PAGEREF _Toc612642073 \h </w:instrText>
      </w:r>
      <w:r>
        <w:fldChar w:fldCharType="separate"/>
      </w:r>
      <w:r>
        <w:t>203</w:t>
      </w:r>
      <w:r>
        <w:fldChar w:fldCharType="end"/>
      </w:r>
      <w:r>
        <w:rPr>
          <w:color w:val="auto"/>
          <w:highlight w:val="none"/>
        </w:rPr>
        <w:fldChar w:fldCharType="end"/>
      </w:r>
    </w:p>
    <w:p w14:paraId="1EA5AFE4">
      <w:pPr>
        <w:pStyle w:val="19"/>
        <w:tabs>
          <w:tab w:val="right" w:leader="dot" w:pos="9582"/>
        </w:tabs>
      </w:pPr>
      <w:r>
        <w:rPr>
          <w:color w:val="auto"/>
          <w:highlight w:val="none"/>
        </w:rPr>
        <w:fldChar w:fldCharType="begin"/>
      </w:r>
      <w:r>
        <w:rPr>
          <w:highlight w:val="none"/>
        </w:rPr>
        <w:instrText xml:space="preserve"> HYPERLINK \l _Toc1278537336 </w:instrText>
      </w:r>
      <w:r>
        <w:rPr>
          <w:highlight w:val="none"/>
        </w:rPr>
        <w:fldChar w:fldCharType="separate"/>
      </w:r>
      <w:r>
        <w:rPr>
          <w:rFonts w:hint="eastAsia" w:ascii="宋体" w:hAnsi="宋体" w:eastAsia="宋体" w:cs="宋体"/>
          <w:bCs/>
          <w:kern w:val="0"/>
          <w:szCs w:val="21"/>
          <w:highlight w:val="none"/>
        </w:rPr>
        <w:t>《北京市河湖保护管理条例》《中华人民共和国河道管理条例》案由10项</w:t>
      </w:r>
      <w:r>
        <w:tab/>
      </w:r>
      <w:r>
        <w:fldChar w:fldCharType="begin"/>
      </w:r>
      <w:r>
        <w:instrText xml:space="preserve"> PAGEREF _Toc1278537336 \h </w:instrText>
      </w:r>
      <w:r>
        <w:fldChar w:fldCharType="separate"/>
      </w:r>
      <w:r>
        <w:t>203</w:t>
      </w:r>
      <w:r>
        <w:fldChar w:fldCharType="end"/>
      </w:r>
      <w:r>
        <w:rPr>
          <w:color w:val="auto"/>
          <w:highlight w:val="none"/>
        </w:rPr>
        <w:fldChar w:fldCharType="end"/>
      </w:r>
    </w:p>
    <w:p w14:paraId="4D1C07D0">
      <w:pPr>
        <w:pStyle w:val="19"/>
        <w:tabs>
          <w:tab w:val="right" w:leader="dot" w:pos="9582"/>
        </w:tabs>
      </w:pPr>
      <w:r>
        <w:rPr>
          <w:color w:val="auto"/>
          <w:highlight w:val="none"/>
        </w:rPr>
        <w:fldChar w:fldCharType="begin"/>
      </w:r>
      <w:r>
        <w:rPr>
          <w:highlight w:val="none"/>
        </w:rPr>
        <w:instrText xml:space="preserve"> HYPERLINK \l _Toc666852362 </w:instrText>
      </w:r>
      <w:r>
        <w:rPr>
          <w:highlight w:val="none"/>
        </w:rPr>
        <w:fldChar w:fldCharType="separate"/>
      </w:r>
      <w:r>
        <w:rPr>
          <w:rFonts w:hint="eastAsia" w:ascii="宋体" w:hAnsi="宋体" w:eastAsia="宋体" w:cs="宋体"/>
          <w:bCs/>
          <w:kern w:val="0"/>
          <w:szCs w:val="21"/>
          <w:highlight w:val="none"/>
        </w:rPr>
        <w:t>《北京市湿地保护条例》案由1项</w:t>
      </w:r>
      <w:r>
        <w:tab/>
      </w:r>
      <w:r>
        <w:fldChar w:fldCharType="begin"/>
      </w:r>
      <w:r>
        <w:instrText xml:space="preserve"> PAGEREF _Toc666852362 \h </w:instrText>
      </w:r>
      <w:r>
        <w:fldChar w:fldCharType="separate"/>
      </w:r>
      <w:r>
        <w:t>205</w:t>
      </w:r>
      <w:r>
        <w:fldChar w:fldCharType="end"/>
      </w:r>
      <w:r>
        <w:rPr>
          <w:color w:val="auto"/>
          <w:highlight w:val="none"/>
        </w:rPr>
        <w:fldChar w:fldCharType="end"/>
      </w:r>
    </w:p>
    <w:p w14:paraId="0E4F02BB">
      <w:pPr>
        <w:pStyle w:val="19"/>
        <w:tabs>
          <w:tab w:val="right" w:leader="dot" w:pos="9582"/>
        </w:tabs>
      </w:pPr>
      <w:r>
        <w:rPr>
          <w:color w:val="auto"/>
          <w:highlight w:val="none"/>
        </w:rPr>
        <w:fldChar w:fldCharType="begin"/>
      </w:r>
      <w:r>
        <w:rPr>
          <w:highlight w:val="none"/>
        </w:rPr>
        <w:instrText xml:space="preserve"> HYPERLINK \l _Toc428926240 </w:instrText>
      </w:r>
      <w:r>
        <w:rPr>
          <w:highlight w:val="none"/>
        </w:rPr>
        <w:fldChar w:fldCharType="separate"/>
      </w:r>
      <w:r>
        <w:rPr>
          <w:rFonts w:hint="eastAsia" w:ascii="宋体" w:hAnsi="宋体" w:eastAsia="宋体" w:cs="宋体"/>
          <w:bCs/>
          <w:kern w:val="0"/>
          <w:szCs w:val="21"/>
          <w:highlight w:val="none"/>
        </w:rPr>
        <w:t>《北京市南水北调工程保护办法》案由7项</w:t>
      </w:r>
      <w:r>
        <w:tab/>
      </w:r>
      <w:r>
        <w:fldChar w:fldCharType="begin"/>
      </w:r>
      <w:r>
        <w:instrText xml:space="preserve"> PAGEREF _Toc428926240 \h </w:instrText>
      </w:r>
      <w:r>
        <w:fldChar w:fldCharType="separate"/>
      </w:r>
      <w:r>
        <w:t>206</w:t>
      </w:r>
      <w:r>
        <w:fldChar w:fldCharType="end"/>
      </w:r>
      <w:r>
        <w:rPr>
          <w:color w:val="auto"/>
          <w:highlight w:val="none"/>
        </w:rPr>
        <w:fldChar w:fldCharType="end"/>
      </w:r>
    </w:p>
    <w:p w14:paraId="7A286F5C">
      <w:pPr>
        <w:pStyle w:val="19"/>
        <w:tabs>
          <w:tab w:val="right" w:leader="dot" w:pos="9582"/>
        </w:tabs>
      </w:pPr>
      <w:r>
        <w:rPr>
          <w:color w:val="auto"/>
          <w:highlight w:val="none"/>
        </w:rPr>
        <w:fldChar w:fldCharType="begin"/>
      </w:r>
      <w:r>
        <w:rPr>
          <w:highlight w:val="none"/>
        </w:rPr>
        <w:instrText xml:space="preserve"> HYPERLINK \l _Toc1984141459 </w:instrText>
      </w:r>
      <w:r>
        <w:rPr>
          <w:highlight w:val="none"/>
        </w:rPr>
        <w:fldChar w:fldCharType="separate"/>
      </w:r>
      <w:r>
        <w:rPr>
          <w:rFonts w:hint="eastAsia" w:ascii="宋体" w:hAnsi="宋体" w:eastAsia="宋体" w:cs="宋体"/>
          <w:bCs/>
          <w:kern w:val="0"/>
          <w:szCs w:val="21"/>
          <w:highlight w:val="none"/>
        </w:rPr>
        <w:t>《北京市实施</w:t>
      </w:r>
      <w:r>
        <w:rPr>
          <w:rFonts w:hint="eastAsia" w:ascii="仿宋" w:hAnsi="仿宋" w:eastAsia="仿宋" w:cs="仿宋"/>
          <w:bCs/>
          <w:kern w:val="0"/>
          <w:szCs w:val="21"/>
          <w:highlight w:val="none"/>
        </w:rPr>
        <w:t>&lt;</w:t>
      </w:r>
      <w:r>
        <w:rPr>
          <w:rFonts w:hint="eastAsia" w:ascii="宋体" w:hAnsi="宋体" w:eastAsia="宋体" w:cs="宋体"/>
          <w:bCs/>
          <w:kern w:val="0"/>
          <w:szCs w:val="21"/>
          <w:highlight w:val="none"/>
        </w:rPr>
        <w:t>中华人民共和国防洪法</w:t>
      </w:r>
      <w:r>
        <w:rPr>
          <w:rFonts w:hint="eastAsia" w:ascii="仿宋" w:hAnsi="仿宋" w:eastAsia="仿宋" w:cs="仿宋"/>
          <w:bCs/>
          <w:kern w:val="0"/>
          <w:szCs w:val="21"/>
          <w:highlight w:val="none"/>
        </w:rPr>
        <w:t>&gt;</w:t>
      </w:r>
      <w:r>
        <w:rPr>
          <w:rFonts w:hint="eastAsia" w:ascii="宋体" w:hAnsi="宋体" w:eastAsia="宋体" w:cs="宋体"/>
          <w:bCs/>
          <w:kern w:val="0"/>
          <w:szCs w:val="21"/>
          <w:highlight w:val="none"/>
        </w:rPr>
        <w:t>办法》案由2项</w:t>
      </w:r>
      <w:r>
        <w:tab/>
      </w:r>
      <w:r>
        <w:fldChar w:fldCharType="begin"/>
      </w:r>
      <w:r>
        <w:instrText xml:space="preserve"> PAGEREF _Toc1984141459 \h </w:instrText>
      </w:r>
      <w:r>
        <w:fldChar w:fldCharType="separate"/>
      </w:r>
      <w:r>
        <w:t>207</w:t>
      </w:r>
      <w:r>
        <w:fldChar w:fldCharType="end"/>
      </w:r>
      <w:r>
        <w:rPr>
          <w:color w:val="auto"/>
          <w:highlight w:val="none"/>
        </w:rPr>
        <w:fldChar w:fldCharType="end"/>
      </w:r>
    </w:p>
    <w:p w14:paraId="20EB8BA2">
      <w:pPr>
        <w:pStyle w:val="17"/>
        <w:tabs>
          <w:tab w:val="right" w:leader="dot" w:pos="9582"/>
        </w:tabs>
      </w:pPr>
      <w:r>
        <w:rPr>
          <w:color w:val="auto"/>
          <w:highlight w:val="none"/>
        </w:rPr>
        <w:fldChar w:fldCharType="begin"/>
      </w:r>
      <w:r>
        <w:rPr>
          <w:highlight w:val="none"/>
        </w:rPr>
        <w:instrText xml:space="preserve"> HYPERLINK \l _Toc1758799852 </w:instrText>
      </w:r>
      <w:r>
        <w:rPr>
          <w:highlight w:val="none"/>
        </w:rPr>
        <w:fldChar w:fldCharType="separate"/>
      </w:r>
      <w:r>
        <w:rPr>
          <w:rFonts w:hint="eastAsia" w:ascii="黑体" w:hAnsi="黑体" w:eastAsia="黑体" w:cs="黑体"/>
          <w:kern w:val="0"/>
          <w:szCs w:val="28"/>
          <w:highlight w:val="none"/>
        </w:rPr>
        <w:t>水利建设资质管理方面</w:t>
      </w:r>
      <w:r>
        <w:tab/>
      </w:r>
      <w:r>
        <w:fldChar w:fldCharType="begin"/>
      </w:r>
      <w:r>
        <w:instrText xml:space="preserve"> PAGEREF _Toc1758799852 \h </w:instrText>
      </w:r>
      <w:r>
        <w:fldChar w:fldCharType="separate"/>
      </w:r>
      <w:r>
        <w:t>208</w:t>
      </w:r>
      <w:r>
        <w:fldChar w:fldCharType="end"/>
      </w:r>
      <w:r>
        <w:rPr>
          <w:color w:val="auto"/>
          <w:highlight w:val="none"/>
        </w:rPr>
        <w:fldChar w:fldCharType="end"/>
      </w:r>
    </w:p>
    <w:p w14:paraId="61182360">
      <w:pPr>
        <w:pStyle w:val="19"/>
        <w:tabs>
          <w:tab w:val="right" w:leader="dot" w:pos="9582"/>
        </w:tabs>
      </w:pPr>
      <w:r>
        <w:rPr>
          <w:color w:val="auto"/>
          <w:highlight w:val="none"/>
        </w:rPr>
        <w:fldChar w:fldCharType="begin"/>
      </w:r>
      <w:r>
        <w:rPr>
          <w:highlight w:val="none"/>
        </w:rPr>
        <w:instrText xml:space="preserve"> HYPERLINK \l _Toc212979876 </w:instrText>
      </w:r>
      <w:r>
        <w:rPr>
          <w:highlight w:val="none"/>
        </w:rPr>
        <w:fldChar w:fldCharType="separate"/>
      </w:r>
      <w:r>
        <w:rPr>
          <w:rFonts w:hint="eastAsia" w:ascii="宋体" w:hAnsi="宋体" w:eastAsia="宋体" w:cs="宋体"/>
          <w:bCs/>
          <w:kern w:val="0"/>
          <w:szCs w:val="21"/>
          <w:highlight w:val="none"/>
        </w:rPr>
        <w:t>《中华人民共和国建筑法》案由1项</w:t>
      </w:r>
      <w:r>
        <w:tab/>
      </w:r>
      <w:r>
        <w:fldChar w:fldCharType="begin"/>
      </w:r>
      <w:r>
        <w:instrText xml:space="preserve"> PAGEREF _Toc212979876 \h </w:instrText>
      </w:r>
      <w:r>
        <w:fldChar w:fldCharType="separate"/>
      </w:r>
      <w:r>
        <w:t>208</w:t>
      </w:r>
      <w:r>
        <w:fldChar w:fldCharType="end"/>
      </w:r>
      <w:r>
        <w:rPr>
          <w:color w:val="auto"/>
          <w:highlight w:val="none"/>
        </w:rPr>
        <w:fldChar w:fldCharType="end"/>
      </w:r>
    </w:p>
    <w:p w14:paraId="47372952">
      <w:pPr>
        <w:pStyle w:val="19"/>
        <w:tabs>
          <w:tab w:val="right" w:leader="dot" w:pos="9582"/>
        </w:tabs>
      </w:pPr>
      <w:r>
        <w:rPr>
          <w:color w:val="auto"/>
          <w:highlight w:val="none"/>
        </w:rPr>
        <w:fldChar w:fldCharType="begin"/>
      </w:r>
      <w:r>
        <w:rPr>
          <w:highlight w:val="none"/>
        </w:rPr>
        <w:instrText xml:space="preserve"> HYPERLINK \l _Toc702307891 </w:instrText>
      </w:r>
      <w:r>
        <w:rPr>
          <w:highlight w:val="none"/>
        </w:rPr>
        <w:fldChar w:fldCharType="separate"/>
      </w:r>
      <w:r>
        <w:rPr>
          <w:rFonts w:hint="eastAsia" w:ascii="宋体" w:hAnsi="宋体" w:eastAsia="宋体" w:cs="宋体"/>
          <w:bCs/>
          <w:kern w:val="0"/>
          <w:szCs w:val="21"/>
          <w:highlight w:val="none"/>
        </w:rPr>
        <w:t>《建设工程质量管理条例》案由3项</w:t>
      </w:r>
      <w:r>
        <w:tab/>
      </w:r>
      <w:r>
        <w:fldChar w:fldCharType="begin"/>
      </w:r>
      <w:r>
        <w:instrText xml:space="preserve"> PAGEREF _Toc702307891 \h </w:instrText>
      </w:r>
      <w:r>
        <w:fldChar w:fldCharType="separate"/>
      </w:r>
      <w:r>
        <w:t>208</w:t>
      </w:r>
      <w:r>
        <w:fldChar w:fldCharType="end"/>
      </w:r>
      <w:r>
        <w:rPr>
          <w:color w:val="auto"/>
          <w:highlight w:val="none"/>
        </w:rPr>
        <w:fldChar w:fldCharType="end"/>
      </w:r>
    </w:p>
    <w:p w14:paraId="1E4B4E9F">
      <w:pPr>
        <w:pStyle w:val="19"/>
        <w:tabs>
          <w:tab w:val="right" w:leader="dot" w:pos="9582"/>
        </w:tabs>
      </w:pPr>
      <w:r>
        <w:rPr>
          <w:color w:val="auto"/>
          <w:highlight w:val="none"/>
        </w:rPr>
        <w:fldChar w:fldCharType="begin"/>
      </w:r>
      <w:r>
        <w:rPr>
          <w:highlight w:val="none"/>
        </w:rPr>
        <w:instrText xml:space="preserve"> HYPERLINK \l _Toc1211391117 </w:instrText>
      </w:r>
      <w:r>
        <w:rPr>
          <w:highlight w:val="none"/>
        </w:rPr>
        <w:fldChar w:fldCharType="separate"/>
      </w:r>
      <w:r>
        <w:rPr>
          <w:rFonts w:hint="eastAsia" w:ascii="宋体" w:hAnsi="宋体" w:eastAsia="宋体" w:cs="宋体"/>
          <w:bCs/>
          <w:kern w:val="0"/>
          <w:szCs w:val="21"/>
          <w:highlight w:val="none"/>
        </w:rPr>
        <w:t>《建筑业企业资质管理规定》案由4项</w:t>
      </w:r>
      <w:r>
        <w:tab/>
      </w:r>
      <w:r>
        <w:fldChar w:fldCharType="begin"/>
      </w:r>
      <w:r>
        <w:instrText xml:space="preserve"> PAGEREF _Toc1211391117 \h </w:instrText>
      </w:r>
      <w:r>
        <w:fldChar w:fldCharType="separate"/>
      </w:r>
      <w:r>
        <w:t>209</w:t>
      </w:r>
      <w:r>
        <w:fldChar w:fldCharType="end"/>
      </w:r>
      <w:r>
        <w:rPr>
          <w:color w:val="auto"/>
          <w:highlight w:val="none"/>
        </w:rPr>
        <w:fldChar w:fldCharType="end"/>
      </w:r>
    </w:p>
    <w:p w14:paraId="58E33200">
      <w:pPr>
        <w:pStyle w:val="19"/>
        <w:tabs>
          <w:tab w:val="right" w:leader="dot" w:pos="9582"/>
        </w:tabs>
      </w:pPr>
      <w:r>
        <w:rPr>
          <w:color w:val="auto"/>
          <w:highlight w:val="none"/>
        </w:rPr>
        <w:fldChar w:fldCharType="begin"/>
      </w:r>
      <w:r>
        <w:rPr>
          <w:highlight w:val="none"/>
        </w:rPr>
        <w:instrText xml:space="preserve"> HYPERLINK \l _Toc1423281094 </w:instrText>
      </w:r>
      <w:r>
        <w:rPr>
          <w:highlight w:val="none"/>
        </w:rPr>
        <w:fldChar w:fldCharType="separate"/>
      </w:r>
      <w:r>
        <w:rPr>
          <w:rFonts w:hint="eastAsia" w:ascii="宋体" w:hAnsi="宋体" w:eastAsia="宋体" w:cs="宋体"/>
          <w:bCs/>
          <w:kern w:val="0"/>
          <w:szCs w:val="21"/>
          <w:highlight w:val="none"/>
        </w:rPr>
        <w:t>《工程监理企业资质管理规定》案由3项</w:t>
      </w:r>
      <w:r>
        <w:tab/>
      </w:r>
      <w:r>
        <w:fldChar w:fldCharType="begin"/>
      </w:r>
      <w:r>
        <w:instrText xml:space="preserve"> PAGEREF _Toc1423281094 \h </w:instrText>
      </w:r>
      <w:r>
        <w:fldChar w:fldCharType="separate"/>
      </w:r>
      <w:r>
        <w:t>210</w:t>
      </w:r>
      <w:r>
        <w:fldChar w:fldCharType="end"/>
      </w:r>
      <w:r>
        <w:rPr>
          <w:color w:val="auto"/>
          <w:highlight w:val="none"/>
        </w:rPr>
        <w:fldChar w:fldCharType="end"/>
      </w:r>
    </w:p>
    <w:p w14:paraId="3307D4F6">
      <w:pPr>
        <w:pStyle w:val="19"/>
        <w:tabs>
          <w:tab w:val="right" w:leader="dot" w:pos="9582"/>
        </w:tabs>
      </w:pPr>
      <w:r>
        <w:rPr>
          <w:color w:val="auto"/>
          <w:highlight w:val="none"/>
        </w:rPr>
        <w:fldChar w:fldCharType="begin"/>
      </w:r>
      <w:r>
        <w:rPr>
          <w:highlight w:val="none"/>
        </w:rPr>
        <w:instrText xml:space="preserve"> HYPERLINK \l _Toc2085273921 </w:instrText>
      </w:r>
      <w:r>
        <w:rPr>
          <w:highlight w:val="none"/>
        </w:rPr>
        <w:fldChar w:fldCharType="separate"/>
      </w:r>
      <w:r>
        <w:rPr>
          <w:rFonts w:hint="eastAsia" w:ascii="宋体" w:hAnsi="宋体" w:eastAsia="宋体" w:cs="宋体"/>
          <w:bCs/>
          <w:kern w:val="0"/>
          <w:szCs w:val="21"/>
          <w:highlight w:val="none"/>
        </w:rPr>
        <w:t>《水利工程建设监理规定》案由2项</w:t>
      </w:r>
      <w:r>
        <w:tab/>
      </w:r>
      <w:r>
        <w:fldChar w:fldCharType="begin"/>
      </w:r>
      <w:r>
        <w:instrText xml:space="preserve"> PAGEREF _Toc2085273921 \h </w:instrText>
      </w:r>
      <w:r>
        <w:fldChar w:fldCharType="separate"/>
      </w:r>
      <w:r>
        <w:t>210</w:t>
      </w:r>
      <w:r>
        <w:fldChar w:fldCharType="end"/>
      </w:r>
      <w:r>
        <w:rPr>
          <w:color w:val="auto"/>
          <w:highlight w:val="none"/>
        </w:rPr>
        <w:fldChar w:fldCharType="end"/>
      </w:r>
    </w:p>
    <w:p w14:paraId="1D2DC438">
      <w:pPr>
        <w:pStyle w:val="19"/>
        <w:tabs>
          <w:tab w:val="right" w:leader="dot" w:pos="9582"/>
        </w:tabs>
      </w:pPr>
      <w:r>
        <w:rPr>
          <w:color w:val="auto"/>
          <w:highlight w:val="none"/>
        </w:rPr>
        <w:fldChar w:fldCharType="begin"/>
      </w:r>
      <w:r>
        <w:rPr>
          <w:highlight w:val="none"/>
        </w:rPr>
        <w:instrText xml:space="preserve"> HYPERLINK \l _Toc1083469754 </w:instrText>
      </w:r>
      <w:r>
        <w:rPr>
          <w:highlight w:val="none"/>
        </w:rPr>
        <w:fldChar w:fldCharType="separate"/>
      </w:r>
      <w:r>
        <w:rPr>
          <w:rFonts w:hint="eastAsia" w:ascii="宋体" w:hAnsi="宋体" w:eastAsia="宋体" w:cs="宋体"/>
          <w:bCs/>
          <w:kern w:val="0"/>
          <w:szCs w:val="21"/>
          <w:highlight w:val="none"/>
        </w:rPr>
        <w:t>《水利工程质量检测管理规定》案由5项</w:t>
      </w:r>
      <w:r>
        <w:tab/>
      </w:r>
      <w:r>
        <w:fldChar w:fldCharType="begin"/>
      </w:r>
      <w:r>
        <w:instrText xml:space="preserve"> PAGEREF _Toc1083469754 \h </w:instrText>
      </w:r>
      <w:r>
        <w:fldChar w:fldCharType="separate"/>
      </w:r>
      <w:r>
        <w:t>211</w:t>
      </w:r>
      <w:r>
        <w:fldChar w:fldCharType="end"/>
      </w:r>
      <w:r>
        <w:rPr>
          <w:color w:val="auto"/>
          <w:highlight w:val="none"/>
        </w:rPr>
        <w:fldChar w:fldCharType="end"/>
      </w:r>
    </w:p>
    <w:p w14:paraId="5E428581">
      <w:pPr>
        <w:pStyle w:val="19"/>
        <w:tabs>
          <w:tab w:val="right" w:leader="dot" w:pos="9582"/>
        </w:tabs>
      </w:pPr>
      <w:r>
        <w:rPr>
          <w:color w:val="auto"/>
          <w:highlight w:val="none"/>
        </w:rPr>
        <w:fldChar w:fldCharType="begin"/>
      </w:r>
      <w:r>
        <w:rPr>
          <w:highlight w:val="none"/>
        </w:rPr>
        <w:instrText xml:space="preserve"> HYPERLINK \l _Toc1980735967 </w:instrText>
      </w:r>
      <w:r>
        <w:rPr>
          <w:highlight w:val="none"/>
        </w:rPr>
        <w:fldChar w:fldCharType="separate"/>
      </w:r>
      <w:r>
        <w:rPr>
          <w:rFonts w:hint="eastAsia" w:ascii="宋体" w:hAnsi="宋体" w:eastAsia="宋体" w:cs="宋体"/>
          <w:bCs/>
          <w:kern w:val="0"/>
          <w:szCs w:val="21"/>
          <w:highlight w:val="none"/>
        </w:rPr>
        <w:t>《市政公用事业特许经营管理办法》案由1项</w:t>
      </w:r>
      <w:r>
        <w:tab/>
      </w:r>
      <w:r>
        <w:fldChar w:fldCharType="begin"/>
      </w:r>
      <w:r>
        <w:instrText xml:space="preserve"> PAGEREF _Toc1980735967 \h </w:instrText>
      </w:r>
      <w:r>
        <w:fldChar w:fldCharType="separate"/>
      </w:r>
      <w:r>
        <w:t>212</w:t>
      </w:r>
      <w:r>
        <w:fldChar w:fldCharType="end"/>
      </w:r>
      <w:r>
        <w:rPr>
          <w:color w:val="auto"/>
          <w:highlight w:val="none"/>
        </w:rPr>
        <w:fldChar w:fldCharType="end"/>
      </w:r>
    </w:p>
    <w:p w14:paraId="1146DD1C">
      <w:pPr>
        <w:pStyle w:val="19"/>
        <w:tabs>
          <w:tab w:val="right" w:leader="dot" w:pos="9582"/>
        </w:tabs>
      </w:pPr>
      <w:r>
        <w:rPr>
          <w:color w:val="auto"/>
          <w:highlight w:val="none"/>
        </w:rPr>
        <w:fldChar w:fldCharType="begin"/>
      </w:r>
      <w:r>
        <w:rPr>
          <w:highlight w:val="none"/>
        </w:rPr>
        <w:instrText xml:space="preserve"> HYPERLINK \l _Toc734146450 </w:instrText>
      </w:r>
      <w:r>
        <w:rPr>
          <w:highlight w:val="none"/>
        </w:rPr>
        <w:fldChar w:fldCharType="separate"/>
      </w:r>
      <w:r>
        <w:rPr>
          <w:rFonts w:hint="eastAsia" w:ascii="宋体" w:hAnsi="宋体" w:eastAsia="宋体" w:cs="宋体"/>
          <w:bCs/>
          <w:kern w:val="0"/>
          <w:szCs w:val="21"/>
          <w:highlight w:val="none"/>
        </w:rPr>
        <w:t>《注册造价工程师管理办法》案由3项</w:t>
      </w:r>
      <w:r>
        <w:tab/>
      </w:r>
      <w:r>
        <w:fldChar w:fldCharType="begin"/>
      </w:r>
      <w:r>
        <w:instrText xml:space="preserve"> PAGEREF _Toc734146450 \h </w:instrText>
      </w:r>
      <w:r>
        <w:fldChar w:fldCharType="separate"/>
      </w:r>
      <w:r>
        <w:t>212</w:t>
      </w:r>
      <w:r>
        <w:fldChar w:fldCharType="end"/>
      </w:r>
      <w:r>
        <w:rPr>
          <w:color w:val="auto"/>
          <w:highlight w:val="none"/>
        </w:rPr>
        <w:fldChar w:fldCharType="end"/>
      </w:r>
    </w:p>
    <w:p w14:paraId="7CC87144">
      <w:pPr>
        <w:pStyle w:val="17"/>
        <w:tabs>
          <w:tab w:val="right" w:leader="dot" w:pos="9582"/>
        </w:tabs>
      </w:pPr>
      <w:r>
        <w:rPr>
          <w:color w:val="auto"/>
          <w:highlight w:val="none"/>
        </w:rPr>
        <w:fldChar w:fldCharType="begin"/>
      </w:r>
      <w:r>
        <w:rPr>
          <w:highlight w:val="none"/>
        </w:rPr>
        <w:instrText xml:space="preserve"> HYPERLINK \l _Toc904582335 </w:instrText>
      </w:r>
      <w:r>
        <w:rPr>
          <w:highlight w:val="none"/>
        </w:rPr>
        <w:fldChar w:fldCharType="separate"/>
      </w:r>
      <w:r>
        <w:rPr>
          <w:rFonts w:hint="eastAsia" w:ascii="黑体" w:hAnsi="黑体" w:eastAsia="黑体" w:cs="黑体"/>
          <w:kern w:val="0"/>
          <w:szCs w:val="28"/>
          <w:highlight w:val="none"/>
        </w:rPr>
        <w:t>水文与水行政许可管理方面</w:t>
      </w:r>
      <w:r>
        <w:tab/>
      </w:r>
      <w:r>
        <w:fldChar w:fldCharType="begin"/>
      </w:r>
      <w:r>
        <w:instrText xml:space="preserve"> PAGEREF _Toc904582335 \h </w:instrText>
      </w:r>
      <w:r>
        <w:fldChar w:fldCharType="separate"/>
      </w:r>
      <w:r>
        <w:t>213</w:t>
      </w:r>
      <w:r>
        <w:fldChar w:fldCharType="end"/>
      </w:r>
      <w:r>
        <w:rPr>
          <w:color w:val="auto"/>
          <w:highlight w:val="none"/>
        </w:rPr>
        <w:fldChar w:fldCharType="end"/>
      </w:r>
    </w:p>
    <w:p w14:paraId="7966D67A">
      <w:pPr>
        <w:pStyle w:val="19"/>
        <w:tabs>
          <w:tab w:val="right" w:leader="dot" w:pos="9582"/>
        </w:tabs>
      </w:pPr>
      <w:r>
        <w:rPr>
          <w:color w:val="auto"/>
          <w:highlight w:val="none"/>
        </w:rPr>
        <w:fldChar w:fldCharType="begin"/>
      </w:r>
      <w:r>
        <w:rPr>
          <w:highlight w:val="none"/>
        </w:rPr>
        <w:instrText xml:space="preserve"> HYPERLINK \l _Toc12838676 </w:instrText>
      </w:r>
      <w:r>
        <w:rPr>
          <w:highlight w:val="none"/>
        </w:rPr>
        <w:fldChar w:fldCharType="separate"/>
      </w:r>
      <w:r>
        <w:rPr>
          <w:rFonts w:hint="eastAsia" w:ascii="宋体" w:hAnsi="宋体" w:eastAsia="宋体" w:cs="宋体"/>
          <w:bCs/>
          <w:kern w:val="0"/>
          <w:szCs w:val="21"/>
          <w:highlight w:val="none"/>
        </w:rPr>
        <w:t>《中华人民共和国水文条例》案由5项</w:t>
      </w:r>
      <w:r>
        <w:tab/>
      </w:r>
      <w:r>
        <w:fldChar w:fldCharType="begin"/>
      </w:r>
      <w:r>
        <w:instrText xml:space="preserve"> PAGEREF _Toc12838676 \h </w:instrText>
      </w:r>
      <w:r>
        <w:fldChar w:fldCharType="separate"/>
      </w:r>
      <w:r>
        <w:t>213</w:t>
      </w:r>
      <w:r>
        <w:fldChar w:fldCharType="end"/>
      </w:r>
      <w:r>
        <w:rPr>
          <w:color w:val="auto"/>
          <w:highlight w:val="none"/>
        </w:rPr>
        <w:fldChar w:fldCharType="end"/>
      </w:r>
    </w:p>
    <w:p w14:paraId="71859B9A">
      <w:pPr>
        <w:pStyle w:val="19"/>
        <w:tabs>
          <w:tab w:val="right" w:leader="dot" w:pos="9582"/>
        </w:tabs>
      </w:pPr>
      <w:r>
        <w:rPr>
          <w:color w:val="auto"/>
          <w:highlight w:val="none"/>
        </w:rPr>
        <w:fldChar w:fldCharType="begin"/>
      </w:r>
      <w:r>
        <w:rPr>
          <w:highlight w:val="none"/>
        </w:rPr>
        <w:instrText xml:space="preserve"> HYPERLINK \l _Toc1888080768 </w:instrText>
      </w:r>
      <w:r>
        <w:rPr>
          <w:highlight w:val="none"/>
        </w:rPr>
        <w:fldChar w:fldCharType="separate"/>
      </w:r>
      <w:r>
        <w:rPr>
          <w:rFonts w:hint="eastAsia" w:ascii="宋体" w:hAnsi="宋体" w:eastAsia="宋体" w:cs="宋体"/>
          <w:bCs/>
          <w:kern w:val="0"/>
          <w:szCs w:val="21"/>
          <w:highlight w:val="none"/>
        </w:rPr>
        <w:t>《中华人民共和国行政许可法》《水行政许可实施办法》案由4项</w:t>
      </w:r>
      <w:r>
        <w:tab/>
      </w:r>
      <w:r>
        <w:fldChar w:fldCharType="begin"/>
      </w:r>
      <w:r>
        <w:instrText xml:space="preserve"> PAGEREF _Toc1888080768 \h </w:instrText>
      </w:r>
      <w:r>
        <w:fldChar w:fldCharType="separate"/>
      </w:r>
      <w:r>
        <w:t>214</w:t>
      </w:r>
      <w:r>
        <w:fldChar w:fldCharType="end"/>
      </w:r>
      <w:r>
        <w:rPr>
          <w:color w:val="auto"/>
          <w:highlight w:val="none"/>
        </w:rPr>
        <w:fldChar w:fldCharType="end"/>
      </w:r>
    </w:p>
    <w:p w14:paraId="6C98C915">
      <w:pPr>
        <w:pStyle w:val="17"/>
        <w:tabs>
          <w:tab w:val="right" w:leader="dot" w:pos="9582"/>
        </w:tabs>
      </w:pPr>
      <w:r>
        <w:rPr>
          <w:color w:val="auto"/>
          <w:highlight w:val="none"/>
        </w:rPr>
        <w:fldChar w:fldCharType="begin"/>
      </w:r>
      <w:r>
        <w:rPr>
          <w:highlight w:val="none"/>
        </w:rPr>
        <w:instrText xml:space="preserve"> HYPERLINK \l _Toc962402114 </w:instrText>
      </w:r>
      <w:r>
        <w:rPr>
          <w:highlight w:val="none"/>
        </w:rPr>
        <w:fldChar w:fldCharType="separate"/>
      </w:r>
      <w:r>
        <w:rPr>
          <w:rFonts w:hint="eastAsia" w:ascii="黑体" w:hAnsi="黑体" w:eastAsia="黑体" w:cs="黑体"/>
          <w:kern w:val="0"/>
          <w:szCs w:val="28"/>
          <w:highlight w:val="none"/>
        </w:rPr>
        <w:t>水务移民管理方面</w:t>
      </w:r>
      <w:r>
        <w:tab/>
      </w:r>
      <w:r>
        <w:fldChar w:fldCharType="begin"/>
      </w:r>
      <w:r>
        <w:instrText xml:space="preserve"> PAGEREF _Toc962402114 \h </w:instrText>
      </w:r>
      <w:r>
        <w:fldChar w:fldCharType="separate"/>
      </w:r>
      <w:r>
        <w:t>215</w:t>
      </w:r>
      <w:r>
        <w:fldChar w:fldCharType="end"/>
      </w:r>
      <w:r>
        <w:rPr>
          <w:color w:val="auto"/>
          <w:highlight w:val="none"/>
        </w:rPr>
        <w:fldChar w:fldCharType="end"/>
      </w:r>
    </w:p>
    <w:p w14:paraId="15AF85AA">
      <w:pPr>
        <w:pStyle w:val="19"/>
        <w:tabs>
          <w:tab w:val="right" w:leader="dot" w:pos="9582"/>
        </w:tabs>
      </w:pPr>
      <w:r>
        <w:rPr>
          <w:color w:val="auto"/>
          <w:highlight w:val="none"/>
        </w:rPr>
        <w:fldChar w:fldCharType="begin"/>
      </w:r>
      <w:r>
        <w:rPr>
          <w:highlight w:val="none"/>
        </w:rPr>
        <w:instrText xml:space="preserve"> HYPERLINK \l _Toc667239925 </w:instrText>
      </w:r>
      <w:r>
        <w:rPr>
          <w:highlight w:val="none"/>
        </w:rPr>
        <w:fldChar w:fldCharType="separate"/>
      </w:r>
      <w:r>
        <w:rPr>
          <w:rFonts w:hint="eastAsia" w:ascii="宋体" w:hAnsi="宋体" w:eastAsia="宋体" w:cs="宋体"/>
          <w:bCs/>
          <w:kern w:val="0"/>
          <w:szCs w:val="21"/>
          <w:highlight w:val="none"/>
        </w:rPr>
        <w:t>《大中型水利水电工程建设征地补偿和移民安置条例》案由3项</w:t>
      </w:r>
      <w:r>
        <w:tab/>
      </w:r>
      <w:r>
        <w:fldChar w:fldCharType="begin"/>
      </w:r>
      <w:r>
        <w:instrText xml:space="preserve"> PAGEREF _Toc667239925 \h </w:instrText>
      </w:r>
      <w:r>
        <w:fldChar w:fldCharType="separate"/>
      </w:r>
      <w:r>
        <w:t>215</w:t>
      </w:r>
      <w:r>
        <w:fldChar w:fldCharType="end"/>
      </w:r>
      <w:r>
        <w:rPr>
          <w:color w:val="auto"/>
          <w:highlight w:val="none"/>
        </w:rPr>
        <w:fldChar w:fldCharType="end"/>
      </w:r>
    </w:p>
    <w:p w14:paraId="29006582">
      <w:pPr>
        <w:pStyle w:val="17"/>
        <w:tabs>
          <w:tab w:val="right" w:leader="dot" w:pos="9582"/>
        </w:tabs>
      </w:pPr>
      <w:r>
        <w:rPr>
          <w:color w:val="auto"/>
          <w:highlight w:val="none"/>
        </w:rPr>
        <w:fldChar w:fldCharType="begin"/>
      </w:r>
      <w:r>
        <w:rPr>
          <w:highlight w:val="none"/>
        </w:rPr>
        <w:instrText xml:space="preserve"> HYPERLINK \l _Toc1537757160 </w:instrText>
      </w:r>
      <w:r>
        <w:rPr>
          <w:highlight w:val="none"/>
        </w:rPr>
        <w:fldChar w:fldCharType="separate"/>
      </w:r>
      <w:r>
        <w:rPr>
          <w:rFonts w:hint="eastAsia" w:ascii="黑体" w:hAnsi="黑体" w:eastAsia="黑体" w:cs="黑体"/>
          <w:kern w:val="0"/>
          <w:szCs w:val="28"/>
          <w:highlight w:val="none"/>
        </w:rPr>
        <w:t>防汛抗旱管理方面</w:t>
      </w:r>
      <w:r>
        <w:tab/>
      </w:r>
      <w:r>
        <w:fldChar w:fldCharType="begin"/>
      </w:r>
      <w:r>
        <w:instrText xml:space="preserve"> PAGEREF _Toc1537757160 \h </w:instrText>
      </w:r>
      <w:r>
        <w:fldChar w:fldCharType="separate"/>
      </w:r>
      <w:r>
        <w:t>216</w:t>
      </w:r>
      <w:r>
        <w:fldChar w:fldCharType="end"/>
      </w:r>
      <w:r>
        <w:rPr>
          <w:color w:val="auto"/>
          <w:highlight w:val="none"/>
        </w:rPr>
        <w:fldChar w:fldCharType="end"/>
      </w:r>
    </w:p>
    <w:p w14:paraId="22D1F617">
      <w:pPr>
        <w:pStyle w:val="19"/>
        <w:tabs>
          <w:tab w:val="right" w:leader="dot" w:pos="9582"/>
        </w:tabs>
      </w:pPr>
      <w:r>
        <w:rPr>
          <w:color w:val="auto"/>
          <w:highlight w:val="none"/>
        </w:rPr>
        <w:fldChar w:fldCharType="begin"/>
      </w:r>
      <w:r>
        <w:rPr>
          <w:highlight w:val="none"/>
        </w:rPr>
        <w:instrText xml:space="preserve"> HYPERLINK \l _Toc63845650 </w:instrText>
      </w:r>
      <w:r>
        <w:rPr>
          <w:highlight w:val="none"/>
        </w:rPr>
        <w:fldChar w:fldCharType="separate"/>
      </w:r>
      <w:r>
        <w:rPr>
          <w:rFonts w:hint="eastAsia" w:ascii="宋体" w:hAnsi="宋体" w:eastAsia="宋体" w:cs="宋体"/>
          <w:bCs/>
          <w:kern w:val="0"/>
          <w:szCs w:val="21"/>
          <w:highlight w:val="none"/>
        </w:rPr>
        <w:t>《中华人民共和国抗旱条例》案由4项</w:t>
      </w:r>
      <w:r>
        <w:tab/>
      </w:r>
      <w:r>
        <w:fldChar w:fldCharType="begin"/>
      </w:r>
      <w:r>
        <w:instrText xml:space="preserve"> PAGEREF _Toc63845650 \h </w:instrText>
      </w:r>
      <w:r>
        <w:fldChar w:fldCharType="separate"/>
      </w:r>
      <w:r>
        <w:t>216</w:t>
      </w:r>
      <w:r>
        <w:fldChar w:fldCharType="end"/>
      </w:r>
      <w:r>
        <w:rPr>
          <w:color w:val="auto"/>
          <w:highlight w:val="none"/>
        </w:rPr>
        <w:fldChar w:fldCharType="end"/>
      </w:r>
    </w:p>
    <w:p w14:paraId="43704C8A">
      <w:pPr>
        <w:pStyle w:val="19"/>
        <w:tabs>
          <w:tab w:val="right" w:leader="dot" w:pos="9582"/>
        </w:tabs>
      </w:pPr>
      <w:r>
        <w:rPr>
          <w:color w:val="auto"/>
          <w:highlight w:val="none"/>
        </w:rPr>
        <w:fldChar w:fldCharType="begin"/>
      </w:r>
      <w:r>
        <w:rPr>
          <w:highlight w:val="none"/>
        </w:rPr>
        <w:instrText xml:space="preserve"> HYPERLINK \l _Toc1440360601 </w:instrText>
      </w:r>
      <w:r>
        <w:rPr>
          <w:highlight w:val="none"/>
        </w:rPr>
        <w:fldChar w:fldCharType="separate"/>
      </w:r>
      <w:r>
        <w:rPr>
          <w:rFonts w:hint="eastAsia" w:ascii="宋体" w:hAnsi="宋体" w:eastAsia="宋体" w:cs="宋体"/>
          <w:bCs/>
          <w:kern w:val="0"/>
          <w:szCs w:val="21"/>
          <w:highlight w:val="none"/>
        </w:rPr>
        <w:t>《中华人民共和国河道管理条例》案由1项</w:t>
      </w:r>
      <w:r>
        <w:tab/>
      </w:r>
      <w:r>
        <w:fldChar w:fldCharType="begin"/>
      </w:r>
      <w:r>
        <w:instrText xml:space="preserve"> PAGEREF _Toc1440360601 \h </w:instrText>
      </w:r>
      <w:r>
        <w:fldChar w:fldCharType="separate"/>
      </w:r>
      <w:r>
        <w:t>217</w:t>
      </w:r>
      <w:r>
        <w:fldChar w:fldCharType="end"/>
      </w:r>
      <w:r>
        <w:rPr>
          <w:color w:val="auto"/>
          <w:highlight w:val="none"/>
        </w:rPr>
        <w:fldChar w:fldCharType="end"/>
      </w:r>
    </w:p>
    <w:p w14:paraId="0B875363">
      <w:pPr>
        <w:pStyle w:val="17"/>
        <w:tabs>
          <w:tab w:val="right" w:leader="dot" w:pos="9582"/>
        </w:tabs>
      </w:pPr>
      <w:r>
        <w:rPr>
          <w:color w:val="auto"/>
          <w:highlight w:val="none"/>
        </w:rPr>
        <w:fldChar w:fldCharType="begin"/>
      </w:r>
      <w:r>
        <w:rPr>
          <w:highlight w:val="none"/>
        </w:rPr>
        <w:instrText xml:space="preserve"> HYPERLINK \l _Toc323740398 </w:instrText>
      </w:r>
      <w:r>
        <w:rPr>
          <w:highlight w:val="none"/>
        </w:rPr>
        <w:fldChar w:fldCharType="separate"/>
      </w:r>
      <w:r>
        <w:rPr>
          <w:rFonts w:hint="eastAsia" w:ascii="黑体" w:hAnsi="黑体" w:eastAsia="黑体" w:cs="黑体"/>
          <w:kern w:val="0"/>
          <w:szCs w:val="28"/>
          <w:highlight w:val="none"/>
        </w:rPr>
        <w:t>水利项目招投标管理方面</w:t>
      </w:r>
      <w:r>
        <w:tab/>
      </w:r>
      <w:r>
        <w:fldChar w:fldCharType="begin"/>
      </w:r>
      <w:r>
        <w:instrText xml:space="preserve"> PAGEREF _Toc323740398 \h </w:instrText>
      </w:r>
      <w:r>
        <w:fldChar w:fldCharType="separate"/>
      </w:r>
      <w:r>
        <w:t>217</w:t>
      </w:r>
      <w:r>
        <w:fldChar w:fldCharType="end"/>
      </w:r>
      <w:r>
        <w:rPr>
          <w:color w:val="auto"/>
          <w:highlight w:val="none"/>
        </w:rPr>
        <w:fldChar w:fldCharType="end"/>
      </w:r>
    </w:p>
    <w:p w14:paraId="0402DFA2">
      <w:pPr>
        <w:pStyle w:val="19"/>
        <w:tabs>
          <w:tab w:val="right" w:leader="dot" w:pos="9582"/>
        </w:tabs>
      </w:pPr>
      <w:r>
        <w:rPr>
          <w:color w:val="auto"/>
          <w:highlight w:val="none"/>
        </w:rPr>
        <w:fldChar w:fldCharType="begin"/>
      </w:r>
      <w:r>
        <w:rPr>
          <w:highlight w:val="none"/>
        </w:rPr>
        <w:instrText xml:space="preserve"> HYPERLINK \l _Toc1376045253 </w:instrText>
      </w:r>
      <w:r>
        <w:rPr>
          <w:highlight w:val="none"/>
        </w:rPr>
        <w:fldChar w:fldCharType="separate"/>
      </w:r>
      <w:r>
        <w:rPr>
          <w:rFonts w:hint="eastAsia" w:ascii="宋体" w:hAnsi="宋体" w:eastAsia="宋体" w:cs="宋体"/>
          <w:bCs/>
          <w:kern w:val="0"/>
          <w:szCs w:val="21"/>
          <w:highlight w:val="none"/>
        </w:rPr>
        <w:t>《中华人民共和国招标投标法》《中华人民共和国招标投标法实施条例》案由9项</w:t>
      </w:r>
      <w:r>
        <w:tab/>
      </w:r>
      <w:r>
        <w:fldChar w:fldCharType="begin"/>
      </w:r>
      <w:r>
        <w:instrText xml:space="preserve"> PAGEREF _Toc1376045253 \h </w:instrText>
      </w:r>
      <w:r>
        <w:fldChar w:fldCharType="separate"/>
      </w:r>
      <w:r>
        <w:t>217</w:t>
      </w:r>
      <w:r>
        <w:fldChar w:fldCharType="end"/>
      </w:r>
      <w:r>
        <w:rPr>
          <w:color w:val="auto"/>
          <w:highlight w:val="none"/>
        </w:rPr>
        <w:fldChar w:fldCharType="end"/>
      </w:r>
    </w:p>
    <w:p w14:paraId="50D06346">
      <w:pPr>
        <w:pStyle w:val="19"/>
        <w:tabs>
          <w:tab w:val="right" w:leader="dot" w:pos="9582"/>
        </w:tabs>
      </w:pPr>
      <w:r>
        <w:rPr>
          <w:color w:val="auto"/>
          <w:highlight w:val="none"/>
        </w:rPr>
        <w:fldChar w:fldCharType="begin"/>
      </w:r>
      <w:r>
        <w:rPr>
          <w:highlight w:val="none"/>
        </w:rPr>
        <w:instrText xml:space="preserve"> HYPERLINK \l _Toc188320306 </w:instrText>
      </w:r>
      <w:r>
        <w:rPr>
          <w:highlight w:val="none"/>
        </w:rPr>
        <w:fldChar w:fldCharType="separate"/>
      </w:r>
      <w:r>
        <w:rPr>
          <w:rFonts w:hint="eastAsia" w:ascii="宋体" w:hAnsi="宋体" w:eastAsia="宋体" w:cs="宋体"/>
          <w:bCs/>
          <w:kern w:val="0"/>
          <w:szCs w:val="21"/>
          <w:highlight w:val="none"/>
        </w:rPr>
        <w:t>《中华人民共和国招标投标法实施条例》案由12项</w:t>
      </w:r>
      <w:r>
        <w:tab/>
      </w:r>
      <w:r>
        <w:fldChar w:fldCharType="begin"/>
      </w:r>
      <w:r>
        <w:instrText xml:space="preserve"> PAGEREF _Toc188320306 \h </w:instrText>
      </w:r>
      <w:r>
        <w:fldChar w:fldCharType="separate"/>
      </w:r>
      <w:r>
        <w:t>220</w:t>
      </w:r>
      <w:r>
        <w:fldChar w:fldCharType="end"/>
      </w:r>
      <w:r>
        <w:rPr>
          <w:color w:val="auto"/>
          <w:highlight w:val="none"/>
        </w:rPr>
        <w:fldChar w:fldCharType="end"/>
      </w:r>
    </w:p>
    <w:p w14:paraId="2A2961B1">
      <w:pPr>
        <w:pStyle w:val="19"/>
        <w:tabs>
          <w:tab w:val="right" w:leader="dot" w:pos="9582"/>
        </w:tabs>
      </w:pPr>
      <w:r>
        <w:rPr>
          <w:color w:val="auto"/>
          <w:highlight w:val="none"/>
        </w:rPr>
        <w:fldChar w:fldCharType="begin"/>
      </w:r>
      <w:r>
        <w:rPr>
          <w:highlight w:val="none"/>
        </w:rPr>
        <w:instrText xml:space="preserve"> HYPERLINK \l _Toc1506442196 </w:instrText>
      </w:r>
      <w:r>
        <w:rPr>
          <w:highlight w:val="none"/>
        </w:rPr>
        <w:fldChar w:fldCharType="separate"/>
      </w:r>
      <w:r>
        <w:rPr>
          <w:rFonts w:hint="eastAsia" w:ascii="宋体" w:hAnsi="宋体" w:eastAsia="宋体" w:cs="宋体"/>
          <w:bCs/>
          <w:kern w:val="0"/>
          <w:szCs w:val="21"/>
          <w:highlight w:val="none"/>
        </w:rPr>
        <w:t>《工程建设项目施工招标投标办法》案由1项</w:t>
      </w:r>
      <w:r>
        <w:tab/>
      </w:r>
      <w:r>
        <w:fldChar w:fldCharType="begin"/>
      </w:r>
      <w:r>
        <w:instrText xml:space="preserve"> PAGEREF _Toc1506442196 \h </w:instrText>
      </w:r>
      <w:r>
        <w:fldChar w:fldCharType="separate"/>
      </w:r>
      <w:r>
        <w:t>223</w:t>
      </w:r>
      <w:r>
        <w:fldChar w:fldCharType="end"/>
      </w:r>
      <w:r>
        <w:rPr>
          <w:color w:val="auto"/>
          <w:highlight w:val="none"/>
        </w:rPr>
        <w:fldChar w:fldCharType="end"/>
      </w:r>
    </w:p>
    <w:p w14:paraId="4E61C1C7">
      <w:pPr>
        <w:pStyle w:val="17"/>
        <w:tabs>
          <w:tab w:val="right" w:leader="dot" w:pos="9582"/>
        </w:tabs>
      </w:pPr>
      <w:r>
        <w:rPr>
          <w:color w:val="auto"/>
          <w:highlight w:val="none"/>
        </w:rPr>
        <w:fldChar w:fldCharType="begin"/>
      </w:r>
      <w:r>
        <w:rPr>
          <w:highlight w:val="none"/>
        </w:rPr>
        <w:instrText xml:space="preserve"> HYPERLINK \l _Toc1064629641 </w:instrText>
      </w:r>
      <w:r>
        <w:rPr>
          <w:highlight w:val="none"/>
        </w:rPr>
        <w:fldChar w:fldCharType="separate"/>
      </w:r>
      <w:r>
        <w:rPr>
          <w:rFonts w:hint="eastAsia" w:ascii="黑体" w:hAnsi="黑体" w:eastAsia="黑体" w:cs="黑体"/>
          <w:kern w:val="0"/>
          <w:szCs w:val="28"/>
          <w:highlight w:val="none"/>
        </w:rPr>
        <w:t>水利建设勘察设计管理方面</w:t>
      </w:r>
      <w:r>
        <w:tab/>
      </w:r>
      <w:r>
        <w:fldChar w:fldCharType="begin"/>
      </w:r>
      <w:r>
        <w:instrText xml:space="preserve"> PAGEREF _Toc1064629641 \h </w:instrText>
      </w:r>
      <w:r>
        <w:fldChar w:fldCharType="separate"/>
      </w:r>
      <w:r>
        <w:t>223</w:t>
      </w:r>
      <w:r>
        <w:fldChar w:fldCharType="end"/>
      </w:r>
      <w:r>
        <w:rPr>
          <w:color w:val="auto"/>
          <w:highlight w:val="none"/>
        </w:rPr>
        <w:fldChar w:fldCharType="end"/>
      </w:r>
    </w:p>
    <w:p w14:paraId="3EAA0AA5">
      <w:pPr>
        <w:pStyle w:val="19"/>
        <w:tabs>
          <w:tab w:val="right" w:leader="dot" w:pos="9582"/>
        </w:tabs>
      </w:pPr>
      <w:r>
        <w:rPr>
          <w:color w:val="auto"/>
          <w:highlight w:val="none"/>
        </w:rPr>
        <w:fldChar w:fldCharType="begin"/>
      </w:r>
      <w:r>
        <w:rPr>
          <w:highlight w:val="none"/>
        </w:rPr>
        <w:instrText xml:space="preserve"> HYPERLINK \l _Toc1950515509 </w:instrText>
      </w:r>
      <w:r>
        <w:rPr>
          <w:highlight w:val="none"/>
        </w:rPr>
        <w:fldChar w:fldCharType="separate"/>
      </w:r>
      <w:r>
        <w:rPr>
          <w:rFonts w:hint="eastAsia" w:ascii="宋体" w:hAnsi="宋体" w:eastAsia="宋体" w:cs="宋体"/>
          <w:bCs/>
          <w:kern w:val="0"/>
          <w:szCs w:val="21"/>
          <w:highlight w:val="none"/>
        </w:rPr>
        <w:t>《建设工程勘察设计管理条例》案由5项</w:t>
      </w:r>
      <w:r>
        <w:tab/>
      </w:r>
      <w:r>
        <w:fldChar w:fldCharType="begin"/>
      </w:r>
      <w:r>
        <w:instrText xml:space="preserve"> PAGEREF _Toc1950515509 \h </w:instrText>
      </w:r>
      <w:r>
        <w:fldChar w:fldCharType="separate"/>
      </w:r>
      <w:r>
        <w:t>223</w:t>
      </w:r>
      <w:r>
        <w:fldChar w:fldCharType="end"/>
      </w:r>
      <w:r>
        <w:rPr>
          <w:color w:val="auto"/>
          <w:highlight w:val="none"/>
        </w:rPr>
        <w:fldChar w:fldCharType="end"/>
      </w:r>
    </w:p>
    <w:p w14:paraId="0B5E4159">
      <w:pPr>
        <w:pStyle w:val="19"/>
        <w:tabs>
          <w:tab w:val="right" w:leader="dot" w:pos="9582"/>
        </w:tabs>
      </w:pPr>
      <w:r>
        <w:rPr>
          <w:color w:val="auto"/>
          <w:highlight w:val="none"/>
        </w:rPr>
        <w:fldChar w:fldCharType="begin"/>
      </w:r>
      <w:r>
        <w:rPr>
          <w:highlight w:val="none"/>
        </w:rPr>
        <w:instrText xml:space="preserve"> HYPERLINK \l _Toc1671658466 </w:instrText>
      </w:r>
      <w:r>
        <w:rPr>
          <w:highlight w:val="none"/>
        </w:rPr>
        <w:fldChar w:fldCharType="separate"/>
      </w:r>
      <w:r>
        <w:rPr>
          <w:rFonts w:ascii="Times New Roman" w:hAnsi="Times New Roman" w:eastAsia="宋体" w:cs="Times New Roman"/>
          <w:bCs/>
          <w:kern w:val="0"/>
          <w:szCs w:val="21"/>
          <w:highlight w:val="none"/>
        </w:rPr>
        <w:t>《建设工程质量管理条例》《水利工程质量管理规定》案由4项</w:t>
      </w:r>
      <w:r>
        <w:tab/>
      </w:r>
      <w:r>
        <w:fldChar w:fldCharType="begin"/>
      </w:r>
      <w:r>
        <w:instrText xml:space="preserve"> PAGEREF _Toc1671658466 \h </w:instrText>
      </w:r>
      <w:r>
        <w:fldChar w:fldCharType="separate"/>
      </w:r>
      <w:r>
        <w:t>224</w:t>
      </w:r>
      <w:r>
        <w:fldChar w:fldCharType="end"/>
      </w:r>
      <w:r>
        <w:rPr>
          <w:color w:val="auto"/>
          <w:highlight w:val="none"/>
        </w:rPr>
        <w:fldChar w:fldCharType="end"/>
      </w:r>
    </w:p>
    <w:p w14:paraId="6C9752E2">
      <w:pPr>
        <w:pStyle w:val="19"/>
        <w:tabs>
          <w:tab w:val="right" w:leader="dot" w:pos="9582"/>
        </w:tabs>
      </w:pPr>
      <w:r>
        <w:rPr>
          <w:color w:val="auto"/>
          <w:highlight w:val="none"/>
        </w:rPr>
        <w:fldChar w:fldCharType="begin"/>
      </w:r>
      <w:r>
        <w:rPr>
          <w:highlight w:val="none"/>
        </w:rPr>
        <w:instrText xml:space="preserve"> HYPERLINK \l _Toc1549955253 </w:instrText>
      </w:r>
      <w:r>
        <w:rPr>
          <w:highlight w:val="none"/>
        </w:rPr>
        <w:fldChar w:fldCharType="separate"/>
      </w:r>
      <w:r>
        <w:rPr>
          <w:rFonts w:ascii="Times New Roman" w:hAnsi="Times New Roman" w:eastAsia="宋体" w:cs="Times New Roman"/>
          <w:bCs/>
          <w:kern w:val="0"/>
          <w:szCs w:val="21"/>
          <w:highlight w:val="none"/>
        </w:rPr>
        <w:t>《建设工程勘察质量管理办法》案由17项</w:t>
      </w:r>
      <w:r>
        <w:tab/>
      </w:r>
      <w:r>
        <w:fldChar w:fldCharType="begin"/>
      </w:r>
      <w:r>
        <w:instrText xml:space="preserve"> PAGEREF _Toc1549955253 \h </w:instrText>
      </w:r>
      <w:r>
        <w:fldChar w:fldCharType="separate"/>
      </w:r>
      <w:r>
        <w:t>225</w:t>
      </w:r>
      <w:r>
        <w:fldChar w:fldCharType="end"/>
      </w:r>
      <w:r>
        <w:rPr>
          <w:color w:val="auto"/>
          <w:highlight w:val="none"/>
        </w:rPr>
        <w:fldChar w:fldCharType="end"/>
      </w:r>
    </w:p>
    <w:p w14:paraId="72812191">
      <w:pPr>
        <w:pStyle w:val="19"/>
        <w:tabs>
          <w:tab w:val="right" w:leader="dot" w:pos="9582"/>
        </w:tabs>
      </w:pPr>
      <w:r>
        <w:rPr>
          <w:color w:val="auto"/>
          <w:highlight w:val="none"/>
        </w:rPr>
        <w:fldChar w:fldCharType="begin"/>
      </w:r>
      <w:r>
        <w:rPr>
          <w:highlight w:val="none"/>
        </w:rPr>
        <w:instrText xml:space="preserve"> HYPERLINK \l _Toc1287850182 </w:instrText>
      </w:r>
      <w:r>
        <w:rPr>
          <w:highlight w:val="none"/>
        </w:rPr>
        <w:fldChar w:fldCharType="separate"/>
      </w:r>
      <w:r>
        <w:rPr>
          <w:rFonts w:hint="eastAsia" w:ascii="宋体" w:hAnsi="宋体" w:eastAsia="宋体" w:cs="宋体"/>
          <w:bCs/>
          <w:kern w:val="0"/>
          <w:szCs w:val="21"/>
          <w:highlight w:val="none"/>
        </w:rPr>
        <w:t>《建设工程勘察设计资质管理规定》案由4项</w:t>
      </w:r>
      <w:r>
        <w:tab/>
      </w:r>
      <w:r>
        <w:fldChar w:fldCharType="begin"/>
      </w:r>
      <w:r>
        <w:instrText xml:space="preserve"> PAGEREF _Toc1287850182 \h </w:instrText>
      </w:r>
      <w:r>
        <w:fldChar w:fldCharType="separate"/>
      </w:r>
      <w:r>
        <w:t>228</w:t>
      </w:r>
      <w:r>
        <w:fldChar w:fldCharType="end"/>
      </w:r>
      <w:r>
        <w:rPr>
          <w:color w:val="auto"/>
          <w:highlight w:val="none"/>
        </w:rPr>
        <w:fldChar w:fldCharType="end"/>
      </w:r>
    </w:p>
    <w:p w14:paraId="1DF7827D">
      <w:pPr>
        <w:pStyle w:val="17"/>
        <w:tabs>
          <w:tab w:val="right" w:leader="dot" w:pos="9582"/>
        </w:tabs>
      </w:pPr>
      <w:r>
        <w:rPr>
          <w:color w:val="auto"/>
          <w:highlight w:val="none"/>
        </w:rPr>
        <w:fldChar w:fldCharType="begin"/>
      </w:r>
      <w:r>
        <w:rPr>
          <w:highlight w:val="none"/>
        </w:rPr>
        <w:instrText xml:space="preserve"> HYPERLINK \l _Toc136816891 </w:instrText>
      </w:r>
      <w:r>
        <w:rPr>
          <w:highlight w:val="none"/>
        </w:rPr>
        <w:fldChar w:fldCharType="separate"/>
      </w:r>
      <w:r>
        <w:rPr>
          <w:rFonts w:hint="eastAsia" w:ascii="黑体" w:hAnsi="黑体" w:eastAsia="黑体" w:cs="黑体"/>
          <w:kern w:val="0"/>
          <w:szCs w:val="28"/>
          <w:highlight w:val="none"/>
        </w:rPr>
        <w:t>水利工程建设质量管理方面</w:t>
      </w:r>
      <w:r>
        <w:tab/>
      </w:r>
      <w:r>
        <w:fldChar w:fldCharType="begin"/>
      </w:r>
      <w:r>
        <w:instrText xml:space="preserve"> PAGEREF _Toc136816891 \h </w:instrText>
      </w:r>
      <w:r>
        <w:fldChar w:fldCharType="separate"/>
      </w:r>
      <w:r>
        <w:t>229</w:t>
      </w:r>
      <w:r>
        <w:fldChar w:fldCharType="end"/>
      </w:r>
      <w:r>
        <w:rPr>
          <w:color w:val="auto"/>
          <w:highlight w:val="none"/>
        </w:rPr>
        <w:fldChar w:fldCharType="end"/>
      </w:r>
    </w:p>
    <w:p w14:paraId="084987EE">
      <w:pPr>
        <w:pStyle w:val="19"/>
        <w:tabs>
          <w:tab w:val="right" w:leader="dot" w:pos="9582"/>
        </w:tabs>
      </w:pPr>
      <w:r>
        <w:rPr>
          <w:color w:val="auto"/>
          <w:highlight w:val="none"/>
        </w:rPr>
        <w:fldChar w:fldCharType="begin"/>
      </w:r>
      <w:r>
        <w:rPr>
          <w:highlight w:val="none"/>
        </w:rPr>
        <w:instrText xml:space="preserve"> HYPERLINK \l _Toc681008941 </w:instrText>
      </w:r>
      <w:r>
        <w:rPr>
          <w:highlight w:val="none"/>
        </w:rPr>
        <w:fldChar w:fldCharType="separate"/>
      </w:r>
      <w:r>
        <w:rPr>
          <w:rFonts w:ascii="Times New Roman" w:hAnsi="Times New Roman" w:eastAsia="宋体" w:cs="Times New Roman"/>
          <w:bCs/>
          <w:kern w:val="0"/>
          <w:szCs w:val="21"/>
          <w:highlight w:val="none"/>
        </w:rPr>
        <w:t>《中华人民共和国建筑法》案由1项</w:t>
      </w:r>
      <w:r>
        <w:tab/>
      </w:r>
      <w:r>
        <w:fldChar w:fldCharType="begin"/>
      </w:r>
      <w:r>
        <w:instrText xml:space="preserve"> PAGEREF _Toc681008941 \h </w:instrText>
      </w:r>
      <w:r>
        <w:fldChar w:fldCharType="separate"/>
      </w:r>
      <w:r>
        <w:t>229</w:t>
      </w:r>
      <w:r>
        <w:fldChar w:fldCharType="end"/>
      </w:r>
      <w:r>
        <w:rPr>
          <w:color w:val="auto"/>
          <w:highlight w:val="none"/>
        </w:rPr>
        <w:fldChar w:fldCharType="end"/>
      </w:r>
    </w:p>
    <w:p w14:paraId="5467D47F">
      <w:pPr>
        <w:pStyle w:val="19"/>
        <w:tabs>
          <w:tab w:val="right" w:leader="dot" w:pos="9582"/>
        </w:tabs>
      </w:pPr>
      <w:r>
        <w:rPr>
          <w:color w:val="auto"/>
          <w:highlight w:val="none"/>
        </w:rPr>
        <w:fldChar w:fldCharType="begin"/>
      </w:r>
      <w:r>
        <w:rPr>
          <w:highlight w:val="none"/>
        </w:rPr>
        <w:instrText xml:space="preserve"> HYPERLINK \l _Toc1954702544 </w:instrText>
      </w:r>
      <w:r>
        <w:rPr>
          <w:highlight w:val="none"/>
        </w:rPr>
        <w:fldChar w:fldCharType="separate"/>
      </w:r>
      <w:r>
        <w:rPr>
          <w:rFonts w:hint="eastAsia" w:ascii="宋体" w:hAnsi="宋体" w:eastAsia="宋体" w:cs="宋体"/>
          <w:bCs/>
          <w:kern w:val="0"/>
          <w:szCs w:val="21"/>
          <w:highlight w:val="none"/>
        </w:rPr>
        <w:t>《建设工程质量管理条例》《水利工程质量管理规定》案由28项</w:t>
      </w:r>
      <w:r>
        <w:tab/>
      </w:r>
      <w:r>
        <w:fldChar w:fldCharType="begin"/>
      </w:r>
      <w:r>
        <w:instrText xml:space="preserve"> PAGEREF _Toc1954702544 \h </w:instrText>
      </w:r>
      <w:r>
        <w:fldChar w:fldCharType="separate"/>
      </w:r>
      <w:r>
        <w:t>229</w:t>
      </w:r>
      <w:r>
        <w:fldChar w:fldCharType="end"/>
      </w:r>
      <w:r>
        <w:rPr>
          <w:color w:val="auto"/>
          <w:highlight w:val="none"/>
        </w:rPr>
        <w:fldChar w:fldCharType="end"/>
      </w:r>
    </w:p>
    <w:p w14:paraId="07F5E8E5">
      <w:pPr>
        <w:pStyle w:val="19"/>
        <w:tabs>
          <w:tab w:val="right" w:leader="dot" w:pos="9582"/>
        </w:tabs>
      </w:pPr>
      <w:r>
        <w:rPr>
          <w:color w:val="auto"/>
          <w:highlight w:val="none"/>
        </w:rPr>
        <w:fldChar w:fldCharType="begin"/>
      </w:r>
      <w:r>
        <w:rPr>
          <w:highlight w:val="none"/>
        </w:rPr>
        <w:instrText xml:space="preserve"> HYPERLINK \l _Toc565743131 </w:instrText>
      </w:r>
      <w:r>
        <w:rPr>
          <w:highlight w:val="none"/>
        </w:rPr>
        <w:fldChar w:fldCharType="separate"/>
      </w:r>
      <w:r>
        <w:rPr>
          <w:rFonts w:hint="eastAsia" w:ascii="宋体" w:hAnsi="宋体" w:eastAsia="宋体" w:cs="宋体"/>
          <w:bCs/>
          <w:kern w:val="0"/>
          <w:szCs w:val="21"/>
          <w:highlight w:val="none"/>
        </w:rPr>
        <w:t>《水利工程质量管理规定》案由1项</w:t>
      </w:r>
      <w:r>
        <w:tab/>
      </w:r>
      <w:r>
        <w:fldChar w:fldCharType="begin"/>
      </w:r>
      <w:r>
        <w:instrText xml:space="preserve"> PAGEREF _Toc565743131 \h </w:instrText>
      </w:r>
      <w:r>
        <w:fldChar w:fldCharType="separate"/>
      </w:r>
      <w:r>
        <w:t>237</w:t>
      </w:r>
      <w:r>
        <w:fldChar w:fldCharType="end"/>
      </w:r>
      <w:r>
        <w:rPr>
          <w:color w:val="auto"/>
          <w:highlight w:val="none"/>
        </w:rPr>
        <w:fldChar w:fldCharType="end"/>
      </w:r>
    </w:p>
    <w:p w14:paraId="5FC5B9DE">
      <w:pPr>
        <w:pStyle w:val="19"/>
        <w:tabs>
          <w:tab w:val="right" w:leader="dot" w:pos="9582"/>
        </w:tabs>
      </w:pPr>
      <w:r>
        <w:rPr>
          <w:color w:val="auto"/>
          <w:highlight w:val="none"/>
        </w:rPr>
        <w:fldChar w:fldCharType="begin"/>
      </w:r>
      <w:r>
        <w:rPr>
          <w:highlight w:val="none"/>
        </w:rPr>
        <w:instrText xml:space="preserve"> HYPERLINK \l _Toc517666752 </w:instrText>
      </w:r>
      <w:r>
        <w:rPr>
          <w:highlight w:val="none"/>
        </w:rPr>
        <w:fldChar w:fldCharType="separate"/>
      </w:r>
      <w:r>
        <w:rPr>
          <w:rFonts w:hint="eastAsia" w:ascii="宋体" w:hAnsi="宋体" w:eastAsia="宋体" w:cs="宋体"/>
          <w:bCs/>
          <w:kern w:val="0"/>
          <w:szCs w:val="21"/>
          <w:highlight w:val="none"/>
        </w:rPr>
        <w:t>《水利工程质量检测管理规定》案由11项</w:t>
      </w:r>
      <w:r>
        <w:tab/>
      </w:r>
      <w:r>
        <w:fldChar w:fldCharType="begin"/>
      </w:r>
      <w:r>
        <w:instrText xml:space="preserve"> PAGEREF _Toc517666752 \h </w:instrText>
      </w:r>
      <w:r>
        <w:fldChar w:fldCharType="separate"/>
      </w:r>
      <w:r>
        <w:t>237</w:t>
      </w:r>
      <w:r>
        <w:fldChar w:fldCharType="end"/>
      </w:r>
      <w:r>
        <w:rPr>
          <w:color w:val="auto"/>
          <w:highlight w:val="none"/>
        </w:rPr>
        <w:fldChar w:fldCharType="end"/>
      </w:r>
    </w:p>
    <w:p w14:paraId="59AF1860">
      <w:pPr>
        <w:pStyle w:val="19"/>
        <w:tabs>
          <w:tab w:val="right" w:leader="dot" w:pos="9582"/>
        </w:tabs>
      </w:pPr>
      <w:r>
        <w:rPr>
          <w:color w:val="auto"/>
          <w:highlight w:val="none"/>
        </w:rPr>
        <w:fldChar w:fldCharType="begin"/>
      </w:r>
      <w:r>
        <w:rPr>
          <w:highlight w:val="none"/>
        </w:rPr>
        <w:instrText xml:space="preserve"> HYPERLINK \l _Toc1566018748 </w:instrText>
      </w:r>
      <w:r>
        <w:rPr>
          <w:highlight w:val="none"/>
        </w:rPr>
        <w:fldChar w:fldCharType="separate"/>
      </w:r>
      <w:r>
        <w:rPr>
          <w:rFonts w:hint="eastAsia" w:ascii="宋体" w:hAnsi="宋体" w:eastAsia="宋体" w:cs="宋体"/>
          <w:bCs/>
          <w:kern w:val="0"/>
          <w:szCs w:val="21"/>
          <w:highlight w:val="none"/>
        </w:rPr>
        <w:t>《水利工程建设监理规定》案由</w:t>
      </w:r>
      <w:r>
        <w:rPr>
          <w:rFonts w:hint="eastAsia" w:ascii="宋体" w:hAnsi="宋体" w:eastAsia="宋体" w:cs="宋体"/>
          <w:bCs/>
          <w:kern w:val="0"/>
          <w:szCs w:val="21"/>
          <w:highlight w:val="none"/>
          <w:lang w:val="en-US" w:eastAsia="zh-CN"/>
        </w:rPr>
        <w:t>10</w:t>
      </w:r>
      <w:r>
        <w:rPr>
          <w:rFonts w:hint="eastAsia" w:ascii="宋体" w:hAnsi="宋体" w:eastAsia="宋体" w:cs="宋体"/>
          <w:bCs/>
          <w:kern w:val="0"/>
          <w:szCs w:val="21"/>
          <w:highlight w:val="none"/>
        </w:rPr>
        <w:t>项</w:t>
      </w:r>
      <w:r>
        <w:tab/>
      </w:r>
      <w:r>
        <w:fldChar w:fldCharType="begin"/>
      </w:r>
      <w:r>
        <w:instrText xml:space="preserve"> PAGEREF _Toc1566018748 \h </w:instrText>
      </w:r>
      <w:r>
        <w:fldChar w:fldCharType="separate"/>
      </w:r>
      <w:r>
        <w:t>239</w:t>
      </w:r>
      <w:r>
        <w:fldChar w:fldCharType="end"/>
      </w:r>
      <w:r>
        <w:rPr>
          <w:color w:val="auto"/>
          <w:highlight w:val="none"/>
        </w:rPr>
        <w:fldChar w:fldCharType="end"/>
      </w:r>
    </w:p>
    <w:p w14:paraId="22929AED">
      <w:pPr>
        <w:pStyle w:val="19"/>
        <w:tabs>
          <w:tab w:val="right" w:leader="dot" w:pos="9582"/>
        </w:tabs>
      </w:pPr>
      <w:r>
        <w:rPr>
          <w:color w:val="auto"/>
          <w:highlight w:val="none"/>
        </w:rPr>
        <w:fldChar w:fldCharType="begin"/>
      </w:r>
      <w:r>
        <w:rPr>
          <w:highlight w:val="none"/>
        </w:rPr>
        <w:instrText xml:space="preserve"> HYPERLINK \l _Toc778723007 </w:instrText>
      </w:r>
      <w:r>
        <w:rPr>
          <w:highlight w:val="none"/>
        </w:rPr>
        <w:fldChar w:fldCharType="separate"/>
      </w:r>
      <w:r>
        <w:rPr>
          <w:rFonts w:hint="eastAsia" w:ascii="宋体" w:hAnsi="宋体" w:eastAsia="宋体" w:cs="宋体"/>
          <w:bCs/>
          <w:kern w:val="0"/>
          <w:szCs w:val="21"/>
          <w:highlight w:val="none"/>
        </w:rPr>
        <w:t>《水利工程质量事故处理规定》案由1项</w:t>
      </w:r>
      <w:r>
        <w:tab/>
      </w:r>
      <w:r>
        <w:fldChar w:fldCharType="begin"/>
      </w:r>
      <w:r>
        <w:instrText xml:space="preserve"> PAGEREF _Toc778723007 \h </w:instrText>
      </w:r>
      <w:r>
        <w:fldChar w:fldCharType="separate"/>
      </w:r>
      <w:r>
        <w:t>241</w:t>
      </w:r>
      <w:r>
        <w:fldChar w:fldCharType="end"/>
      </w:r>
      <w:r>
        <w:rPr>
          <w:color w:val="auto"/>
          <w:highlight w:val="none"/>
        </w:rPr>
        <w:fldChar w:fldCharType="end"/>
      </w:r>
    </w:p>
    <w:p w14:paraId="1393121C">
      <w:pPr>
        <w:pStyle w:val="19"/>
        <w:tabs>
          <w:tab w:val="right" w:leader="dot" w:pos="9582"/>
        </w:tabs>
      </w:pPr>
      <w:r>
        <w:rPr>
          <w:color w:val="auto"/>
          <w:highlight w:val="none"/>
        </w:rPr>
        <w:fldChar w:fldCharType="begin"/>
      </w:r>
      <w:r>
        <w:rPr>
          <w:highlight w:val="none"/>
        </w:rPr>
        <w:instrText xml:space="preserve"> HYPERLINK \l _Toc1219974643 </w:instrText>
      </w:r>
      <w:r>
        <w:rPr>
          <w:highlight w:val="none"/>
        </w:rPr>
        <w:fldChar w:fldCharType="separate"/>
      </w:r>
      <w:r>
        <w:rPr>
          <w:rFonts w:hint="eastAsia" w:ascii="宋体" w:hAnsi="宋体" w:eastAsia="宋体" w:cs="宋体"/>
          <w:bCs/>
          <w:kern w:val="0"/>
          <w:szCs w:val="21"/>
          <w:highlight w:val="none"/>
        </w:rPr>
        <w:t>《实施工程建设强制性标准监督规定》案由1项</w:t>
      </w:r>
      <w:r>
        <w:tab/>
      </w:r>
      <w:r>
        <w:fldChar w:fldCharType="begin"/>
      </w:r>
      <w:r>
        <w:instrText xml:space="preserve"> PAGEREF _Toc1219974643 \h </w:instrText>
      </w:r>
      <w:r>
        <w:fldChar w:fldCharType="separate"/>
      </w:r>
      <w:r>
        <w:t>241</w:t>
      </w:r>
      <w:r>
        <w:fldChar w:fldCharType="end"/>
      </w:r>
      <w:r>
        <w:rPr>
          <w:color w:val="auto"/>
          <w:highlight w:val="none"/>
        </w:rPr>
        <w:fldChar w:fldCharType="end"/>
      </w:r>
    </w:p>
    <w:p w14:paraId="398BF487">
      <w:pPr>
        <w:pStyle w:val="19"/>
        <w:tabs>
          <w:tab w:val="right" w:leader="dot" w:pos="9582"/>
        </w:tabs>
      </w:pPr>
      <w:r>
        <w:rPr>
          <w:color w:val="auto"/>
          <w:highlight w:val="none"/>
        </w:rPr>
        <w:fldChar w:fldCharType="begin"/>
      </w:r>
      <w:r>
        <w:rPr>
          <w:highlight w:val="none"/>
        </w:rPr>
        <w:instrText xml:space="preserve"> HYPERLINK \l _Toc629926218 </w:instrText>
      </w:r>
      <w:r>
        <w:rPr>
          <w:highlight w:val="none"/>
        </w:rPr>
        <w:fldChar w:fldCharType="separate"/>
      </w:r>
      <w:r>
        <w:rPr>
          <w:rFonts w:hint="eastAsia" w:ascii="宋体" w:hAnsi="宋体" w:eastAsia="宋体" w:cs="宋体"/>
          <w:bCs/>
          <w:kern w:val="0"/>
          <w:szCs w:val="21"/>
          <w:highlight w:val="none"/>
        </w:rPr>
        <w:t>《建设工程勘察质量管理办法》案由1项</w:t>
      </w:r>
      <w:r>
        <w:tab/>
      </w:r>
      <w:r>
        <w:fldChar w:fldCharType="begin"/>
      </w:r>
      <w:r>
        <w:instrText xml:space="preserve"> PAGEREF _Toc629926218 \h </w:instrText>
      </w:r>
      <w:r>
        <w:fldChar w:fldCharType="separate"/>
      </w:r>
      <w:r>
        <w:t>241</w:t>
      </w:r>
      <w:r>
        <w:fldChar w:fldCharType="end"/>
      </w:r>
      <w:r>
        <w:rPr>
          <w:color w:val="auto"/>
          <w:highlight w:val="none"/>
        </w:rPr>
        <w:fldChar w:fldCharType="end"/>
      </w:r>
    </w:p>
    <w:p w14:paraId="0F39D144">
      <w:pPr>
        <w:pStyle w:val="19"/>
        <w:tabs>
          <w:tab w:val="right" w:leader="dot" w:pos="9582"/>
        </w:tabs>
      </w:pPr>
      <w:r>
        <w:rPr>
          <w:color w:val="auto"/>
          <w:highlight w:val="none"/>
        </w:rPr>
        <w:fldChar w:fldCharType="begin"/>
      </w:r>
      <w:r>
        <w:rPr>
          <w:highlight w:val="none"/>
        </w:rPr>
        <w:instrText xml:space="preserve"> HYPERLINK \l _Toc54520453 </w:instrText>
      </w:r>
      <w:r>
        <w:rPr>
          <w:highlight w:val="none"/>
        </w:rPr>
        <w:fldChar w:fldCharType="separate"/>
      </w:r>
      <w:r>
        <w:rPr>
          <w:rFonts w:hint="eastAsia" w:ascii="宋体" w:hAnsi="宋体" w:eastAsia="宋体" w:cs="宋体"/>
          <w:bCs/>
          <w:kern w:val="0"/>
          <w:szCs w:val="21"/>
          <w:highlight w:val="none"/>
        </w:rPr>
        <w:t>《北京市建设工程质量条例》案由28项</w:t>
      </w:r>
      <w:r>
        <w:tab/>
      </w:r>
      <w:r>
        <w:fldChar w:fldCharType="begin"/>
      </w:r>
      <w:r>
        <w:instrText xml:space="preserve"> PAGEREF _Toc54520453 \h </w:instrText>
      </w:r>
      <w:r>
        <w:fldChar w:fldCharType="separate"/>
      </w:r>
      <w:r>
        <w:t>241</w:t>
      </w:r>
      <w:r>
        <w:fldChar w:fldCharType="end"/>
      </w:r>
      <w:r>
        <w:rPr>
          <w:color w:val="auto"/>
          <w:highlight w:val="none"/>
        </w:rPr>
        <w:fldChar w:fldCharType="end"/>
      </w:r>
    </w:p>
    <w:p w14:paraId="1B6AED7D">
      <w:pPr>
        <w:pStyle w:val="17"/>
        <w:tabs>
          <w:tab w:val="right" w:leader="dot" w:pos="9582"/>
        </w:tabs>
      </w:pPr>
      <w:r>
        <w:rPr>
          <w:color w:val="auto"/>
          <w:highlight w:val="none"/>
        </w:rPr>
        <w:fldChar w:fldCharType="begin"/>
      </w:r>
      <w:r>
        <w:rPr>
          <w:highlight w:val="none"/>
        </w:rPr>
        <w:instrText xml:space="preserve"> HYPERLINK \l _Toc1157764916 </w:instrText>
      </w:r>
      <w:r>
        <w:rPr>
          <w:highlight w:val="none"/>
        </w:rPr>
        <w:fldChar w:fldCharType="separate"/>
      </w:r>
      <w:r>
        <w:rPr>
          <w:rFonts w:hint="eastAsia" w:ascii="黑体" w:hAnsi="黑体" w:eastAsia="黑体" w:cs="黑体"/>
          <w:kern w:val="0"/>
          <w:szCs w:val="28"/>
          <w:highlight w:val="none"/>
        </w:rPr>
        <w:t>水利建设工程安全生产管理方面</w:t>
      </w:r>
      <w:r>
        <w:tab/>
      </w:r>
      <w:r>
        <w:fldChar w:fldCharType="begin"/>
      </w:r>
      <w:r>
        <w:instrText xml:space="preserve"> PAGEREF _Toc1157764916 \h </w:instrText>
      </w:r>
      <w:r>
        <w:fldChar w:fldCharType="separate"/>
      </w:r>
      <w:r>
        <w:t>248</w:t>
      </w:r>
      <w:r>
        <w:fldChar w:fldCharType="end"/>
      </w:r>
      <w:r>
        <w:rPr>
          <w:color w:val="auto"/>
          <w:highlight w:val="none"/>
        </w:rPr>
        <w:fldChar w:fldCharType="end"/>
      </w:r>
    </w:p>
    <w:p w14:paraId="1B7667AF">
      <w:pPr>
        <w:pStyle w:val="19"/>
        <w:tabs>
          <w:tab w:val="right" w:leader="dot" w:pos="9582"/>
        </w:tabs>
      </w:pPr>
      <w:r>
        <w:rPr>
          <w:color w:val="auto"/>
          <w:highlight w:val="none"/>
        </w:rPr>
        <w:fldChar w:fldCharType="begin"/>
      </w:r>
      <w:r>
        <w:rPr>
          <w:highlight w:val="none"/>
        </w:rPr>
        <w:instrText xml:space="preserve"> HYPERLINK \l _Toc1713395972 </w:instrText>
      </w:r>
      <w:r>
        <w:rPr>
          <w:highlight w:val="none"/>
        </w:rPr>
        <w:fldChar w:fldCharType="separate"/>
      </w:r>
      <w:r>
        <w:rPr>
          <w:rFonts w:ascii="Times New Roman" w:hAnsi="Times New Roman" w:eastAsia="宋体" w:cs="Times New Roman"/>
          <w:bCs/>
          <w:kern w:val="0"/>
          <w:szCs w:val="21"/>
          <w:highlight w:val="none"/>
        </w:rPr>
        <w:t>《建设工程安全生产管理条例》《水利工程建设监理规定》案由28项</w:t>
      </w:r>
      <w:r>
        <w:tab/>
      </w:r>
      <w:r>
        <w:fldChar w:fldCharType="begin"/>
      </w:r>
      <w:r>
        <w:instrText xml:space="preserve"> PAGEREF _Toc1713395972 \h </w:instrText>
      </w:r>
      <w:r>
        <w:fldChar w:fldCharType="separate"/>
      </w:r>
      <w:r>
        <w:t>248</w:t>
      </w:r>
      <w:r>
        <w:fldChar w:fldCharType="end"/>
      </w:r>
      <w:r>
        <w:rPr>
          <w:color w:val="auto"/>
          <w:highlight w:val="none"/>
        </w:rPr>
        <w:fldChar w:fldCharType="end"/>
      </w:r>
    </w:p>
    <w:p w14:paraId="167C1766">
      <w:pPr>
        <w:pStyle w:val="22"/>
        <w:tabs>
          <w:tab w:val="left" w:pos="1516"/>
        </w:tabs>
        <w:ind w:left="0" w:leftChars="0" w:firstLine="0" w:firstLineChars="0"/>
        <w:rPr>
          <w:color w:val="auto"/>
          <w:highlight w:val="none"/>
        </w:rPr>
      </w:pPr>
      <w:r>
        <w:rPr>
          <w:color w:val="auto"/>
          <w:highlight w:val="none"/>
        </w:rPr>
        <w:fldChar w:fldCharType="end"/>
      </w:r>
    </w:p>
    <w:p w14:paraId="19E136F4">
      <w:pPr>
        <w:rPr>
          <w:rFonts w:hint="eastAsia"/>
          <w:color w:val="auto"/>
          <w:highlight w:val="none"/>
        </w:rPr>
      </w:pPr>
    </w:p>
    <w:p w14:paraId="50D1BEEE">
      <w:pPr>
        <w:pStyle w:val="22"/>
        <w:rPr>
          <w:rFonts w:hint="eastAsia"/>
          <w:color w:val="auto"/>
          <w:highlight w:val="none"/>
        </w:rPr>
      </w:pPr>
    </w:p>
    <w:p w14:paraId="5C8988EC">
      <w:pPr>
        <w:pStyle w:val="22"/>
        <w:rPr>
          <w:rFonts w:hint="eastAsia"/>
          <w:color w:val="auto"/>
          <w:highlight w:val="none"/>
        </w:rPr>
      </w:pPr>
    </w:p>
    <w:p w14:paraId="1769F72C">
      <w:pPr>
        <w:pStyle w:val="22"/>
        <w:rPr>
          <w:rFonts w:hint="eastAsia"/>
          <w:color w:val="auto"/>
          <w:highlight w:val="none"/>
        </w:rPr>
      </w:pPr>
    </w:p>
    <w:p w14:paraId="4C63EC3D">
      <w:pPr>
        <w:pStyle w:val="22"/>
        <w:rPr>
          <w:rFonts w:hint="eastAsia"/>
          <w:color w:val="auto"/>
          <w:highlight w:val="none"/>
        </w:rPr>
      </w:pPr>
    </w:p>
    <w:p w14:paraId="6B27FF91">
      <w:pPr>
        <w:pStyle w:val="22"/>
        <w:rPr>
          <w:rFonts w:hint="eastAsia"/>
          <w:color w:val="auto"/>
          <w:highlight w:val="none"/>
        </w:rPr>
      </w:pPr>
    </w:p>
    <w:p w14:paraId="5C86AEDD">
      <w:pPr>
        <w:pStyle w:val="22"/>
        <w:rPr>
          <w:rFonts w:hint="eastAsia"/>
          <w:color w:val="auto"/>
          <w:highlight w:val="none"/>
        </w:rPr>
      </w:pPr>
    </w:p>
    <w:p w14:paraId="2171E025">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720" w:num="1"/>
          <w:rtlGutter w:val="0"/>
          <w:docGrid w:linePitch="634" w:charSpace="0"/>
        </w:sectPr>
      </w:pPr>
    </w:p>
    <w:p w14:paraId="581C95B4">
      <w:pPr>
        <w:pStyle w:val="22"/>
        <w:rPr>
          <w:rFonts w:hint="eastAsia"/>
          <w:color w:val="auto"/>
          <w:highlight w:val="none"/>
        </w:rPr>
      </w:pPr>
    </w:p>
    <w:tbl>
      <w:tblPr>
        <w:tblStyle w:val="23"/>
        <w:tblpPr w:leftFromText="180" w:rightFromText="180" w:vertAnchor="text" w:horzAnchor="page" w:tblpX="328" w:tblpY="449"/>
        <w:tblOverlap w:val="never"/>
        <w:tblW w:w="16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
        <w:gridCol w:w="1624"/>
        <w:gridCol w:w="2981"/>
        <w:gridCol w:w="851"/>
        <w:gridCol w:w="840"/>
        <w:gridCol w:w="2376"/>
        <w:gridCol w:w="1054"/>
        <w:gridCol w:w="821"/>
        <w:gridCol w:w="4"/>
        <w:gridCol w:w="2016"/>
        <w:gridCol w:w="711"/>
        <w:gridCol w:w="593"/>
        <w:gridCol w:w="1869"/>
        <w:gridCol w:w="269"/>
        <w:gridCol w:w="236"/>
      </w:tblGrid>
      <w:tr w14:paraId="5B7E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05" w:type="dxa"/>
          <w:trHeight w:val="90" w:hRule="atLeast"/>
          <w:tblHeader/>
        </w:trPr>
        <w:tc>
          <w:tcPr>
            <w:tcW w:w="714" w:type="dxa"/>
            <w:noWrap w:val="0"/>
            <w:vAlign w:val="center"/>
          </w:tcPr>
          <w:p w14:paraId="5B6398CD">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626" w:type="dxa"/>
            <w:gridSpan w:val="2"/>
            <w:noWrap w:val="0"/>
            <w:vAlign w:val="center"/>
          </w:tcPr>
          <w:p w14:paraId="6579E55B">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981" w:type="dxa"/>
            <w:noWrap w:val="0"/>
            <w:vAlign w:val="center"/>
          </w:tcPr>
          <w:p w14:paraId="586B3A01">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noWrap w:val="0"/>
            <w:vAlign w:val="center"/>
          </w:tcPr>
          <w:p w14:paraId="72A49505">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14:paraId="3EC981EB">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noWrap w:val="0"/>
            <w:vAlign w:val="center"/>
          </w:tcPr>
          <w:p w14:paraId="5C94E900">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14:paraId="0E99CDBC">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2376" w:type="dxa"/>
            <w:noWrap w:val="0"/>
            <w:vAlign w:val="center"/>
          </w:tcPr>
          <w:p w14:paraId="2966D53F">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lang w:eastAsia="zh-CN"/>
              </w:rPr>
              <w:t>情节</w:t>
            </w:r>
            <w:r>
              <w:rPr>
                <w:rFonts w:hint="eastAsia" w:ascii="黑体" w:hAnsi="宋体" w:eastAsia="黑体" w:cs="宋体"/>
                <w:b/>
                <w:bCs/>
                <w:color w:val="auto"/>
                <w:kern w:val="0"/>
                <w:sz w:val="24"/>
                <w:highlight w:val="none"/>
              </w:rPr>
              <w:t>系数</w:t>
            </w:r>
          </w:p>
        </w:tc>
        <w:tc>
          <w:tcPr>
            <w:tcW w:w="1875" w:type="dxa"/>
            <w:gridSpan w:val="2"/>
            <w:noWrap w:val="0"/>
            <w:vAlign w:val="center"/>
          </w:tcPr>
          <w:p w14:paraId="2958C742">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2020" w:type="dxa"/>
            <w:gridSpan w:val="2"/>
            <w:noWrap w:val="0"/>
            <w:vAlign w:val="center"/>
          </w:tcPr>
          <w:p w14:paraId="09AB1DDA">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c>
          <w:tcPr>
            <w:tcW w:w="1304" w:type="dxa"/>
            <w:gridSpan w:val="2"/>
            <w:noWrap w:val="0"/>
            <w:vAlign w:val="center"/>
          </w:tcPr>
          <w:p w14:paraId="74DE64F7">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行使</w:t>
            </w:r>
          </w:p>
          <w:p w14:paraId="3F8A774F">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层级</w:t>
            </w:r>
          </w:p>
        </w:tc>
        <w:tc>
          <w:tcPr>
            <w:tcW w:w="1869" w:type="dxa"/>
            <w:noWrap w:val="0"/>
            <w:vAlign w:val="center"/>
          </w:tcPr>
          <w:p w14:paraId="1ED773DB">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lang w:val="en-US" w:eastAsia="zh-CN"/>
              </w:rPr>
            </w:pPr>
            <w:r>
              <w:rPr>
                <w:rFonts w:hint="eastAsia" w:ascii="黑体" w:hAnsi="宋体" w:eastAsia="黑体" w:cs="宋体"/>
                <w:b/>
                <w:bCs/>
                <w:color w:val="auto"/>
                <w:kern w:val="0"/>
                <w:sz w:val="24"/>
                <w:highlight w:val="none"/>
                <w:lang w:val="en-US" w:eastAsia="zh-CN"/>
              </w:rPr>
              <w:t>职权编码</w:t>
            </w:r>
          </w:p>
        </w:tc>
      </w:tr>
      <w:tr w14:paraId="38FA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16456" w:type="dxa"/>
            <w:gridSpan w:val="14"/>
            <w:noWrap w:val="0"/>
            <w:vAlign w:val="center"/>
          </w:tcPr>
          <w:p w14:paraId="2285F124">
            <w:pPr>
              <w:pStyle w:val="2"/>
              <w:keepNext w:val="0"/>
              <w:keepLines w:val="0"/>
              <w:rPr>
                <w:rFonts w:hint="eastAsia" w:ascii="黑体" w:hAnsi="黑体" w:eastAsia="黑体"/>
                <w:b w:val="0"/>
                <w:color w:val="auto"/>
                <w:sz w:val="28"/>
                <w:szCs w:val="28"/>
                <w:highlight w:val="none"/>
              </w:rPr>
            </w:pPr>
            <w:bookmarkStart w:id="0" w:name="_Toc1313145976"/>
            <w:bookmarkStart w:id="1" w:name="_Toc1748547838"/>
            <w:bookmarkStart w:id="2" w:name="_Toc110851435"/>
            <w:r>
              <w:rPr>
                <w:rFonts w:hint="eastAsia" w:ascii="黑体" w:hAnsi="黑体" w:eastAsia="黑体"/>
                <w:b w:val="0"/>
                <w:color w:val="auto"/>
                <w:sz w:val="28"/>
                <w:szCs w:val="28"/>
                <w:highlight w:val="none"/>
              </w:rPr>
              <w:t>市容环境卫生管理方面</w:t>
            </w:r>
            <w:bookmarkEnd w:id="0"/>
            <w:bookmarkEnd w:id="1"/>
            <w:bookmarkEnd w:id="2"/>
          </w:p>
        </w:tc>
      </w:tr>
      <w:tr w14:paraId="552AB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60" w:hRule="atLeast"/>
        </w:trPr>
        <w:tc>
          <w:tcPr>
            <w:tcW w:w="16456" w:type="dxa"/>
            <w:gridSpan w:val="14"/>
            <w:noWrap w:val="0"/>
            <w:vAlign w:val="center"/>
          </w:tcPr>
          <w:p w14:paraId="0628AA7D">
            <w:pPr>
              <w:pStyle w:val="3"/>
              <w:widowControl w:val="0"/>
              <w:spacing w:line="232" w:lineRule="exact"/>
              <w:jc w:val="center"/>
              <w:rPr>
                <w:rFonts w:hint="eastAsia" w:ascii="宋体" w:hAnsi="宋体" w:eastAsia="宋体"/>
                <w:color w:val="auto"/>
                <w:sz w:val="21"/>
                <w:szCs w:val="21"/>
                <w:highlight w:val="none"/>
              </w:rPr>
            </w:pPr>
            <w:bookmarkStart w:id="3" w:name="_Toc1944272260"/>
            <w:bookmarkStart w:id="4" w:name="_Toc757395256"/>
            <w:bookmarkStart w:id="5" w:name="_Toc110851436"/>
            <w:r>
              <w:rPr>
                <w:rFonts w:hint="eastAsia" w:ascii="宋体" w:hAnsi="宋体" w:eastAsia="宋体"/>
                <w:color w:val="auto"/>
                <w:sz w:val="21"/>
                <w:szCs w:val="21"/>
                <w:highlight w:val="none"/>
              </w:rPr>
              <w:t>《北京市市容环境卫生条例》案由56项</w:t>
            </w:r>
            <w:bookmarkEnd w:id="3"/>
            <w:bookmarkEnd w:id="4"/>
            <w:bookmarkEnd w:id="5"/>
          </w:p>
        </w:tc>
      </w:tr>
      <w:tr w14:paraId="22A5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14:paraId="02C0676B">
            <w:pPr>
              <w:spacing w:line="232" w:lineRule="exact"/>
              <w:jc w:val="center"/>
              <w:rPr>
                <w:rFonts w:ascii="宋体" w:hAnsi="宋体" w:eastAsia="宋体" w:cs="宋体"/>
                <w:color w:val="auto"/>
                <w:kern w:val="0"/>
                <w:sz w:val="15"/>
                <w:szCs w:val="15"/>
                <w:highlight w:val="none"/>
              </w:rPr>
            </w:pPr>
            <w:bookmarkStart w:id="6" w:name="OLE_LINK1"/>
            <w:r>
              <w:rPr>
                <w:rFonts w:hint="eastAsia" w:ascii="宋体" w:hAnsi="宋体" w:eastAsia="宋体" w:cs="宋体"/>
                <w:color w:val="auto"/>
                <w:kern w:val="0"/>
                <w:sz w:val="15"/>
                <w:szCs w:val="15"/>
                <w:highlight w:val="none"/>
              </w:rPr>
              <w:t>1</w:t>
            </w:r>
          </w:p>
        </w:tc>
        <w:tc>
          <w:tcPr>
            <w:tcW w:w="1626" w:type="dxa"/>
            <w:gridSpan w:val="2"/>
            <w:noWrap w:val="0"/>
            <w:vAlign w:val="center"/>
          </w:tcPr>
          <w:p w14:paraId="03FA668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未按要求履行维护市容环境卫生责任</w:t>
            </w:r>
          </w:p>
        </w:tc>
        <w:tc>
          <w:tcPr>
            <w:tcW w:w="2981" w:type="dxa"/>
            <w:noWrap w:val="0"/>
            <w:vAlign w:val="center"/>
          </w:tcPr>
          <w:p w14:paraId="05923BA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【城镇地区】</w:t>
            </w:r>
          </w:p>
          <w:p w14:paraId="750B69E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14:paraId="23B03E6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【农村地区】</w:t>
            </w:r>
          </w:p>
          <w:p w14:paraId="280DAE5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noWrap w:val="0"/>
            <w:vAlign w:val="center"/>
          </w:tcPr>
          <w:p w14:paraId="6378EF5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p w14:paraId="421DF22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（注：单位：</w:t>
            </w:r>
            <w:r>
              <w:rPr>
                <w:rFonts w:hint="eastAsia" w:ascii="宋体" w:hAnsi="宋体" w:eastAsia="宋体" w:cs="宋体"/>
                <w:bCs/>
                <w:color w:val="auto"/>
                <w:kern w:val="0"/>
                <w:sz w:val="15"/>
                <w:szCs w:val="15"/>
                <w:highlight w:val="none"/>
              </w:rPr>
              <w:t>元，下同</w:t>
            </w:r>
            <w:r>
              <w:rPr>
                <w:rFonts w:hint="eastAsia" w:ascii="宋体" w:hAnsi="宋体" w:eastAsia="宋体" w:cs="宋体"/>
                <w:color w:val="auto"/>
                <w:kern w:val="0"/>
                <w:sz w:val="15"/>
                <w:szCs w:val="15"/>
                <w:highlight w:val="none"/>
              </w:rPr>
              <w:t>）</w:t>
            </w:r>
          </w:p>
        </w:tc>
        <w:tc>
          <w:tcPr>
            <w:tcW w:w="840" w:type="dxa"/>
            <w:noWrap w:val="0"/>
            <w:vAlign w:val="center"/>
          </w:tcPr>
          <w:p w14:paraId="16978E6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BA210E4">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存在基准2.1.3规定情形的，系数按照相关规定确定。</w:t>
            </w:r>
          </w:p>
          <w:p w14:paraId="323958CD">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7B80FA8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1C940B81">
            <w:pPr>
              <w:spacing w:line="232" w:lineRule="exact"/>
              <w:rPr>
                <w:rFonts w:ascii="宋体" w:hAnsi="宋体" w:eastAsia="宋体"/>
                <w:strike w:val="0"/>
                <w:dstrike w:val="0"/>
                <w:color w:val="auto"/>
                <w:sz w:val="15"/>
                <w:szCs w:val="15"/>
                <w:highlight w:val="none"/>
              </w:rPr>
            </w:pPr>
          </w:p>
        </w:tc>
        <w:tc>
          <w:tcPr>
            <w:tcW w:w="1304" w:type="dxa"/>
            <w:gridSpan w:val="2"/>
            <w:noWrap w:val="0"/>
            <w:vAlign w:val="center"/>
          </w:tcPr>
          <w:p w14:paraId="4D5B1A3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B5BBD0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ED527C5">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C4600600</w:t>
            </w:r>
          </w:p>
        </w:tc>
      </w:tr>
      <w:bookmarkEnd w:id="6"/>
      <w:tr w14:paraId="53BC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14:paraId="3AA681C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14:paraId="1B7ED9DE">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擅自在临街的建筑物上设置装饰物品</w:t>
            </w:r>
          </w:p>
        </w:tc>
        <w:tc>
          <w:tcPr>
            <w:tcW w:w="2981" w:type="dxa"/>
            <w:noWrap w:val="0"/>
            <w:vAlign w:val="center"/>
          </w:tcPr>
          <w:p w14:paraId="3098CA05">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noWrap w:val="0"/>
            <w:vAlign w:val="center"/>
          </w:tcPr>
          <w:p w14:paraId="6B9D853B">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24DA6DB8">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CBDAFF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noWrap w:val="0"/>
            <w:vAlign w:val="center"/>
          </w:tcPr>
          <w:p w14:paraId="0D51C288">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6C14EC85">
            <w:pPr>
              <w:spacing w:line="240"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304" w:type="dxa"/>
            <w:gridSpan w:val="2"/>
            <w:noWrap w:val="0"/>
            <w:vAlign w:val="center"/>
          </w:tcPr>
          <w:p w14:paraId="20C298AD">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0AA347E">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2BB0E51">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C4600700</w:t>
            </w:r>
          </w:p>
        </w:tc>
      </w:tr>
      <w:tr w14:paraId="3630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14:paraId="4BE379E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14:paraId="77C712E4">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建筑物顶部、外走廊等未保持整洁或堆物堆料</w:t>
            </w:r>
          </w:p>
        </w:tc>
        <w:tc>
          <w:tcPr>
            <w:tcW w:w="2981" w:type="dxa"/>
            <w:noWrap w:val="0"/>
            <w:vAlign w:val="center"/>
          </w:tcPr>
          <w:p w14:paraId="68F4E984">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noWrap w:val="0"/>
            <w:vAlign w:val="center"/>
          </w:tcPr>
          <w:p w14:paraId="05A20424">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22D0CFDE">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0E3D90C">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noWrap w:val="0"/>
            <w:vAlign w:val="center"/>
          </w:tcPr>
          <w:p w14:paraId="06D30F8A">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5E64CF94">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304" w:type="dxa"/>
            <w:gridSpan w:val="2"/>
            <w:noWrap w:val="0"/>
            <w:vAlign w:val="center"/>
          </w:tcPr>
          <w:p w14:paraId="72E84C52">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21F0B7A">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9F2FB0C">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C4600800</w:t>
            </w:r>
          </w:p>
        </w:tc>
      </w:tr>
      <w:tr w14:paraId="6929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98" w:hRule="atLeast"/>
        </w:trPr>
        <w:tc>
          <w:tcPr>
            <w:tcW w:w="714" w:type="dxa"/>
            <w:noWrap w:val="0"/>
            <w:vAlign w:val="center"/>
          </w:tcPr>
          <w:p w14:paraId="76EEBD7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14:paraId="10C09DFB">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规定区域内建筑物顶部、阳台外和窗外设置不符合容貌景观标准的设施</w:t>
            </w:r>
          </w:p>
        </w:tc>
        <w:tc>
          <w:tcPr>
            <w:tcW w:w="2981" w:type="dxa"/>
            <w:vMerge w:val="restart"/>
            <w:noWrap w:val="0"/>
            <w:vAlign w:val="center"/>
          </w:tcPr>
          <w:p w14:paraId="6D082418">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noWrap w:val="0"/>
            <w:vAlign w:val="center"/>
          </w:tcPr>
          <w:p w14:paraId="3E9A2BE3">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3365E815">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3672020">
            <w:pPr>
              <w:numPr>
                <w:ilvl w:val="0"/>
                <w:numId w:val="0"/>
              </w:num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造成社会不良影响的，变系数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14:paraId="3F397B2A">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vMerge w:val="restart"/>
            <w:noWrap w:val="0"/>
            <w:vAlign w:val="center"/>
          </w:tcPr>
          <w:p w14:paraId="1F5AB91E">
            <w:pPr>
              <w:spacing w:line="240" w:lineRule="exact"/>
              <w:rPr>
                <w:rFonts w:ascii="宋体" w:hAnsi="宋体" w:eastAsia="宋体" w:cs="宋体"/>
                <w:strike/>
                <w:dstrike w:val="0"/>
                <w:color w:val="auto"/>
                <w:kern w:val="0"/>
                <w:sz w:val="15"/>
                <w:szCs w:val="15"/>
                <w:highlight w:val="none"/>
                <w:u w:val="singl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304" w:type="dxa"/>
            <w:gridSpan w:val="2"/>
            <w:noWrap w:val="0"/>
            <w:vAlign w:val="center"/>
          </w:tcPr>
          <w:p w14:paraId="1F93992A">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9907840">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D817358">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C4600900</w:t>
            </w:r>
          </w:p>
        </w:tc>
      </w:tr>
      <w:tr w14:paraId="5C45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39DDFC6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14:paraId="1FB6C0A2">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规定区域内建筑物顶部、阳台外和窗外吊挂、晾晒、摆放物品</w:t>
            </w:r>
          </w:p>
        </w:tc>
        <w:tc>
          <w:tcPr>
            <w:tcW w:w="2981" w:type="dxa"/>
            <w:vMerge w:val="continue"/>
            <w:noWrap w:val="0"/>
            <w:vAlign w:val="center"/>
          </w:tcPr>
          <w:p w14:paraId="57319D57">
            <w:pPr>
              <w:spacing w:line="240" w:lineRule="exact"/>
              <w:rPr>
                <w:rFonts w:ascii="宋体" w:hAnsi="宋体" w:eastAsia="宋体" w:cs="宋体"/>
                <w:color w:val="auto"/>
                <w:kern w:val="0"/>
                <w:sz w:val="15"/>
                <w:szCs w:val="15"/>
                <w:highlight w:val="none"/>
              </w:rPr>
            </w:pPr>
          </w:p>
        </w:tc>
        <w:tc>
          <w:tcPr>
            <w:tcW w:w="851" w:type="dxa"/>
            <w:noWrap w:val="0"/>
            <w:vAlign w:val="center"/>
          </w:tcPr>
          <w:p w14:paraId="5590FE92">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2218C7B1">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3067D39">
            <w:pPr>
              <w:spacing w:line="24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5-9。</w:t>
            </w:r>
          </w:p>
          <w:p w14:paraId="38AD0369">
            <w:p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14:paraId="4418D67B">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vMerge w:val="continue"/>
            <w:noWrap w:val="0"/>
            <w:vAlign w:val="center"/>
          </w:tcPr>
          <w:p w14:paraId="67225301">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14:paraId="38D12801">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68BB215">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77A28F5">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C4601000</w:t>
            </w:r>
          </w:p>
        </w:tc>
      </w:tr>
      <w:tr w14:paraId="75C4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76" w:hRule="atLeast"/>
        </w:trPr>
        <w:tc>
          <w:tcPr>
            <w:tcW w:w="714" w:type="dxa"/>
            <w:noWrap w:val="0"/>
            <w:vAlign w:val="center"/>
          </w:tcPr>
          <w:p w14:paraId="3DEBA5B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14:paraId="117DC7A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规定区域内建筑物平台、阳台内堆放物品超出护栏高度</w:t>
            </w:r>
          </w:p>
        </w:tc>
        <w:tc>
          <w:tcPr>
            <w:tcW w:w="2981" w:type="dxa"/>
            <w:noWrap w:val="0"/>
            <w:vAlign w:val="center"/>
          </w:tcPr>
          <w:p w14:paraId="11CA142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noWrap w:val="0"/>
            <w:vAlign w:val="center"/>
          </w:tcPr>
          <w:p w14:paraId="4A03050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391E2B4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939E31E">
            <w:pPr>
              <w:spacing w:line="24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5-9。</w:t>
            </w:r>
          </w:p>
          <w:p w14:paraId="1C47A201">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14:paraId="4A08C141">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2BD2B11F">
            <w:pPr>
              <w:spacing w:line="232" w:lineRule="exact"/>
              <w:rPr>
                <w:rFonts w:ascii="宋体" w:hAnsi="宋体" w:eastAsia="宋体" w:cs="宋体"/>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304" w:type="dxa"/>
            <w:gridSpan w:val="2"/>
            <w:noWrap w:val="0"/>
            <w:vAlign w:val="center"/>
          </w:tcPr>
          <w:p w14:paraId="14F9907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67007E0">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5F0B8E3">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C4601100</w:t>
            </w:r>
          </w:p>
        </w:tc>
      </w:tr>
      <w:tr w14:paraId="6C41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42" w:hRule="atLeast"/>
        </w:trPr>
        <w:tc>
          <w:tcPr>
            <w:tcW w:w="714" w:type="dxa"/>
            <w:vMerge w:val="restart"/>
            <w:noWrap w:val="0"/>
            <w:vAlign w:val="center"/>
          </w:tcPr>
          <w:p w14:paraId="0AEDFEF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vMerge w:val="restart"/>
            <w:noWrap w:val="0"/>
            <w:vAlign w:val="center"/>
          </w:tcPr>
          <w:p w14:paraId="646E5DD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违法建设</w:t>
            </w:r>
          </w:p>
        </w:tc>
        <w:tc>
          <w:tcPr>
            <w:tcW w:w="2981" w:type="dxa"/>
            <w:vMerge w:val="restart"/>
            <w:noWrap w:val="0"/>
            <w:vAlign w:val="center"/>
          </w:tcPr>
          <w:p w14:paraId="4DA36E3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设施处工程造价1倍的罚款。</w:t>
            </w:r>
          </w:p>
        </w:tc>
        <w:tc>
          <w:tcPr>
            <w:tcW w:w="851" w:type="dxa"/>
            <w:noWrap w:val="0"/>
            <w:vAlign w:val="center"/>
          </w:tcPr>
          <w:p w14:paraId="0A3E4AD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300元／㎡</w:t>
            </w:r>
          </w:p>
          <w:p w14:paraId="5635E91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（建筑物）</w:t>
            </w:r>
          </w:p>
        </w:tc>
        <w:tc>
          <w:tcPr>
            <w:tcW w:w="840" w:type="dxa"/>
            <w:noWrap w:val="0"/>
            <w:vAlign w:val="center"/>
          </w:tcPr>
          <w:p w14:paraId="0F2E5B4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noWrap w:val="0"/>
            <w:vAlign w:val="center"/>
          </w:tcPr>
          <w:p w14:paraId="3F74079E">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noWrap w:val="0"/>
            <w:vAlign w:val="center"/>
          </w:tcPr>
          <w:p w14:paraId="472EBB0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）×N㎡</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N</w:t>
            </w:r>
            <w:r>
              <w:rPr>
                <w:rFonts w:hint="eastAsia" w:ascii="宋体" w:hAnsi="宋体" w:eastAsia="宋体" w:cs="仿宋_GB2312"/>
                <w:color w:val="auto"/>
                <w:kern w:val="0"/>
                <w:sz w:val="15"/>
                <w:szCs w:val="15"/>
                <w:highlight w:val="none"/>
              </w:rPr>
              <w:t>为违法建筑面积</w:t>
            </w:r>
          </w:p>
        </w:tc>
        <w:tc>
          <w:tcPr>
            <w:tcW w:w="2020" w:type="dxa"/>
            <w:gridSpan w:val="2"/>
            <w:vMerge w:val="restart"/>
            <w:noWrap w:val="0"/>
            <w:vAlign w:val="center"/>
          </w:tcPr>
          <w:p w14:paraId="30D0EB58">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14:paraId="6DFF63A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13C56F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314B482C">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C4601200</w:t>
            </w:r>
          </w:p>
        </w:tc>
      </w:tr>
      <w:tr w14:paraId="1042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13" w:hRule="atLeast"/>
        </w:trPr>
        <w:tc>
          <w:tcPr>
            <w:tcW w:w="714" w:type="dxa"/>
            <w:vMerge w:val="continue"/>
            <w:noWrap w:val="0"/>
            <w:vAlign w:val="center"/>
          </w:tcPr>
          <w:p w14:paraId="05F9A704">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64725A6E">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14:paraId="4548B684">
            <w:pPr>
              <w:spacing w:line="232" w:lineRule="exact"/>
              <w:rPr>
                <w:rFonts w:ascii="宋体" w:hAnsi="宋体" w:eastAsia="宋体" w:cs="宋体"/>
                <w:color w:val="auto"/>
                <w:kern w:val="0"/>
                <w:sz w:val="15"/>
                <w:szCs w:val="15"/>
                <w:highlight w:val="none"/>
              </w:rPr>
            </w:pPr>
          </w:p>
        </w:tc>
        <w:tc>
          <w:tcPr>
            <w:tcW w:w="851" w:type="dxa"/>
            <w:noWrap w:val="0"/>
            <w:vAlign w:val="center"/>
          </w:tcPr>
          <w:p w14:paraId="5A138AC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造价</w:t>
            </w:r>
          </w:p>
          <w:p w14:paraId="4C0028B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（构筑物、设施）</w:t>
            </w:r>
          </w:p>
        </w:tc>
        <w:tc>
          <w:tcPr>
            <w:tcW w:w="840" w:type="dxa"/>
            <w:noWrap w:val="0"/>
            <w:vAlign w:val="center"/>
          </w:tcPr>
          <w:p w14:paraId="472FC79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noWrap w:val="0"/>
            <w:vAlign w:val="center"/>
          </w:tcPr>
          <w:p w14:paraId="0F42540B">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29F63FA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按照法规规定执行。</w:t>
            </w:r>
          </w:p>
        </w:tc>
        <w:tc>
          <w:tcPr>
            <w:tcW w:w="2020" w:type="dxa"/>
            <w:gridSpan w:val="2"/>
            <w:vMerge w:val="continue"/>
            <w:noWrap w:val="0"/>
            <w:vAlign w:val="center"/>
          </w:tcPr>
          <w:p w14:paraId="4F006130">
            <w:pPr>
              <w:spacing w:line="232"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14:paraId="4BF74F70">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09D0F661">
            <w:pPr>
              <w:spacing w:line="232" w:lineRule="exact"/>
              <w:jc w:val="center"/>
              <w:rPr>
                <w:rFonts w:ascii="宋体" w:hAnsi="宋体" w:eastAsia="宋体" w:cs="宋体"/>
                <w:color w:val="auto"/>
                <w:kern w:val="0"/>
                <w:sz w:val="15"/>
                <w:szCs w:val="15"/>
                <w:highlight w:val="none"/>
              </w:rPr>
            </w:pPr>
          </w:p>
        </w:tc>
      </w:tr>
      <w:tr w14:paraId="5CBD5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231" w:hRule="atLeast"/>
        </w:trPr>
        <w:tc>
          <w:tcPr>
            <w:tcW w:w="714" w:type="dxa"/>
            <w:noWrap w:val="0"/>
            <w:vAlign w:val="center"/>
          </w:tcPr>
          <w:p w14:paraId="6A5B0E6A">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14:paraId="159AE1FA">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未按规定管护井盖雨箅</w:t>
            </w:r>
          </w:p>
        </w:tc>
        <w:tc>
          <w:tcPr>
            <w:tcW w:w="2981" w:type="dxa"/>
            <w:noWrap w:val="0"/>
            <w:vAlign w:val="center"/>
          </w:tcPr>
          <w:p w14:paraId="198ECBD7">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违反条款：第三十一条第一款；处罚条款：第三十一条第二款，责令改正，并可处200元以上2000元以下罚款。</w:t>
            </w:r>
          </w:p>
        </w:tc>
        <w:tc>
          <w:tcPr>
            <w:tcW w:w="851" w:type="dxa"/>
            <w:noWrap w:val="0"/>
            <w:vAlign w:val="center"/>
          </w:tcPr>
          <w:p w14:paraId="66396DF5">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0A7DDC0B">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166E7C3">
            <w:pPr>
              <w:spacing w:line="212"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rPr>
              <w:t>井盖、雨箅所有权人或者维护管理单位接到维修通知后：1.未立即采取临时防护措施的，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未在规定时间（城市主要道路、公共场所和居民居住区等地区4小时内，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地区12小时内）内修复的，延后1小时，系数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；延后2小时，系数</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；延后3小时，系数</w:t>
            </w:r>
            <w:r>
              <w:rPr>
                <w:rFonts w:hint="eastAsia" w:ascii="宋体" w:hAnsi="宋体" w:eastAsia="宋体" w:cs="宋体"/>
                <w:color w:val="auto"/>
                <w:kern w:val="0"/>
                <w:sz w:val="15"/>
                <w:szCs w:val="15"/>
                <w:highlight w:val="none"/>
                <w:lang w:val="en-US" w:eastAsia="zh-CN"/>
              </w:rPr>
              <w:t>3；延后4小时，系数4；延后5小时，系数5；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9小时及以上的，系数9</w:t>
            </w:r>
            <w:r>
              <w:rPr>
                <w:rFonts w:hint="eastAsia" w:ascii="宋体" w:hAnsi="宋体" w:eastAsia="宋体" w:cs="宋体"/>
                <w:color w:val="auto"/>
                <w:kern w:val="0"/>
                <w:sz w:val="15"/>
                <w:szCs w:val="15"/>
                <w:highlight w:val="none"/>
              </w:rPr>
              <w:t>。3.因未及时补装、维修或更换，致人伤亡或车辆损毁等严重事故的，系数9。</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483F8156">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69DDAC73">
            <w:pPr>
              <w:spacing w:line="212" w:lineRule="exact"/>
              <w:rPr>
                <w:rFonts w:ascii="宋体" w:hAnsi="宋体" w:eastAsia="宋体" w:cs="宋体"/>
                <w:color w:val="auto"/>
                <w:kern w:val="0"/>
                <w:sz w:val="15"/>
                <w:szCs w:val="15"/>
                <w:highlight w:val="none"/>
              </w:rPr>
            </w:pPr>
          </w:p>
        </w:tc>
        <w:tc>
          <w:tcPr>
            <w:tcW w:w="1304" w:type="dxa"/>
            <w:gridSpan w:val="2"/>
            <w:noWrap w:val="0"/>
            <w:vAlign w:val="center"/>
          </w:tcPr>
          <w:p w14:paraId="5D5755FE">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FC6986D">
            <w:pPr>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6920F10">
            <w:pPr>
              <w:spacing w:line="21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C4601300</w:t>
            </w:r>
          </w:p>
        </w:tc>
      </w:tr>
      <w:tr w14:paraId="3A56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71" w:hRule="atLeast"/>
        </w:trPr>
        <w:tc>
          <w:tcPr>
            <w:tcW w:w="714" w:type="dxa"/>
            <w:noWrap w:val="0"/>
            <w:vAlign w:val="center"/>
          </w:tcPr>
          <w:p w14:paraId="1D6BECA2">
            <w:pPr>
              <w:pStyle w:val="7"/>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14:paraId="29A2F8DB">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未经批准或未按照批准要求在公共场所设置设施</w:t>
            </w:r>
          </w:p>
        </w:tc>
        <w:tc>
          <w:tcPr>
            <w:tcW w:w="2981" w:type="dxa"/>
            <w:noWrap w:val="0"/>
            <w:vAlign w:val="center"/>
          </w:tcPr>
          <w:p w14:paraId="6CC14007">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noWrap w:val="0"/>
            <w:vAlign w:val="center"/>
          </w:tcPr>
          <w:p w14:paraId="3EAAF6FD">
            <w:pPr>
              <w:pStyle w:val="7"/>
              <w:spacing w:line="212" w:lineRule="exact"/>
              <w:jc w:val="center"/>
              <w:rPr>
                <w:rFonts w:ascii="宋体" w:hAnsi="宋体" w:eastAsia="宋体" w:cs="宋体"/>
                <w:color w:val="auto"/>
                <w:kern w:val="0"/>
                <w:sz w:val="15"/>
                <w:szCs w:val="15"/>
                <w:highlight w:val="none"/>
              </w:rPr>
            </w:pPr>
          </w:p>
        </w:tc>
        <w:tc>
          <w:tcPr>
            <w:tcW w:w="840" w:type="dxa"/>
            <w:noWrap w:val="0"/>
            <w:vAlign w:val="center"/>
          </w:tcPr>
          <w:p w14:paraId="615AF028">
            <w:pPr>
              <w:pStyle w:val="7"/>
              <w:spacing w:line="212" w:lineRule="exact"/>
              <w:jc w:val="center"/>
              <w:rPr>
                <w:rFonts w:ascii="宋体" w:hAnsi="宋体" w:eastAsia="宋体" w:cs="宋体"/>
                <w:color w:val="auto"/>
                <w:kern w:val="0"/>
                <w:sz w:val="15"/>
                <w:szCs w:val="15"/>
                <w:highlight w:val="none"/>
              </w:rPr>
            </w:pPr>
          </w:p>
        </w:tc>
        <w:tc>
          <w:tcPr>
            <w:tcW w:w="2376" w:type="dxa"/>
            <w:noWrap w:val="0"/>
            <w:vAlign w:val="center"/>
          </w:tcPr>
          <w:p w14:paraId="19BF9F39">
            <w:pPr>
              <w:pStyle w:val="7"/>
              <w:spacing w:line="212" w:lineRule="exact"/>
              <w:jc w:val="both"/>
              <w:rPr>
                <w:rFonts w:ascii="宋体" w:hAnsi="宋体" w:eastAsia="宋体" w:cs="宋体"/>
                <w:color w:val="auto"/>
                <w:kern w:val="0"/>
                <w:sz w:val="15"/>
                <w:szCs w:val="15"/>
                <w:highlight w:val="none"/>
              </w:rPr>
            </w:pPr>
          </w:p>
        </w:tc>
        <w:tc>
          <w:tcPr>
            <w:tcW w:w="1875" w:type="dxa"/>
            <w:gridSpan w:val="2"/>
            <w:noWrap w:val="0"/>
            <w:vAlign w:val="center"/>
          </w:tcPr>
          <w:p w14:paraId="6DC2975C">
            <w:pPr>
              <w:pStyle w:val="7"/>
              <w:spacing w:line="212" w:lineRule="exact"/>
              <w:jc w:val="both"/>
              <w:rPr>
                <w:rFonts w:ascii="宋体" w:hAnsi="宋体" w:eastAsia="宋体" w:cs="宋体"/>
                <w:color w:val="auto"/>
                <w:kern w:val="0"/>
                <w:sz w:val="15"/>
                <w:szCs w:val="15"/>
                <w:highlight w:val="none"/>
              </w:rPr>
            </w:pPr>
          </w:p>
        </w:tc>
        <w:tc>
          <w:tcPr>
            <w:tcW w:w="2020" w:type="dxa"/>
            <w:gridSpan w:val="2"/>
            <w:noWrap w:val="0"/>
            <w:vAlign w:val="center"/>
          </w:tcPr>
          <w:p w14:paraId="05A2618D">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非罚款处罚。</w:t>
            </w:r>
          </w:p>
        </w:tc>
        <w:tc>
          <w:tcPr>
            <w:tcW w:w="1304" w:type="dxa"/>
            <w:gridSpan w:val="2"/>
            <w:noWrap w:val="0"/>
            <w:vAlign w:val="center"/>
          </w:tcPr>
          <w:p w14:paraId="52E32E71">
            <w:pPr>
              <w:pStyle w:val="7"/>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358041F">
            <w:pPr>
              <w:pStyle w:val="7"/>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17C4BE20">
            <w:pPr>
              <w:pStyle w:val="7"/>
              <w:spacing w:line="21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无</w:t>
            </w:r>
          </w:p>
        </w:tc>
      </w:tr>
      <w:tr w14:paraId="2079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42" w:hRule="atLeast"/>
        </w:trPr>
        <w:tc>
          <w:tcPr>
            <w:tcW w:w="714" w:type="dxa"/>
            <w:noWrap w:val="0"/>
            <w:vAlign w:val="center"/>
          </w:tcPr>
          <w:p w14:paraId="72FCC4E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14:paraId="0571FF65">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未按规定管护公共设施</w:t>
            </w:r>
          </w:p>
        </w:tc>
        <w:tc>
          <w:tcPr>
            <w:tcW w:w="2981" w:type="dxa"/>
            <w:noWrap w:val="0"/>
            <w:vAlign w:val="center"/>
          </w:tcPr>
          <w:p w14:paraId="0CFBD2FF">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违反、处罚条款：第三十四条，责令限期改正，并可处500元以上5000元以下罚款。</w:t>
            </w:r>
          </w:p>
        </w:tc>
        <w:tc>
          <w:tcPr>
            <w:tcW w:w="851" w:type="dxa"/>
            <w:noWrap w:val="0"/>
            <w:vAlign w:val="center"/>
          </w:tcPr>
          <w:p w14:paraId="0C0BF32A">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04748FD9">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F86D60C">
            <w:pPr>
              <w:spacing w:line="23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未按照要求</w:t>
            </w:r>
            <w:r>
              <w:rPr>
                <w:rFonts w:hint="eastAsia" w:ascii="宋体" w:hAnsi="宋体" w:eastAsia="宋体" w:cs="宋体"/>
                <w:color w:val="auto"/>
                <w:kern w:val="0"/>
                <w:sz w:val="15"/>
                <w:szCs w:val="15"/>
                <w:highlight w:val="none"/>
              </w:rPr>
              <w:t>维修、更换、清洗或者补设</w:t>
            </w:r>
            <w:r>
              <w:rPr>
                <w:rFonts w:hint="eastAsia" w:ascii="宋体" w:hAnsi="宋体" w:eastAsia="宋体" w:cs="宋体"/>
                <w:color w:val="auto"/>
                <w:kern w:val="0"/>
                <w:sz w:val="15"/>
                <w:szCs w:val="15"/>
                <w:highlight w:val="none"/>
                <w:lang w:eastAsia="zh-CN"/>
              </w:rPr>
              <w:t>，影响设施正常使用或者造成其他严重影响，系数</w:t>
            </w:r>
            <w:r>
              <w:rPr>
                <w:rFonts w:hint="eastAsia" w:ascii="宋体" w:hAnsi="宋体" w:eastAsia="宋体" w:cs="宋体"/>
                <w:color w:val="auto"/>
                <w:kern w:val="0"/>
                <w:sz w:val="15"/>
                <w:szCs w:val="15"/>
                <w:highlight w:val="none"/>
                <w:lang w:val="en-US" w:eastAsia="zh-CN"/>
              </w:rPr>
              <w:t>5-9。</w:t>
            </w:r>
            <w:r>
              <w:rPr>
                <w:rFonts w:hint="default" w:ascii="宋体" w:hAnsi="宋体" w:eastAsia="宋体" w:cs="宋体"/>
                <w:color w:val="auto"/>
                <w:kern w:val="0"/>
                <w:sz w:val="15"/>
                <w:szCs w:val="15"/>
                <w:highlight w:val="none"/>
                <w:lang w:val="en-US"/>
              </w:rPr>
              <w:t>2.存在基准2.1.3规定情形的，系数按照相关规定确定。</w:t>
            </w:r>
          </w:p>
        </w:tc>
        <w:tc>
          <w:tcPr>
            <w:tcW w:w="1875" w:type="dxa"/>
            <w:gridSpan w:val="2"/>
            <w:noWrap w:val="0"/>
            <w:vAlign w:val="center"/>
          </w:tcPr>
          <w:p w14:paraId="62706677">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06209C59">
            <w:pPr>
              <w:spacing w:line="230" w:lineRule="exact"/>
              <w:rPr>
                <w:rFonts w:ascii="宋体" w:hAnsi="宋体" w:eastAsia="宋体" w:cs="宋体"/>
                <w:color w:val="auto"/>
                <w:kern w:val="0"/>
                <w:sz w:val="15"/>
                <w:szCs w:val="15"/>
                <w:highlight w:val="none"/>
              </w:rPr>
            </w:pPr>
          </w:p>
        </w:tc>
        <w:tc>
          <w:tcPr>
            <w:tcW w:w="1304" w:type="dxa"/>
            <w:gridSpan w:val="2"/>
            <w:noWrap w:val="0"/>
            <w:vAlign w:val="center"/>
          </w:tcPr>
          <w:p w14:paraId="55312C9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A213FA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D708B93">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C4601400</w:t>
            </w:r>
          </w:p>
        </w:tc>
      </w:tr>
      <w:tr w14:paraId="6DB7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001" w:hRule="atLeast"/>
        </w:trPr>
        <w:tc>
          <w:tcPr>
            <w:tcW w:w="714" w:type="dxa"/>
            <w:noWrap w:val="0"/>
            <w:vAlign w:val="center"/>
          </w:tcPr>
          <w:p w14:paraId="537AB1C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14:paraId="23B041FE">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擅自摆摊设点</w:t>
            </w:r>
          </w:p>
        </w:tc>
        <w:tc>
          <w:tcPr>
            <w:tcW w:w="2981" w:type="dxa"/>
            <w:noWrap w:val="0"/>
            <w:vAlign w:val="center"/>
          </w:tcPr>
          <w:p w14:paraId="3D856F9B">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noWrap w:val="0"/>
            <w:vAlign w:val="center"/>
          </w:tcPr>
          <w:p w14:paraId="73771AC3">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2CE2D698">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7D31CC7">
            <w:pPr>
              <w:numPr>
                <w:ilvl w:val="0"/>
                <w:numId w:val="0"/>
              </w:numPr>
              <w:spacing w:line="230" w:lineRule="exact"/>
              <w:rPr>
                <w:color w:val="auto"/>
                <w:highlight w:val="none"/>
                <w:lang w:val="en-US" w:eastAsia="zh-CN"/>
              </w:rPr>
            </w:pPr>
            <w:r>
              <w:rPr>
                <w:rFonts w:hint="default" w:ascii="宋体" w:hAnsi="宋体" w:eastAsia="宋体" w:cs="宋体"/>
                <w:color w:val="auto"/>
                <w:kern w:val="0"/>
                <w:sz w:val="15"/>
                <w:szCs w:val="15"/>
                <w:highlight w:val="none"/>
                <w:lang w:val="en-US"/>
              </w:rPr>
              <w:t>1.</w:t>
            </w:r>
            <w:r>
              <w:rPr>
                <w:rFonts w:hint="eastAsia" w:ascii="宋体" w:hAnsi="宋体" w:eastAsia="宋体" w:cs="宋体"/>
                <w:color w:val="auto"/>
                <w:kern w:val="0"/>
                <w:sz w:val="15"/>
                <w:szCs w:val="15"/>
                <w:highlight w:val="none"/>
              </w:rPr>
              <w:t>占用过街桥、地下过街通道的，系数1</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2.占用非机动车道或者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公共场所，面积较大，系数1</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.占用无障碍设施或者机动车道的，系数</w:t>
            </w:r>
            <w:r>
              <w:rPr>
                <w:rFonts w:hint="eastAsia" w:ascii="宋体" w:hAnsi="宋体" w:eastAsia="宋体" w:cs="宋体"/>
                <w:b w:val="0"/>
                <w:bCs w:val="0"/>
                <w:color w:val="auto"/>
                <w:kern w:val="0"/>
                <w:sz w:val="15"/>
                <w:szCs w:val="15"/>
                <w:highlight w:val="none"/>
                <w:lang w:val="en-US" w:eastAsia="zh-CN"/>
              </w:rPr>
              <w:t>4-6</w:t>
            </w:r>
            <w:r>
              <w:rPr>
                <w:rFonts w:hint="eastAsia" w:ascii="宋体" w:hAnsi="宋体" w:eastAsia="宋体" w:cs="宋体"/>
                <w:b w:val="0"/>
                <w:bCs w:val="0"/>
                <w:color w:val="auto"/>
                <w:kern w:val="0"/>
                <w:sz w:val="15"/>
                <w:szCs w:val="15"/>
                <w:highlight w:val="none"/>
                <w:lang w:eastAsia="zh-CN"/>
              </w:rPr>
              <w:t>；</w:t>
            </w:r>
            <w:r>
              <w:rPr>
                <w:rFonts w:hint="default" w:ascii="宋体" w:hAnsi="宋体" w:eastAsia="宋体" w:cs="宋体"/>
                <w:b w:val="0"/>
                <w:bCs w:val="0"/>
                <w:color w:val="auto"/>
                <w:kern w:val="0"/>
                <w:sz w:val="15"/>
                <w:szCs w:val="15"/>
                <w:highlight w:val="none"/>
                <w:lang w:val="en-US"/>
              </w:rPr>
              <w:t>4</w:t>
            </w:r>
            <w:r>
              <w:rPr>
                <w:rFonts w:hint="eastAsia" w:ascii="宋体" w:hAnsi="宋体" w:eastAsia="宋体" w:cs="宋体"/>
                <w:b w:val="0"/>
                <w:bCs w:val="0"/>
                <w:color w:val="auto"/>
                <w:kern w:val="0"/>
                <w:sz w:val="15"/>
                <w:szCs w:val="15"/>
                <w:highlight w:val="none"/>
              </w:rPr>
              <w:t>.使用畜力车、农用运输车及</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机动车、电动车为工具的，</w:t>
            </w:r>
            <w:r>
              <w:rPr>
                <w:rFonts w:hint="eastAsia" w:ascii="宋体" w:hAnsi="宋体" w:eastAsia="宋体" w:cs="宋体"/>
                <w:b w:val="0"/>
                <w:bCs w:val="0"/>
                <w:strike w:val="0"/>
                <w:dstrike w:val="0"/>
                <w:color w:val="auto"/>
                <w:kern w:val="0"/>
                <w:sz w:val="15"/>
                <w:szCs w:val="15"/>
                <w:highlight w:val="none"/>
                <w:lang w:val="en-US" w:eastAsia="zh-CN"/>
              </w:rPr>
              <w:t>系数1-3</w:t>
            </w:r>
            <w:r>
              <w:rPr>
                <w:rFonts w:hint="eastAsia" w:ascii="宋体" w:hAnsi="宋体" w:eastAsia="宋体" w:cs="宋体"/>
                <w:b w:val="0"/>
                <w:bCs w:val="0"/>
                <w:color w:val="auto"/>
                <w:kern w:val="0"/>
                <w:sz w:val="15"/>
                <w:szCs w:val="15"/>
                <w:highlight w:val="none"/>
              </w:rPr>
              <w:t>；</w:t>
            </w:r>
            <w:r>
              <w:rPr>
                <w:rFonts w:hint="default"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eastAsia="zh-CN"/>
              </w:rPr>
              <w:t>使用液化石油气瓶</w:t>
            </w:r>
            <w:r>
              <w:rPr>
                <w:rFonts w:hint="eastAsia" w:ascii="宋体" w:hAnsi="宋体" w:eastAsia="宋体" w:cs="宋体"/>
                <w:b w:val="0"/>
                <w:bCs w:val="0"/>
                <w:color w:val="auto"/>
                <w:kern w:val="0"/>
                <w:sz w:val="15"/>
                <w:szCs w:val="15"/>
                <w:highlight w:val="none"/>
              </w:rPr>
              <w:t>现场加工制作食品的，系数</w:t>
            </w:r>
            <w:r>
              <w:rPr>
                <w:rFonts w:hint="default" w:ascii="宋体" w:hAnsi="宋体" w:eastAsia="宋体" w:cs="宋体"/>
                <w:b w:val="0"/>
                <w:bCs w:val="0"/>
                <w:color w:val="auto"/>
                <w:kern w:val="0"/>
                <w:sz w:val="15"/>
                <w:szCs w:val="15"/>
                <w:highlight w:val="none"/>
                <w:lang w:val="en-US" w:eastAsia="zh-CN"/>
              </w:rPr>
              <w:t>5-9</w:t>
            </w:r>
            <w:r>
              <w:rPr>
                <w:rFonts w:hint="eastAsia" w:ascii="宋体" w:hAnsi="宋体" w:eastAsia="宋体" w:cs="宋体"/>
                <w:b w:val="0"/>
                <w:bCs w:val="0"/>
                <w:color w:val="auto"/>
                <w:kern w:val="0"/>
                <w:sz w:val="15"/>
                <w:szCs w:val="15"/>
                <w:highlight w:val="none"/>
              </w:rPr>
              <w:t>；6</w:t>
            </w:r>
            <w:r>
              <w:rPr>
                <w:rFonts w:hint="eastAsia" w:ascii="宋体" w:hAnsi="宋体" w:eastAsia="宋体" w:cs="宋体"/>
                <w:color w:val="auto"/>
                <w:kern w:val="0"/>
                <w:sz w:val="15"/>
                <w:szCs w:val="15"/>
                <w:highlight w:val="none"/>
              </w:rPr>
              <w:t>.造成交通秩序、市容秩序严重混乱的，系数5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；7.摆设摊点经营违禁品的，系数9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8</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08EAA686">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14:paraId="47B60897">
            <w:pPr>
              <w:pStyle w:val="22"/>
              <w:spacing w:after="0" w:line="230" w:lineRule="exact"/>
              <w:ind w:firstLine="300"/>
              <w:rPr>
                <w:rFonts w:ascii="宋体" w:hAnsi="宋体" w:eastAsia="宋体" w:cs="宋体"/>
                <w:color w:val="auto"/>
                <w:kern w:val="0"/>
                <w:sz w:val="15"/>
                <w:szCs w:val="15"/>
                <w:highlight w:val="none"/>
              </w:rPr>
            </w:pPr>
          </w:p>
          <w:p w14:paraId="25EA47D3">
            <w:pPr>
              <w:pStyle w:val="22"/>
              <w:spacing w:after="0" w:line="230" w:lineRule="exact"/>
              <w:ind w:firstLine="300"/>
              <w:rPr>
                <w:rFonts w:ascii="宋体" w:hAnsi="宋体" w:eastAsia="宋体" w:cs="宋体"/>
                <w:color w:val="auto"/>
                <w:kern w:val="0"/>
                <w:sz w:val="15"/>
                <w:szCs w:val="15"/>
                <w:highlight w:val="none"/>
              </w:rPr>
            </w:pPr>
          </w:p>
          <w:p w14:paraId="44B487B8">
            <w:pPr>
              <w:spacing w:line="230" w:lineRule="exact"/>
              <w:rPr>
                <w:rFonts w:ascii="宋体" w:hAnsi="宋体" w:eastAsia="宋体" w:cs="宋体"/>
                <w:color w:val="auto"/>
                <w:kern w:val="0"/>
                <w:sz w:val="15"/>
                <w:szCs w:val="15"/>
                <w:highlight w:val="none"/>
              </w:rPr>
            </w:pPr>
          </w:p>
        </w:tc>
        <w:tc>
          <w:tcPr>
            <w:tcW w:w="2020" w:type="dxa"/>
            <w:gridSpan w:val="2"/>
            <w:noWrap w:val="0"/>
            <w:vAlign w:val="center"/>
          </w:tcPr>
          <w:p w14:paraId="63ECC2D8">
            <w:pPr>
              <w:spacing w:line="230" w:lineRule="exact"/>
              <w:rPr>
                <w:rFonts w:ascii="宋体" w:hAnsi="宋体" w:eastAsia="宋体" w:cs="宋体"/>
                <w:color w:val="auto"/>
                <w:kern w:val="0"/>
                <w:sz w:val="15"/>
                <w:szCs w:val="15"/>
                <w:highlight w:val="none"/>
              </w:rPr>
            </w:pPr>
          </w:p>
        </w:tc>
        <w:tc>
          <w:tcPr>
            <w:tcW w:w="1304" w:type="dxa"/>
            <w:gridSpan w:val="2"/>
            <w:noWrap w:val="0"/>
            <w:vAlign w:val="center"/>
          </w:tcPr>
          <w:p w14:paraId="657FF81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713F5C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659001C">
            <w:pPr>
              <w:spacing w:line="240" w:lineRule="auto"/>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C4601500</w:t>
            </w:r>
          </w:p>
        </w:tc>
      </w:tr>
      <w:tr w14:paraId="40C4D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018" w:hRule="atLeast"/>
        </w:trPr>
        <w:tc>
          <w:tcPr>
            <w:tcW w:w="714" w:type="dxa"/>
            <w:noWrap w:val="0"/>
            <w:vAlign w:val="center"/>
          </w:tcPr>
          <w:p w14:paraId="1866699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14:paraId="21ADA3F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乱堆物料</w:t>
            </w:r>
          </w:p>
        </w:tc>
        <w:tc>
          <w:tcPr>
            <w:tcW w:w="2981" w:type="dxa"/>
            <w:noWrap w:val="0"/>
            <w:vAlign w:val="center"/>
          </w:tcPr>
          <w:p w14:paraId="24BDBED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noWrap w:val="0"/>
            <w:vAlign w:val="center"/>
          </w:tcPr>
          <w:p w14:paraId="7F91C6D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09CDFF9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6D8F378">
            <w:pPr>
              <w:spacing w:line="232" w:lineRule="exact"/>
              <w:rPr>
                <w:rFonts w:ascii="宋体" w:hAnsi="宋体" w:eastAsia="宋体" w:cs="宋体"/>
                <w:color w:val="auto"/>
                <w:kern w:val="0"/>
                <w:sz w:val="15"/>
                <w:szCs w:val="15"/>
                <w:highlight w:val="none"/>
              </w:rPr>
            </w:pPr>
            <w:r>
              <w:rPr>
                <w:rFonts w:hint="default" w:ascii="宋体" w:hAnsi="宋体" w:eastAsia="宋体" w:cs="宋体"/>
                <w:b w:val="0"/>
                <w:bCs w:val="0"/>
                <w:color w:val="auto"/>
                <w:kern w:val="0"/>
                <w:sz w:val="15"/>
                <w:szCs w:val="15"/>
                <w:highlight w:val="none"/>
                <w:lang w:val="en-US"/>
              </w:rPr>
              <w:t>1.占用过街桥、地下过街通道的，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1-3；2.占用非机动车道或者</w:t>
            </w:r>
            <w:r>
              <w:rPr>
                <w:rFonts w:hint="eastAsia" w:ascii="宋体" w:hAnsi="宋体" w:eastAsia="宋体" w:cs="宋体"/>
                <w:b w:val="0"/>
                <w:bCs w:val="0"/>
                <w:color w:val="auto"/>
                <w:kern w:val="0"/>
                <w:sz w:val="15"/>
                <w:szCs w:val="15"/>
                <w:highlight w:val="none"/>
                <w:lang w:val="en-US" w:eastAsia="zh-CN"/>
              </w:rPr>
              <w:t>其他</w:t>
            </w:r>
            <w:r>
              <w:rPr>
                <w:rFonts w:hint="default" w:ascii="宋体" w:hAnsi="宋体" w:eastAsia="宋体" w:cs="宋体"/>
                <w:b w:val="0"/>
                <w:bCs w:val="0"/>
                <w:color w:val="auto"/>
                <w:kern w:val="0"/>
                <w:sz w:val="15"/>
                <w:szCs w:val="15"/>
                <w:highlight w:val="none"/>
                <w:lang w:val="en-US"/>
              </w:rPr>
              <w:t>公共场所，面积较大，</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1-3；3.占用无障碍设施或者机动车道的，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4-6；4.在公共绿地、燃气、热力等保护范围、管理范围堆放的，系数4-6；5.堆放易燃易爆等危险物品的，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5-9；6.造成交通秩序、市容秩序严重混乱的，系数5-9；7.造成人员伤亡的，系数7-9</w:t>
            </w:r>
            <w:r>
              <w:rPr>
                <w:rFonts w:hint="eastAsia" w:ascii="宋体" w:hAnsi="宋体" w:eastAsia="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8</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10D638D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5B7B6659">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44932AD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F98A1C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54A3553">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C4601600</w:t>
            </w:r>
          </w:p>
        </w:tc>
      </w:tr>
      <w:tr w14:paraId="29BB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00" w:hRule="atLeast"/>
        </w:trPr>
        <w:tc>
          <w:tcPr>
            <w:tcW w:w="714" w:type="dxa"/>
            <w:noWrap w:val="0"/>
            <w:vAlign w:val="center"/>
          </w:tcPr>
          <w:p w14:paraId="11ED47B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14:paraId="433290A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未按规定举办活动</w:t>
            </w:r>
          </w:p>
        </w:tc>
        <w:tc>
          <w:tcPr>
            <w:tcW w:w="2981" w:type="dxa"/>
            <w:noWrap w:val="0"/>
            <w:vAlign w:val="center"/>
          </w:tcPr>
          <w:p w14:paraId="7AE97FF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违反条款：第三十五条第二款；</w:t>
            </w:r>
          </w:p>
          <w:p w14:paraId="693288B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处罚条款：第三十五条第五款：责令改正，并可处1000元以上1万元以下的罚款。</w:t>
            </w:r>
          </w:p>
        </w:tc>
        <w:tc>
          <w:tcPr>
            <w:tcW w:w="851" w:type="dxa"/>
            <w:noWrap w:val="0"/>
            <w:vAlign w:val="center"/>
          </w:tcPr>
          <w:p w14:paraId="061BBC2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2266D16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B22F076">
            <w:pPr>
              <w:spacing w:line="232" w:lineRule="exact"/>
              <w:rPr>
                <w:rFonts w:hint="default" w:eastAsia="宋体"/>
                <w:color w:val="auto"/>
                <w:highlight w:val="none"/>
                <w:lang w:val="en-US" w:eastAsia="zh-CN"/>
              </w:rPr>
            </w:pPr>
            <w:r>
              <w:rPr>
                <w:rFonts w:hint="default" w:ascii="宋体" w:hAnsi="宋体" w:eastAsia="宋体" w:cs="宋体"/>
                <w:b w:val="0"/>
                <w:bCs w:val="0"/>
                <w:color w:val="auto"/>
                <w:kern w:val="0"/>
                <w:sz w:val="15"/>
                <w:szCs w:val="15"/>
                <w:highlight w:val="none"/>
                <w:lang w:val="en-US"/>
              </w:rPr>
              <w:t>1.</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占用过街桥、地下过街通道的，</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占用非机动车道或者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公共场所，面积较大，</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占用无障碍设施或者机动车道的，</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4-6</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造成交通秩序、市容秩序严重混乱的，系数5</w:t>
            </w:r>
            <w:r>
              <w:rPr>
                <w:rFonts w:hint="eastAsia" w:ascii="宋体" w:hAnsi="宋体" w:eastAsia="宋体" w:cs="宋体"/>
                <w:b w:val="0"/>
                <w:bCs w:val="0"/>
                <w:color w:val="auto"/>
                <w:kern w:val="0"/>
                <w:sz w:val="15"/>
                <w:szCs w:val="15"/>
                <w:highlight w:val="none"/>
                <w:lang w:val="en-US" w:eastAsia="zh-CN"/>
              </w:rPr>
              <w:t>-9；5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479EE04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6033CFA1">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3B351A7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560A60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4735AF7">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C4601700</w:t>
            </w:r>
          </w:p>
        </w:tc>
      </w:tr>
      <w:tr w14:paraId="1C9D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35" w:hRule="atLeast"/>
        </w:trPr>
        <w:tc>
          <w:tcPr>
            <w:tcW w:w="714" w:type="dxa"/>
            <w:noWrap w:val="0"/>
            <w:vAlign w:val="center"/>
          </w:tcPr>
          <w:p w14:paraId="30C1953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14:paraId="305381A0">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店外经营</w:t>
            </w:r>
          </w:p>
        </w:tc>
        <w:tc>
          <w:tcPr>
            <w:tcW w:w="2981" w:type="dxa"/>
            <w:noWrap w:val="0"/>
            <w:vAlign w:val="center"/>
          </w:tcPr>
          <w:p w14:paraId="3E7816E1">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违反条款：第三十五条第三款；</w:t>
            </w:r>
          </w:p>
          <w:p w14:paraId="3C49D4EC">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处罚条款：第三十五条第五款：责令改正，并可处300元以上3000元以下的罚款。</w:t>
            </w:r>
          </w:p>
        </w:tc>
        <w:tc>
          <w:tcPr>
            <w:tcW w:w="851" w:type="dxa"/>
            <w:noWrap w:val="0"/>
            <w:vAlign w:val="center"/>
          </w:tcPr>
          <w:p w14:paraId="60162D92">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14:paraId="39AF4C51">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6B3FA57">
            <w:pPr>
              <w:spacing w:line="21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1.占用非机动车道或者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w:t>
            </w:r>
            <w:r>
              <w:rPr>
                <w:rFonts w:hint="eastAsia" w:ascii="宋体" w:hAnsi="宋体" w:eastAsia="宋体" w:cs="宋体"/>
                <w:b w:val="0"/>
                <w:bCs w:val="0"/>
                <w:color w:val="auto"/>
                <w:kern w:val="0"/>
                <w:sz w:val="15"/>
                <w:szCs w:val="15"/>
                <w:highlight w:val="none"/>
              </w:rPr>
              <w:t>较大，系数1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;2.</w:t>
            </w:r>
            <w:r>
              <w:rPr>
                <w:rFonts w:hint="eastAsia" w:ascii="宋体" w:hAnsi="宋体" w:eastAsia="宋体" w:cs="宋体"/>
                <w:color w:val="auto"/>
                <w:kern w:val="0"/>
                <w:sz w:val="15"/>
                <w:szCs w:val="15"/>
                <w:highlight w:val="none"/>
              </w:rPr>
              <w:t>占用无障碍设施或者机动车道、</w:t>
            </w:r>
            <w:r>
              <w:rPr>
                <w:rFonts w:hint="eastAsia" w:ascii="宋体" w:hAnsi="宋体" w:eastAsia="宋体" w:cs="宋体"/>
                <w:b w:val="0"/>
                <w:bCs w:val="0"/>
                <w:color w:val="auto"/>
                <w:kern w:val="0"/>
                <w:sz w:val="15"/>
                <w:szCs w:val="15"/>
                <w:highlight w:val="none"/>
                <w:u w:val="none"/>
              </w:rPr>
              <w:t>绿地的</w:t>
            </w:r>
            <w:r>
              <w:rPr>
                <w:rFonts w:hint="eastAsia" w:ascii="宋体" w:hAnsi="宋体" w:eastAsia="宋体" w:cs="宋体"/>
                <w:color w:val="auto"/>
                <w:kern w:val="0"/>
                <w:sz w:val="15"/>
                <w:szCs w:val="15"/>
                <w:highlight w:val="none"/>
              </w:rPr>
              <w:t>，</w:t>
            </w:r>
            <w:r>
              <w:rPr>
                <w:rFonts w:hint="eastAsia" w:ascii="宋体" w:hAnsi="宋体" w:eastAsia="宋体" w:cs="宋体"/>
                <w:b w:val="0"/>
                <w:bCs w:val="0"/>
                <w:strike w:val="0"/>
                <w:dstrike w:val="0"/>
                <w:color w:val="auto"/>
                <w:kern w:val="0"/>
                <w:sz w:val="15"/>
                <w:szCs w:val="15"/>
                <w:highlight w:val="none"/>
                <w:lang w:val="en-US" w:eastAsia="zh-CN"/>
              </w:rPr>
              <w:t>系数4-6</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.造成交通秩序、市容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.经营违禁品的，系数9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57CF4210">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1178A1A7">
            <w:pPr>
              <w:spacing w:line="210" w:lineRule="exact"/>
              <w:rPr>
                <w:rFonts w:ascii="宋体" w:hAnsi="宋体" w:eastAsia="宋体" w:cs="宋体"/>
                <w:color w:val="auto"/>
                <w:kern w:val="0"/>
                <w:sz w:val="15"/>
                <w:szCs w:val="15"/>
                <w:highlight w:val="none"/>
              </w:rPr>
            </w:pPr>
          </w:p>
        </w:tc>
        <w:tc>
          <w:tcPr>
            <w:tcW w:w="1304" w:type="dxa"/>
            <w:gridSpan w:val="2"/>
            <w:noWrap w:val="0"/>
            <w:vAlign w:val="center"/>
          </w:tcPr>
          <w:p w14:paraId="1D590D93">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584E091">
            <w:pPr>
              <w:spacing w:line="21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B5732DF">
            <w:pPr>
              <w:spacing w:line="21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C4601800</w:t>
            </w:r>
          </w:p>
        </w:tc>
      </w:tr>
      <w:tr w14:paraId="5E93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00" w:hRule="atLeast"/>
        </w:trPr>
        <w:tc>
          <w:tcPr>
            <w:tcW w:w="714" w:type="dxa"/>
            <w:noWrap w:val="0"/>
            <w:vAlign w:val="center"/>
          </w:tcPr>
          <w:p w14:paraId="72437F73">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15</w:t>
            </w:r>
          </w:p>
        </w:tc>
        <w:tc>
          <w:tcPr>
            <w:tcW w:w="1626" w:type="dxa"/>
            <w:gridSpan w:val="2"/>
            <w:noWrap w:val="0"/>
            <w:vAlign w:val="center"/>
          </w:tcPr>
          <w:p w14:paraId="7DC692A3">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在城市道路及</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公共场所晾晒衣物、吊挂物品</w:t>
            </w:r>
          </w:p>
        </w:tc>
        <w:tc>
          <w:tcPr>
            <w:tcW w:w="2981" w:type="dxa"/>
            <w:noWrap w:val="0"/>
            <w:vAlign w:val="center"/>
          </w:tcPr>
          <w:p w14:paraId="259FCC24">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违反条款：第三十六条第一款；</w:t>
            </w:r>
          </w:p>
          <w:p w14:paraId="0A975978">
            <w:pPr>
              <w:spacing w:line="210" w:lineRule="exact"/>
              <w:rPr>
                <w:rFonts w:ascii="宋体" w:hAnsi="宋体" w:eastAsia="宋体" w:cs="宋体"/>
                <w:b/>
                <w:color w:val="auto"/>
                <w:kern w:val="0"/>
                <w:sz w:val="15"/>
                <w:szCs w:val="15"/>
                <w:highlight w:val="none"/>
              </w:rPr>
            </w:pPr>
            <w:r>
              <w:rPr>
                <w:rFonts w:hint="eastAsia" w:ascii="宋体" w:hAnsi="宋体" w:eastAsia="宋体" w:cs="宋体"/>
                <w:color w:val="auto"/>
                <w:kern w:val="0"/>
                <w:sz w:val="15"/>
                <w:szCs w:val="15"/>
                <w:highlight w:val="none"/>
              </w:rPr>
              <w:t>处罚条款：第三十六条第二款：责令改正，并可处20元以上50元以下罚款。</w:t>
            </w:r>
          </w:p>
        </w:tc>
        <w:tc>
          <w:tcPr>
            <w:tcW w:w="851" w:type="dxa"/>
            <w:noWrap w:val="0"/>
            <w:vAlign w:val="center"/>
          </w:tcPr>
          <w:p w14:paraId="1608C681">
            <w:pPr>
              <w:spacing w:line="210" w:lineRule="exact"/>
              <w:jc w:val="center"/>
              <w:rPr>
                <w:rFonts w:ascii="宋体" w:hAnsi="宋体" w:eastAsia="宋体" w:cs="宋体"/>
                <w:color w:val="auto"/>
                <w:kern w:val="0"/>
                <w:sz w:val="15"/>
                <w:szCs w:val="15"/>
                <w:highlight w:val="none"/>
              </w:rPr>
            </w:pPr>
          </w:p>
        </w:tc>
        <w:tc>
          <w:tcPr>
            <w:tcW w:w="840" w:type="dxa"/>
            <w:noWrap w:val="0"/>
            <w:vAlign w:val="center"/>
          </w:tcPr>
          <w:p w14:paraId="5B051AE4">
            <w:pPr>
              <w:spacing w:line="210" w:lineRule="exact"/>
              <w:jc w:val="center"/>
              <w:rPr>
                <w:rFonts w:ascii="宋体" w:hAnsi="宋体" w:eastAsia="宋体" w:cs="宋体"/>
                <w:color w:val="auto"/>
                <w:kern w:val="0"/>
                <w:sz w:val="15"/>
                <w:szCs w:val="15"/>
                <w:highlight w:val="none"/>
              </w:rPr>
            </w:pPr>
          </w:p>
        </w:tc>
        <w:tc>
          <w:tcPr>
            <w:tcW w:w="2376" w:type="dxa"/>
            <w:noWrap w:val="0"/>
            <w:vAlign w:val="center"/>
          </w:tcPr>
          <w:p w14:paraId="468E9425">
            <w:pPr>
              <w:spacing w:line="210" w:lineRule="exact"/>
              <w:rPr>
                <w:rFonts w:ascii="宋体" w:hAnsi="宋体" w:eastAsia="宋体" w:cs="宋体"/>
                <w:color w:val="auto"/>
                <w:kern w:val="0"/>
                <w:sz w:val="15"/>
                <w:szCs w:val="15"/>
                <w:highlight w:val="none"/>
              </w:rPr>
            </w:pPr>
          </w:p>
        </w:tc>
        <w:tc>
          <w:tcPr>
            <w:tcW w:w="1875" w:type="dxa"/>
            <w:gridSpan w:val="2"/>
            <w:noWrap w:val="0"/>
            <w:vAlign w:val="center"/>
          </w:tcPr>
          <w:p w14:paraId="1D3B650B">
            <w:pPr>
              <w:spacing w:line="210" w:lineRule="exact"/>
              <w:rPr>
                <w:rFonts w:ascii="宋体" w:hAnsi="宋体" w:eastAsia="宋体" w:cs="宋体"/>
                <w:color w:val="auto"/>
                <w:kern w:val="0"/>
                <w:sz w:val="15"/>
                <w:szCs w:val="15"/>
                <w:highlight w:val="none"/>
              </w:rPr>
            </w:pPr>
          </w:p>
        </w:tc>
        <w:tc>
          <w:tcPr>
            <w:tcW w:w="2020" w:type="dxa"/>
            <w:gridSpan w:val="2"/>
            <w:noWrap w:val="0"/>
            <w:vAlign w:val="center"/>
          </w:tcPr>
          <w:p w14:paraId="695DE504">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按照简易程序执行</w:t>
            </w:r>
          </w:p>
        </w:tc>
        <w:tc>
          <w:tcPr>
            <w:tcW w:w="1304" w:type="dxa"/>
            <w:gridSpan w:val="2"/>
            <w:noWrap w:val="0"/>
            <w:vAlign w:val="center"/>
          </w:tcPr>
          <w:p w14:paraId="26A14BF6">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2FC55B1">
            <w:pPr>
              <w:spacing w:line="21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C4D3E68">
            <w:pPr>
              <w:spacing w:line="21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C4602000</w:t>
            </w:r>
          </w:p>
        </w:tc>
      </w:tr>
      <w:tr w14:paraId="0ED5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02" w:hRule="atLeast"/>
        </w:trPr>
        <w:tc>
          <w:tcPr>
            <w:tcW w:w="714" w:type="dxa"/>
            <w:noWrap w:val="0"/>
            <w:vAlign w:val="center"/>
          </w:tcPr>
          <w:p w14:paraId="7BAB2F22">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16</w:t>
            </w:r>
          </w:p>
        </w:tc>
        <w:tc>
          <w:tcPr>
            <w:tcW w:w="1626" w:type="dxa"/>
            <w:gridSpan w:val="2"/>
            <w:noWrap w:val="0"/>
            <w:vAlign w:val="center"/>
          </w:tcPr>
          <w:p w14:paraId="2282F93B">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违反规划设置户外广告设施</w:t>
            </w:r>
          </w:p>
        </w:tc>
        <w:tc>
          <w:tcPr>
            <w:tcW w:w="2981" w:type="dxa"/>
            <w:noWrap w:val="0"/>
            <w:vAlign w:val="center"/>
          </w:tcPr>
          <w:p w14:paraId="0A27F906">
            <w:pPr>
              <w:spacing w:line="210" w:lineRule="exact"/>
              <w:rPr>
                <w:rFonts w:ascii="宋体" w:hAnsi="宋体" w:eastAsia="宋体" w:cs="宋体"/>
                <w:color w:val="auto"/>
                <w:kern w:val="0"/>
                <w:sz w:val="15"/>
                <w:szCs w:val="15"/>
                <w:highlight w:val="none"/>
              </w:rPr>
            </w:pPr>
          </w:p>
          <w:p w14:paraId="28CBC202">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违反条款：第三十八条第一款；</w:t>
            </w:r>
          </w:p>
          <w:p w14:paraId="376A1B3A">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处罚条款：第三十八条第二款 责令限期拆除，逾期未拆除的，强制拆除，并可处1万元以上10万元以下罚款。</w:t>
            </w:r>
          </w:p>
        </w:tc>
        <w:tc>
          <w:tcPr>
            <w:tcW w:w="851" w:type="dxa"/>
            <w:noWrap w:val="0"/>
            <w:vAlign w:val="center"/>
          </w:tcPr>
          <w:p w14:paraId="2EDB11BC">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0C11BF1C">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06359CC">
            <w:pPr>
              <w:spacing w:line="232" w:lineRule="exact"/>
              <w:rPr>
                <w:rFonts w:hint="eastAsia" w:ascii="宋体" w:hAnsi="宋体" w:eastAsia="宋体"/>
                <w:color w:val="auto"/>
                <w:spacing w:val="-3"/>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olor w:val="auto"/>
                <w:sz w:val="15"/>
                <w:szCs w:val="15"/>
                <w:highlight w:val="none"/>
              </w:rPr>
              <w:t>.违法设置大型户外广告设施的，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2；3.违法设置2处</w:t>
            </w:r>
            <w:r>
              <w:rPr>
                <w:rFonts w:hint="eastAsia" w:ascii="宋体" w:hAnsi="宋体" w:eastAsia="宋体"/>
                <w:color w:val="auto"/>
                <w:sz w:val="15"/>
                <w:szCs w:val="15"/>
                <w:highlight w:val="none"/>
                <w:lang w:eastAsia="zh-CN"/>
              </w:rPr>
              <w:t>户外广告设施</w:t>
            </w:r>
            <w:r>
              <w:rPr>
                <w:rFonts w:hint="eastAsia" w:ascii="宋体" w:hAnsi="宋体" w:eastAsia="宋体"/>
                <w:color w:val="auto"/>
                <w:sz w:val="15"/>
                <w:szCs w:val="15"/>
                <w:highlight w:val="none"/>
              </w:rPr>
              <w:t>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w:t>
            </w:r>
            <w:r>
              <w:rPr>
                <w:rFonts w:hint="eastAsia" w:ascii="宋体" w:hAnsi="宋体" w:eastAsia="宋体" w:cs="宋体"/>
                <w:b w:val="0"/>
                <w:bCs w:val="0"/>
                <w:color w:val="auto"/>
                <w:kern w:val="0"/>
                <w:sz w:val="15"/>
                <w:szCs w:val="15"/>
                <w:highlight w:val="none"/>
                <w:lang w:val="en-US" w:eastAsia="zh-CN"/>
              </w:rPr>
              <w:t>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6BF4E55C">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6152CBDC">
            <w:pPr>
              <w:pStyle w:val="8"/>
              <w:rPr>
                <w:rFonts w:hint="eastAsia"/>
                <w:color w:val="auto"/>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p w14:paraId="64467394">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14:paraId="49E9A0DE">
            <w:pPr>
              <w:spacing w:line="210" w:lineRule="exact"/>
              <w:rPr>
                <w:rFonts w:hint="eastAsia" w:ascii="宋体" w:hAnsi="宋体" w:eastAsia="宋体"/>
                <w:color w:val="auto"/>
                <w:sz w:val="15"/>
                <w:szCs w:val="15"/>
                <w:highlight w:val="none"/>
              </w:rPr>
            </w:pPr>
          </w:p>
        </w:tc>
        <w:tc>
          <w:tcPr>
            <w:tcW w:w="1304" w:type="dxa"/>
            <w:gridSpan w:val="2"/>
            <w:noWrap w:val="0"/>
            <w:vAlign w:val="center"/>
          </w:tcPr>
          <w:p w14:paraId="17071C29">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DF10093">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9671375">
            <w:pPr>
              <w:spacing w:line="21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C4602100</w:t>
            </w:r>
          </w:p>
        </w:tc>
      </w:tr>
      <w:tr w14:paraId="39E2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29" w:hRule="atLeast"/>
        </w:trPr>
        <w:tc>
          <w:tcPr>
            <w:tcW w:w="714" w:type="dxa"/>
            <w:noWrap w:val="0"/>
            <w:vAlign w:val="center"/>
          </w:tcPr>
          <w:p w14:paraId="48D8D79A">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17</w:t>
            </w:r>
          </w:p>
        </w:tc>
        <w:tc>
          <w:tcPr>
            <w:tcW w:w="1626" w:type="dxa"/>
            <w:gridSpan w:val="2"/>
            <w:noWrap w:val="0"/>
            <w:vAlign w:val="center"/>
          </w:tcPr>
          <w:p w14:paraId="104AA99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设置户外广告设施不符合安全技术标准</w:t>
            </w:r>
          </w:p>
        </w:tc>
        <w:tc>
          <w:tcPr>
            <w:tcW w:w="2981" w:type="dxa"/>
            <w:noWrap w:val="0"/>
            <w:vAlign w:val="center"/>
          </w:tcPr>
          <w:p w14:paraId="52F9CA4C">
            <w:pPr>
              <w:spacing w:line="210" w:lineRule="exact"/>
              <w:rPr>
                <w:rFonts w:ascii="宋体" w:hAnsi="宋体" w:eastAsia="宋体" w:cs="宋体"/>
                <w:color w:val="auto"/>
                <w:kern w:val="0"/>
                <w:sz w:val="15"/>
                <w:szCs w:val="15"/>
                <w:highlight w:val="none"/>
              </w:rPr>
            </w:pPr>
          </w:p>
          <w:p w14:paraId="7D41DF0B">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违反条款：第三十八条第一款；</w:t>
            </w:r>
          </w:p>
          <w:p w14:paraId="4437FCA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处罚条款：第三十八条第二款 责令限期拆除，逾期未拆除的，强制拆除，并可处1万元以上10万元以下罚款。</w:t>
            </w:r>
          </w:p>
        </w:tc>
        <w:tc>
          <w:tcPr>
            <w:tcW w:w="851" w:type="dxa"/>
            <w:noWrap w:val="0"/>
            <w:vAlign w:val="center"/>
          </w:tcPr>
          <w:p w14:paraId="04C2E95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38991CA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45B615E">
            <w:pPr>
              <w:spacing w:line="232"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ascii="宋体" w:hAnsi="宋体" w:eastAsia="宋体" w:cs="宋体"/>
                <w:color w:val="auto"/>
                <w:kern w:val="0"/>
                <w:sz w:val="15"/>
                <w:szCs w:val="15"/>
                <w:highlight w:val="none"/>
                <w:lang w:val="en-US" w:eastAsia="zh-CN"/>
              </w:rPr>
              <w:t>5-9；2.存在重大隐患或者造成人员伤亡的，系数9；3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3E0FD6E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w:t>
            </w:r>
          </w:p>
        </w:tc>
        <w:tc>
          <w:tcPr>
            <w:tcW w:w="2020" w:type="dxa"/>
            <w:gridSpan w:val="2"/>
            <w:noWrap w:val="0"/>
            <w:vAlign w:val="center"/>
          </w:tcPr>
          <w:p w14:paraId="4F7C524A">
            <w:pPr>
              <w:pStyle w:val="22"/>
              <w:spacing w:after="0" w:line="232" w:lineRule="exact"/>
              <w:ind w:left="0" w:leftChars="0" w:firstLine="0" w:firstLineChars="0"/>
              <w:jc w:val="lef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p w14:paraId="203E8122">
            <w:pPr>
              <w:pStyle w:val="22"/>
              <w:spacing w:after="0" w:line="232" w:lineRule="exact"/>
              <w:ind w:left="0" w:leftChars="0" w:firstLine="0" w:firstLineChars="0"/>
              <w:jc w:val="left"/>
              <w:rPr>
                <w:rFonts w:hint="eastAsia" w:ascii="宋体" w:hAnsi="宋体" w:eastAsia="宋体" w:cs="宋体"/>
                <w:strike w:val="0"/>
                <w:dstrike w:val="0"/>
                <w:color w:val="auto"/>
                <w:kern w:val="0"/>
                <w:sz w:val="15"/>
                <w:szCs w:val="15"/>
                <w:highlight w:val="none"/>
              </w:rPr>
            </w:pPr>
          </w:p>
          <w:p w14:paraId="287BC0AA">
            <w:pPr>
              <w:spacing w:line="232" w:lineRule="exact"/>
              <w:rPr>
                <w:rFonts w:ascii="宋体" w:hAnsi="宋体" w:eastAsia="宋体" w:cs="宋体"/>
                <w:strike/>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1304" w:type="dxa"/>
            <w:gridSpan w:val="2"/>
            <w:noWrap w:val="0"/>
            <w:vAlign w:val="center"/>
          </w:tcPr>
          <w:p w14:paraId="08DA470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A4AA1D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10A8F0D1">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C4602200</w:t>
            </w:r>
          </w:p>
        </w:tc>
      </w:tr>
      <w:tr w14:paraId="1B38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26" w:hRule="atLeast"/>
        </w:trPr>
        <w:tc>
          <w:tcPr>
            <w:tcW w:w="714" w:type="dxa"/>
            <w:noWrap w:val="0"/>
            <w:vAlign w:val="center"/>
          </w:tcPr>
          <w:p w14:paraId="34C3E0D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8</w:t>
            </w:r>
          </w:p>
        </w:tc>
        <w:tc>
          <w:tcPr>
            <w:tcW w:w="1626" w:type="dxa"/>
            <w:gridSpan w:val="2"/>
            <w:noWrap w:val="0"/>
            <w:vAlign w:val="center"/>
          </w:tcPr>
          <w:p w14:paraId="325DABD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未按规定设置牌匾标识</w:t>
            </w:r>
          </w:p>
        </w:tc>
        <w:tc>
          <w:tcPr>
            <w:tcW w:w="2981" w:type="dxa"/>
            <w:noWrap w:val="0"/>
            <w:vAlign w:val="center"/>
          </w:tcPr>
          <w:p w14:paraId="064059F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违反、处罚条款：第三十九</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第一款 责令限期改正，逾期不改正的，予以强制拆除，并可处500元以上5000元以下罚款。</w:t>
            </w:r>
          </w:p>
        </w:tc>
        <w:tc>
          <w:tcPr>
            <w:tcW w:w="851" w:type="dxa"/>
            <w:noWrap w:val="0"/>
            <w:vAlign w:val="center"/>
          </w:tcPr>
          <w:p w14:paraId="5397D6E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6D5ABBE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C29FF0F">
            <w:pPr>
              <w:spacing w:line="232" w:lineRule="exact"/>
              <w:rPr>
                <w:rFonts w:hint="default"/>
                <w:color w:val="auto"/>
                <w:highlight w:val="none"/>
                <w:lang w:val="en-US"/>
              </w:rPr>
            </w:pPr>
            <w:r>
              <w:rPr>
                <w:rFonts w:hint="eastAsia" w:ascii="宋体" w:hAnsi="宋体" w:eastAsia="宋体"/>
                <w:color w:val="auto"/>
                <w:sz w:val="15"/>
                <w:szCs w:val="15"/>
                <w:highlight w:val="none"/>
              </w:rPr>
              <w:t>1.违法设置大型固定式牌匾标识的，系数2；2.违法设置距地十米以上的固定式牌匾标识的，系数2；3.违法设置2处牌匾标识的，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5541168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286EB88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大型固定式牌匾标识，是指任意边长大于等于四米，或者面积大于等于十平方米的牌匾标识。</w:t>
            </w:r>
          </w:p>
        </w:tc>
        <w:tc>
          <w:tcPr>
            <w:tcW w:w="1304" w:type="dxa"/>
            <w:gridSpan w:val="2"/>
            <w:noWrap w:val="0"/>
            <w:vAlign w:val="center"/>
          </w:tcPr>
          <w:p w14:paraId="5AC782B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801BD8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B1B6A5F">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C4602500</w:t>
            </w:r>
          </w:p>
        </w:tc>
      </w:tr>
      <w:tr w14:paraId="29DD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19" w:hRule="atLeast"/>
        </w:trPr>
        <w:tc>
          <w:tcPr>
            <w:tcW w:w="714" w:type="dxa"/>
            <w:noWrap w:val="0"/>
            <w:vAlign w:val="center"/>
          </w:tcPr>
          <w:p w14:paraId="2C1D0266">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19</w:t>
            </w:r>
          </w:p>
        </w:tc>
        <w:tc>
          <w:tcPr>
            <w:tcW w:w="1626" w:type="dxa"/>
            <w:gridSpan w:val="2"/>
            <w:noWrap w:val="0"/>
            <w:vAlign w:val="center"/>
          </w:tcPr>
          <w:p w14:paraId="6402442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未按规定管护牌匾标识</w:t>
            </w:r>
          </w:p>
        </w:tc>
        <w:tc>
          <w:tcPr>
            <w:tcW w:w="2981" w:type="dxa"/>
            <w:noWrap w:val="0"/>
            <w:vAlign w:val="center"/>
          </w:tcPr>
          <w:p w14:paraId="750285F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违反、处罚条款：第三十九</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第二款 责令停止使用，限期修复，并可处500元以上5000元以下罚款。</w:t>
            </w:r>
          </w:p>
        </w:tc>
        <w:tc>
          <w:tcPr>
            <w:tcW w:w="851" w:type="dxa"/>
            <w:noWrap w:val="0"/>
            <w:vAlign w:val="center"/>
          </w:tcPr>
          <w:p w14:paraId="059FB8F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24DA9A8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ED3814C">
            <w:pPr>
              <w:spacing w:line="232" w:lineRule="exact"/>
              <w:rPr>
                <w:color w:val="auto"/>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在环路、高（快）速路两侧，或者车站、机场、居民小区、医院、学校、体育场馆、影剧院、繁华商业街区、旅游景区等人口集中地区的，系数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5-9；2.存在重大隐患或者造成人员伤亡的，系数9；3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425E5F0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24047D9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1304" w:type="dxa"/>
            <w:gridSpan w:val="2"/>
            <w:noWrap w:val="0"/>
            <w:vAlign w:val="center"/>
          </w:tcPr>
          <w:p w14:paraId="75BBFEF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E4CF8C3">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A4B7465">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C4602600</w:t>
            </w:r>
          </w:p>
        </w:tc>
      </w:tr>
      <w:tr w14:paraId="2964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11" w:hRule="atLeast"/>
        </w:trPr>
        <w:tc>
          <w:tcPr>
            <w:tcW w:w="714" w:type="dxa"/>
            <w:vMerge w:val="restart"/>
            <w:noWrap w:val="0"/>
            <w:vAlign w:val="center"/>
          </w:tcPr>
          <w:p w14:paraId="20E19FA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626" w:type="dxa"/>
            <w:gridSpan w:val="2"/>
            <w:vMerge w:val="restart"/>
            <w:noWrap w:val="0"/>
            <w:vAlign w:val="center"/>
          </w:tcPr>
          <w:p w14:paraId="5BABCCE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擅自（散发、悬挂、张贴、刻画、涂写、喷涂）宣传品、广告</w:t>
            </w:r>
          </w:p>
        </w:tc>
        <w:tc>
          <w:tcPr>
            <w:tcW w:w="2981" w:type="dxa"/>
            <w:vMerge w:val="restart"/>
            <w:noWrap w:val="0"/>
            <w:vAlign w:val="center"/>
          </w:tcPr>
          <w:p w14:paraId="3FDA015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noWrap w:val="0"/>
            <w:vAlign w:val="center"/>
          </w:tcPr>
          <w:p w14:paraId="3B6AEFC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14:paraId="58F500C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1AB191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1.散发，</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p>
          <w:p w14:paraId="767CEF8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2.张贴、悬挂，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14:paraId="161A82B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3.刻画、涂写、喷涂，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67B16F0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196FCDAB">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14:paraId="43D7A0B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1910348">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19A2BC8C">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C4602900</w:t>
            </w:r>
          </w:p>
        </w:tc>
      </w:tr>
      <w:tr w14:paraId="237ED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384" w:hRule="atLeast"/>
        </w:trPr>
        <w:tc>
          <w:tcPr>
            <w:tcW w:w="714" w:type="dxa"/>
            <w:vMerge w:val="continue"/>
            <w:noWrap w:val="0"/>
            <w:vAlign w:val="center"/>
          </w:tcPr>
          <w:p w14:paraId="3FE4AB02">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7294D372">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14:paraId="2F23B692">
            <w:pPr>
              <w:spacing w:line="232" w:lineRule="exact"/>
              <w:rPr>
                <w:rFonts w:ascii="宋体" w:hAnsi="宋体" w:eastAsia="宋体" w:cs="宋体"/>
                <w:color w:val="auto"/>
                <w:kern w:val="0"/>
                <w:sz w:val="15"/>
                <w:szCs w:val="15"/>
                <w:highlight w:val="none"/>
              </w:rPr>
            </w:pPr>
          </w:p>
        </w:tc>
        <w:tc>
          <w:tcPr>
            <w:tcW w:w="851" w:type="dxa"/>
            <w:noWrap w:val="0"/>
            <w:vAlign w:val="center"/>
          </w:tcPr>
          <w:p w14:paraId="21AD65F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1000（情节严重）</w:t>
            </w:r>
          </w:p>
        </w:tc>
        <w:tc>
          <w:tcPr>
            <w:tcW w:w="840" w:type="dxa"/>
            <w:noWrap w:val="0"/>
            <w:vAlign w:val="center"/>
          </w:tcPr>
          <w:p w14:paraId="75117EE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DD18424">
            <w:pPr>
              <w:numPr>
                <w:ilvl w:val="0"/>
                <w:numId w:val="0"/>
              </w:num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因散发、悬挂等行为影响交通通行的，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14:paraId="25BC0A86">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2.张贴、喷涂等污损名胜古迹的，或者严重污损市政、环卫、电信等设施、城市道路、墙体的，系数5；</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609C361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4DFA646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1.一类地区小广告违法行为，按照此档处罚；特殊情况下需给予1000元以下罚款的，报经案审会审核。</w:t>
            </w:r>
          </w:p>
          <w:p w14:paraId="2076A31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2.“涉黑”“涉黄”等内容违法的小广告违法行为，如刻章办证、卖药、销售假冒伪劣商品、交友等，按照此档处罚。</w:t>
            </w:r>
          </w:p>
          <w:p w14:paraId="6A635624">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3.现场发现小广告数量达到500张以上，悬挂、张贴达到20张以上的，刻画、喷涂、涂写达到10条以上的，按照此档实施处罚。</w:t>
            </w:r>
          </w:p>
          <w:p w14:paraId="530DA01E">
            <w:pPr>
              <w:spacing w:line="232" w:lineRule="exact"/>
              <w:rPr>
                <w:rFonts w:hint="eastAsia" w:ascii="宋体" w:hAnsi="宋体" w:eastAsia="宋体" w:cs="宋体"/>
                <w:color w:val="auto"/>
                <w:kern w:val="0"/>
                <w:sz w:val="15"/>
                <w:szCs w:val="15"/>
                <w:highlight w:val="none"/>
              </w:rPr>
            </w:pPr>
          </w:p>
        </w:tc>
        <w:tc>
          <w:tcPr>
            <w:tcW w:w="1304" w:type="dxa"/>
            <w:gridSpan w:val="2"/>
            <w:vMerge w:val="continue"/>
            <w:noWrap w:val="0"/>
            <w:vAlign w:val="center"/>
          </w:tcPr>
          <w:p w14:paraId="5C82BE6E">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5D5B7649">
            <w:pPr>
              <w:spacing w:line="232" w:lineRule="exact"/>
              <w:jc w:val="center"/>
              <w:rPr>
                <w:rFonts w:ascii="宋体" w:hAnsi="宋体" w:eastAsia="宋体" w:cs="宋体"/>
                <w:color w:val="auto"/>
                <w:kern w:val="0"/>
                <w:sz w:val="15"/>
                <w:szCs w:val="15"/>
                <w:highlight w:val="none"/>
              </w:rPr>
            </w:pPr>
          </w:p>
        </w:tc>
      </w:tr>
      <w:tr w14:paraId="6561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69" w:hRule="atLeast"/>
        </w:trPr>
        <w:tc>
          <w:tcPr>
            <w:tcW w:w="714" w:type="dxa"/>
            <w:vMerge w:val="restart"/>
            <w:noWrap w:val="0"/>
            <w:vAlign w:val="center"/>
          </w:tcPr>
          <w:p w14:paraId="2594016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626" w:type="dxa"/>
            <w:gridSpan w:val="2"/>
            <w:vMerge w:val="restart"/>
            <w:noWrap w:val="0"/>
            <w:vAlign w:val="center"/>
          </w:tcPr>
          <w:p w14:paraId="46D97D6C">
            <w:pPr>
              <w:spacing w:line="232" w:lineRule="exact"/>
              <w:rPr>
                <w:rFonts w:ascii="宋体" w:hAnsi="宋体" w:eastAsia="宋体" w:cs="宋体"/>
                <w:color w:val="auto"/>
                <w:kern w:val="0"/>
                <w:sz w:val="15"/>
                <w:szCs w:val="15"/>
                <w:highlight w:val="none"/>
                <w:u w:val="single"/>
              </w:rPr>
            </w:pPr>
            <w:r>
              <w:rPr>
                <w:rFonts w:hint="eastAsia" w:ascii="宋体" w:hAnsi="宋体" w:eastAsia="宋体" w:cs="宋体"/>
                <w:color w:val="auto"/>
                <w:kern w:val="0"/>
                <w:sz w:val="15"/>
                <w:szCs w:val="15"/>
                <w:highlight w:val="none"/>
              </w:rPr>
              <w:t>擅自利用或者组织（张贴、涂写、刻画、喷涂、散发）（标语、宣传品、广告）进行宣传</w:t>
            </w:r>
          </w:p>
        </w:tc>
        <w:tc>
          <w:tcPr>
            <w:tcW w:w="2981" w:type="dxa"/>
            <w:vMerge w:val="restart"/>
            <w:noWrap w:val="0"/>
            <w:vAlign w:val="center"/>
          </w:tcPr>
          <w:p w14:paraId="42456E1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noWrap w:val="0"/>
            <w:vAlign w:val="center"/>
          </w:tcPr>
          <w:p w14:paraId="2398EF5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3F4C920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2BE5FB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1.散发，</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p>
          <w:p w14:paraId="65EC751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14:paraId="3E71613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3.刻画、涂写、喷涂，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p>
          <w:p w14:paraId="159C43B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3A64CC9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62225909">
            <w:pPr>
              <w:spacing w:line="232" w:lineRule="exact"/>
              <w:rPr>
                <w:rFonts w:ascii="宋体" w:hAnsi="宋体" w:eastAsia="宋体" w:cs="宋体"/>
                <w:color w:val="auto"/>
                <w:kern w:val="0"/>
                <w:sz w:val="15"/>
                <w:szCs w:val="15"/>
                <w:highlight w:val="none"/>
                <w:u w:val="single"/>
              </w:rPr>
            </w:pPr>
          </w:p>
        </w:tc>
        <w:tc>
          <w:tcPr>
            <w:tcW w:w="1304" w:type="dxa"/>
            <w:gridSpan w:val="2"/>
            <w:vMerge w:val="restart"/>
            <w:noWrap w:val="0"/>
            <w:vAlign w:val="center"/>
          </w:tcPr>
          <w:p w14:paraId="4782C75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42F15CD">
            <w:pPr>
              <w:spacing w:line="232" w:lineRule="exact"/>
              <w:jc w:val="center"/>
              <w:rPr>
                <w:rFonts w:ascii="宋体" w:hAnsi="宋体" w:eastAsia="宋体" w:cs="宋体"/>
                <w:color w:val="auto"/>
                <w:kern w:val="0"/>
                <w:sz w:val="15"/>
                <w:szCs w:val="15"/>
                <w:highlight w:val="none"/>
                <w:u w:val="single"/>
              </w:rPr>
            </w:pPr>
            <w:r>
              <w:rPr>
                <w:rFonts w:hint="eastAsia" w:ascii="宋体" w:hAnsi="宋体" w:eastAsia="宋体"/>
                <w:color w:val="auto"/>
                <w:sz w:val="15"/>
                <w:szCs w:val="15"/>
                <w:highlight w:val="none"/>
              </w:rPr>
              <w:t>乡镇</w:t>
            </w:r>
          </w:p>
        </w:tc>
        <w:tc>
          <w:tcPr>
            <w:tcW w:w="1869" w:type="dxa"/>
            <w:vMerge w:val="restart"/>
            <w:noWrap w:val="0"/>
            <w:vAlign w:val="center"/>
          </w:tcPr>
          <w:p w14:paraId="4DE25EFE">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C4603000</w:t>
            </w:r>
          </w:p>
        </w:tc>
      </w:tr>
      <w:tr w14:paraId="6FEC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607" w:hRule="atLeast"/>
        </w:trPr>
        <w:tc>
          <w:tcPr>
            <w:tcW w:w="714" w:type="dxa"/>
            <w:vMerge w:val="continue"/>
            <w:noWrap w:val="0"/>
            <w:vAlign w:val="center"/>
          </w:tcPr>
          <w:p w14:paraId="34D19D00">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1C25FE6D">
            <w:pPr>
              <w:spacing w:line="232" w:lineRule="exact"/>
              <w:rPr>
                <w:rFonts w:ascii="宋体" w:hAnsi="宋体" w:eastAsia="宋体"/>
                <w:color w:val="auto"/>
                <w:sz w:val="15"/>
                <w:szCs w:val="15"/>
                <w:highlight w:val="none"/>
              </w:rPr>
            </w:pPr>
          </w:p>
        </w:tc>
        <w:tc>
          <w:tcPr>
            <w:tcW w:w="2981" w:type="dxa"/>
            <w:vMerge w:val="continue"/>
            <w:noWrap w:val="0"/>
            <w:vAlign w:val="center"/>
          </w:tcPr>
          <w:p w14:paraId="4C16E1CE">
            <w:pPr>
              <w:spacing w:line="232" w:lineRule="exact"/>
              <w:rPr>
                <w:rFonts w:ascii="宋体" w:hAnsi="宋体" w:eastAsia="宋体"/>
                <w:color w:val="auto"/>
                <w:sz w:val="15"/>
                <w:szCs w:val="15"/>
                <w:highlight w:val="none"/>
              </w:rPr>
            </w:pPr>
          </w:p>
        </w:tc>
        <w:tc>
          <w:tcPr>
            <w:tcW w:w="851" w:type="dxa"/>
            <w:noWrap w:val="0"/>
            <w:vAlign w:val="center"/>
          </w:tcPr>
          <w:p w14:paraId="535DDF6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100000（情节严重）</w:t>
            </w:r>
          </w:p>
        </w:tc>
        <w:tc>
          <w:tcPr>
            <w:tcW w:w="840" w:type="dxa"/>
            <w:noWrap w:val="0"/>
            <w:vAlign w:val="center"/>
          </w:tcPr>
          <w:p w14:paraId="74BBF8A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0C6A024">
            <w:pPr>
              <w:numPr>
                <w:ilvl w:val="0"/>
                <w:numId w:val="0"/>
              </w:numPr>
              <w:spacing w:line="232" w:lineRule="exact"/>
              <w:rPr>
                <w:rFonts w:hint="eastAsia" w:ascii="宋体" w:hAnsi="宋体" w:eastAsia="宋体" w:cs="宋体"/>
                <w:color w:val="auto"/>
                <w:kern w:val="0"/>
                <w:sz w:val="15"/>
                <w:szCs w:val="15"/>
                <w:highlight w:val="none"/>
                <w:lang w:val="en-US" w:eastAsia="zh-CN"/>
              </w:rPr>
            </w:pPr>
            <w:r>
              <w:rPr>
                <w:rFonts w:hint="default"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val="en-US" w:eastAsia="zh-CN"/>
              </w:rPr>
              <w:t>拒不改正的，系数1；2.拒不配合调查取证的，系数1；3.一年内已有1次同类性质违法行为受到处罚或告诫的，系数1；一年内已有2次同类性质违法行为受到处罚或告诫的，系数2；以此类推。4.在国家和本市的重大活动、会议、庆典等期间的，系数1。5.发生在二类重点管理地区，系数1；一类严格控制地区，系数2。</w:t>
            </w:r>
          </w:p>
          <w:p w14:paraId="651CB88A">
            <w:pPr>
              <w:numPr>
                <w:ilvl w:val="0"/>
                <w:numId w:val="0"/>
              </w:num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上述情形适用，具体以基准2.1.3的具体规定为准。</w:t>
            </w:r>
          </w:p>
          <w:p w14:paraId="375D8192">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142466D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5860484E">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组织利用</w:t>
            </w:r>
            <w:r>
              <w:rPr>
                <w:rFonts w:ascii="宋体" w:hAnsi="宋体" w:eastAsia="宋体" w:cs="宋体"/>
                <w:color w:val="auto"/>
                <w:kern w:val="0"/>
                <w:sz w:val="15"/>
                <w:szCs w:val="15"/>
                <w:highlight w:val="none"/>
              </w:rPr>
              <w:t>不满十周岁的未成年</w:t>
            </w:r>
            <w:r>
              <w:rPr>
                <w:rFonts w:hint="eastAsia" w:ascii="宋体" w:hAnsi="宋体" w:eastAsia="宋体" w:cs="宋体"/>
                <w:color w:val="auto"/>
                <w:kern w:val="0"/>
                <w:sz w:val="15"/>
                <w:szCs w:val="15"/>
                <w:highlight w:val="none"/>
              </w:rPr>
              <w:t>人进行宣传的；组织利用三名以上（含三名）</w:t>
            </w:r>
            <w:r>
              <w:rPr>
                <w:rFonts w:ascii="宋体" w:hAnsi="宋体" w:eastAsia="宋体" w:cs="宋体"/>
                <w:color w:val="auto"/>
                <w:kern w:val="0"/>
                <w:sz w:val="15"/>
                <w:szCs w:val="15"/>
                <w:highlight w:val="none"/>
              </w:rPr>
              <w:t>十周岁以上的</w:t>
            </w:r>
            <w:r>
              <w:rPr>
                <w:rFonts w:hint="eastAsia" w:ascii="宋体" w:hAnsi="宋体" w:eastAsia="宋体" w:cs="宋体"/>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严重危害情节的，可视为情节严重。</w:t>
            </w:r>
          </w:p>
          <w:p w14:paraId="1463F26A">
            <w:pPr>
              <w:spacing w:line="232" w:lineRule="exact"/>
              <w:rPr>
                <w:rFonts w:hint="eastAsia" w:ascii="宋体" w:hAnsi="宋体" w:eastAsia="宋体" w:cs="宋体"/>
                <w:color w:val="auto"/>
                <w:kern w:val="0"/>
                <w:sz w:val="15"/>
                <w:szCs w:val="15"/>
                <w:highlight w:val="none"/>
              </w:rPr>
            </w:pPr>
          </w:p>
        </w:tc>
        <w:tc>
          <w:tcPr>
            <w:tcW w:w="1304" w:type="dxa"/>
            <w:gridSpan w:val="2"/>
            <w:vMerge w:val="continue"/>
            <w:noWrap w:val="0"/>
            <w:vAlign w:val="center"/>
          </w:tcPr>
          <w:p w14:paraId="3BEA3C03">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595D6C03">
            <w:pPr>
              <w:spacing w:line="232" w:lineRule="exact"/>
              <w:jc w:val="center"/>
              <w:rPr>
                <w:rFonts w:ascii="宋体" w:hAnsi="宋体" w:eastAsia="宋体" w:cs="宋体"/>
                <w:color w:val="auto"/>
                <w:kern w:val="0"/>
                <w:sz w:val="15"/>
                <w:szCs w:val="15"/>
                <w:highlight w:val="none"/>
              </w:rPr>
            </w:pPr>
          </w:p>
        </w:tc>
      </w:tr>
      <w:tr w14:paraId="1489F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74CE1A3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626" w:type="dxa"/>
            <w:gridSpan w:val="2"/>
            <w:noWrap w:val="0"/>
            <w:vAlign w:val="center"/>
          </w:tcPr>
          <w:p w14:paraId="56380A52">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未按规划要求设置夜景照明设施</w:t>
            </w:r>
          </w:p>
        </w:tc>
        <w:tc>
          <w:tcPr>
            <w:tcW w:w="2981" w:type="dxa"/>
            <w:noWrap w:val="0"/>
            <w:vAlign w:val="center"/>
          </w:tcPr>
          <w:p w14:paraId="6E8D6D26">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违反条款：第四十三条第一款；</w:t>
            </w:r>
          </w:p>
          <w:p w14:paraId="7959A31A">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处罚条款：第四十三条第四款 责令限期改正，逾期不改正的，处500元以上5000元以下罚款。</w:t>
            </w:r>
          </w:p>
        </w:tc>
        <w:tc>
          <w:tcPr>
            <w:tcW w:w="851" w:type="dxa"/>
            <w:noWrap w:val="0"/>
            <w:vAlign w:val="center"/>
          </w:tcPr>
          <w:p w14:paraId="224EDB64">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E6ED3C5">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AB02FAC">
            <w:pPr>
              <w:pStyle w:val="22"/>
              <w:ind w:left="0" w:leftChars="0" w:firstLine="0" w:firstLineChars="0"/>
              <w:rPr>
                <w:color w:val="auto"/>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4DDB554E">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p>
        </w:tc>
        <w:tc>
          <w:tcPr>
            <w:tcW w:w="2020" w:type="dxa"/>
            <w:gridSpan w:val="2"/>
            <w:noWrap w:val="0"/>
            <w:vAlign w:val="center"/>
          </w:tcPr>
          <w:p w14:paraId="23479B17">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304" w:type="dxa"/>
            <w:gridSpan w:val="2"/>
            <w:noWrap w:val="0"/>
            <w:vAlign w:val="center"/>
          </w:tcPr>
          <w:p w14:paraId="31342488">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0F2AE1C">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062F284">
            <w:pPr>
              <w:spacing w:line="25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C4603100</w:t>
            </w:r>
          </w:p>
        </w:tc>
      </w:tr>
      <w:tr w14:paraId="150BE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2E18A97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626" w:type="dxa"/>
            <w:gridSpan w:val="2"/>
            <w:noWrap w:val="0"/>
            <w:vAlign w:val="center"/>
          </w:tcPr>
          <w:p w14:paraId="278FE01A">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未经审核实施夜景照明方案</w:t>
            </w:r>
          </w:p>
        </w:tc>
        <w:tc>
          <w:tcPr>
            <w:tcW w:w="2981" w:type="dxa"/>
            <w:noWrap w:val="0"/>
            <w:vAlign w:val="center"/>
          </w:tcPr>
          <w:p w14:paraId="3B187E2B">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违反条款：第四十三条第二款；</w:t>
            </w:r>
          </w:p>
          <w:p w14:paraId="5AF3247A">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处罚条款：第四十三条第四款 责令限期改正，逾期不改正的，处500元以上5000元以下罚款。</w:t>
            </w:r>
          </w:p>
        </w:tc>
        <w:tc>
          <w:tcPr>
            <w:tcW w:w="851" w:type="dxa"/>
            <w:noWrap w:val="0"/>
            <w:vAlign w:val="center"/>
          </w:tcPr>
          <w:p w14:paraId="2715CB34">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729BE6A6">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AC9D601">
            <w:pPr>
              <w:pStyle w:val="22"/>
              <w:ind w:left="0" w:leftChars="0" w:firstLine="0"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0B0F0EF7">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1A53B55B">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304" w:type="dxa"/>
            <w:gridSpan w:val="2"/>
            <w:noWrap w:val="0"/>
            <w:vAlign w:val="center"/>
          </w:tcPr>
          <w:p w14:paraId="53FD493D">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B8DB2BB">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89F6D19">
            <w:pPr>
              <w:spacing w:line="25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C4603200</w:t>
            </w:r>
          </w:p>
        </w:tc>
      </w:tr>
      <w:tr w14:paraId="6032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75" w:hRule="atLeast"/>
        </w:trPr>
        <w:tc>
          <w:tcPr>
            <w:tcW w:w="714" w:type="dxa"/>
            <w:noWrap w:val="0"/>
            <w:vAlign w:val="center"/>
          </w:tcPr>
          <w:p w14:paraId="07BE2AC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626" w:type="dxa"/>
            <w:gridSpan w:val="2"/>
            <w:noWrap w:val="0"/>
            <w:vAlign w:val="center"/>
          </w:tcPr>
          <w:p w14:paraId="7B05C80A">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未按照许可要求设置夜景照明设施</w:t>
            </w:r>
          </w:p>
        </w:tc>
        <w:tc>
          <w:tcPr>
            <w:tcW w:w="2981" w:type="dxa"/>
            <w:noWrap w:val="0"/>
            <w:vAlign w:val="center"/>
          </w:tcPr>
          <w:p w14:paraId="6668A1D4">
            <w:pPr>
              <w:spacing w:line="250" w:lineRule="exact"/>
              <w:rPr>
                <w:rFonts w:ascii="宋体" w:hAnsi="宋体" w:eastAsia="宋体" w:cs="宋体"/>
                <w:b/>
                <w:color w:val="auto"/>
                <w:kern w:val="0"/>
                <w:sz w:val="15"/>
                <w:szCs w:val="15"/>
                <w:highlight w:val="none"/>
              </w:rPr>
            </w:pPr>
            <w:r>
              <w:rPr>
                <w:rFonts w:hint="eastAsia" w:ascii="宋体" w:hAnsi="宋体" w:eastAsia="宋体" w:cs="宋体"/>
                <w:color w:val="auto"/>
                <w:kern w:val="0"/>
                <w:sz w:val="15"/>
                <w:szCs w:val="15"/>
                <w:highlight w:val="none"/>
              </w:rPr>
              <w:t>违反条款：第四十三条第四款；处罚条款：第四十三条第四款 责令限期改正，逾期不改正的，处500元以上5000元以下罚款。</w:t>
            </w:r>
          </w:p>
        </w:tc>
        <w:tc>
          <w:tcPr>
            <w:tcW w:w="851" w:type="dxa"/>
            <w:noWrap w:val="0"/>
            <w:vAlign w:val="center"/>
          </w:tcPr>
          <w:p w14:paraId="003ECD72">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040250B3">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D75D50D">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09667401">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7C0E0E37">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304" w:type="dxa"/>
            <w:gridSpan w:val="2"/>
            <w:noWrap w:val="0"/>
            <w:vAlign w:val="center"/>
          </w:tcPr>
          <w:p w14:paraId="52F2918E">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98B76BB">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DB12B8C">
            <w:pPr>
              <w:spacing w:line="25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C4603300</w:t>
            </w:r>
          </w:p>
        </w:tc>
      </w:tr>
      <w:tr w14:paraId="48197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7EE39435">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5</w:t>
            </w:r>
          </w:p>
        </w:tc>
        <w:tc>
          <w:tcPr>
            <w:tcW w:w="1626" w:type="dxa"/>
            <w:gridSpan w:val="2"/>
            <w:noWrap w:val="0"/>
            <w:vAlign w:val="center"/>
          </w:tcPr>
          <w:p w14:paraId="4B9A914C">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未按规定管护照明设施</w:t>
            </w:r>
          </w:p>
        </w:tc>
        <w:tc>
          <w:tcPr>
            <w:tcW w:w="2981" w:type="dxa"/>
            <w:noWrap w:val="0"/>
            <w:vAlign w:val="center"/>
          </w:tcPr>
          <w:p w14:paraId="4BF3A5E2">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违反、处罚条款：第四十四条第二款 责令限期改正；逾期不改正的，可处500元以上1000元以下罚款。</w:t>
            </w:r>
          </w:p>
        </w:tc>
        <w:tc>
          <w:tcPr>
            <w:tcW w:w="851" w:type="dxa"/>
            <w:noWrap w:val="0"/>
            <w:vAlign w:val="center"/>
          </w:tcPr>
          <w:p w14:paraId="72CA5F34">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736BB847">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0BACA77">
            <w:pPr>
              <w:spacing w:line="250"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1.存在较大隐患或者造成较大社会影响的，系数1；2.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74DDC836">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70392727">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304" w:type="dxa"/>
            <w:gridSpan w:val="2"/>
            <w:noWrap w:val="0"/>
            <w:vAlign w:val="center"/>
          </w:tcPr>
          <w:p w14:paraId="7B4B8124">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A3E5DFE">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E343AC2">
            <w:pPr>
              <w:spacing w:line="25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C4603400</w:t>
            </w:r>
          </w:p>
        </w:tc>
      </w:tr>
      <w:tr w14:paraId="4346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624BEFA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626" w:type="dxa"/>
            <w:gridSpan w:val="2"/>
            <w:noWrap w:val="0"/>
            <w:vAlign w:val="center"/>
          </w:tcPr>
          <w:p w14:paraId="169C0024">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未按规定开闭照明设施</w:t>
            </w:r>
          </w:p>
        </w:tc>
        <w:tc>
          <w:tcPr>
            <w:tcW w:w="2981" w:type="dxa"/>
            <w:noWrap w:val="0"/>
            <w:vAlign w:val="center"/>
          </w:tcPr>
          <w:p w14:paraId="21B51598">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违反、处罚条款：第四十四条第二款 责令限期改正；逾期不改正的，可处500元以上1000元以下罚款。</w:t>
            </w:r>
          </w:p>
        </w:tc>
        <w:tc>
          <w:tcPr>
            <w:tcW w:w="851" w:type="dxa"/>
            <w:noWrap w:val="0"/>
            <w:vAlign w:val="center"/>
          </w:tcPr>
          <w:p w14:paraId="125562E3">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47B1144C">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88800B3">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1.存在较大隐患或者造成较大社会影响的，系数1；2.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752A9A62">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35CABC3B">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304" w:type="dxa"/>
            <w:gridSpan w:val="2"/>
            <w:noWrap w:val="0"/>
            <w:vAlign w:val="center"/>
          </w:tcPr>
          <w:p w14:paraId="2E9BCCBC">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7FA3BCD">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73FB3E0">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C4603500</w:t>
            </w:r>
          </w:p>
        </w:tc>
      </w:tr>
      <w:tr w14:paraId="73E4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54" w:hRule="atLeast"/>
        </w:trPr>
        <w:tc>
          <w:tcPr>
            <w:tcW w:w="714" w:type="dxa"/>
            <w:noWrap w:val="0"/>
            <w:vAlign w:val="center"/>
          </w:tcPr>
          <w:p w14:paraId="76F9B20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626" w:type="dxa"/>
            <w:gridSpan w:val="2"/>
            <w:noWrap w:val="0"/>
            <w:vAlign w:val="center"/>
          </w:tcPr>
          <w:p w14:paraId="1E908435">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未按规定清扫保洁</w:t>
            </w:r>
          </w:p>
        </w:tc>
        <w:tc>
          <w:tcPr>
            <w:tcW w:w="2981" w:type="dxa"/>
            <w:noWrap w:val="0"/>
            <w:vAlign w:val="center"/>
          </w:tcPr>
          <w:p w14:paraId="35A4F0B1">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违反、处罚条款：第四十五条 责令改正，并可处100元以上1000元以下罚款。</w:t>
            </w:r>
          </w:p>
        </w:tc>
        <w:tc>
          <w:tcPr>
            <w:tcW w:w="851" w:type="dxa"/>
            <w:noWrap w:val="0"/>
            <w:vAlign w:val="center"/>
          </w:tcPr>
          <w:p w14:paraId="6D1A4E7D">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14:paraId="775B0057">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333008E">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69FED55B">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18E5192B">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14:paraId="1445E70B">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8A35A31">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7C68B7A">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C4603600</w:t>
            </w:r>
          </w:p>
        </w:tc>
      </w:tr>
      <w:tr w14:paraId="66C9F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21" w:hRule="atLeast"/>
        </w:trPr>
        <w:tc>
          <w:tcPr>
            <w:tcW w:w="714" w:type="dxa"/>
            <w:noWrap w:val="0"/>
            <w:vAlign w:val="center"/>
          </w:tcPr>
          <w:p w14:paraId="6A09A35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626" w:type="dxa"/>
            <w:gridSpan w:val="2"/>
            <w:tcBorders>
              <w:bottom w:val="single" w:color="auto" w:sz="4" w:space="0"/>
            </w:tcBorders>
            <w:noWrap w:val="0"/>
            <w:vAlign w:val="center"/>
          </w:tcPr>
          <w:p w14:paraId="0820EC08">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建设工程未按规定设置围挡、临时厕所和垃圾收集设施</w:t>
            </w:r>
          </w:p>
        </w:tc>
        <w:tc>
          <w:tcPr>
            <w:tcW w:w="2981" w:type="dxa"/>
            <w:noWrap w:val="0"/>
            <w:vAlign w:val="center"/>
          </w:tcPr>
          <w:p w14:paraId="12C6381B">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14:paraId="22D474BB">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4478A772">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2216ACE">
            <w:pPr>
              <w:pStyle w:val="22"/>
              <w:ind w:left="0" w:leftChars="0" w:firstLine="0" w:firstLineChars="0"/>
              <w:rPr>
                <w:color w:val="auto"/>
                <w:highlight w:val="none"/>
              </w:rPr>
            </w:pPr>
            <w:r>
              <w:rPr>
                <w:rFonts w:hint="eastAsia" w:ascii="宋体" w:hAnsi="宋体" w:eastAsia="宋体"/>
                <w:color w:val="auto"/>
                <w:sz w:val="15"/>
                <w:szCs w:val="15"/>
                <w:highlight w:val="none"/>
              </w:rPr>
              <w:t>1.未按规定</w:t>
            </w:r>
            <w:r>
              <w:rPr>
                <w:rFonts w:hint="eastAsia" w:ascii="宋体" w:hAnsi="宋体" w:eastAsia="宋体"/>
                <w:color w:val="auto"/>
                <w:sz w:val="15"/>
                <w:szCs w:val="15"/>
                <w:highlight w:val="none"/>
                <w:lang w:eastAsia="zh-CN"/>
              </w:rPr>
              <w:t>设置</w:t>
            </w:r>
            <w:r>
              <w:rPr>
                <w:rFonts w:hint="eastAsia" w:ascii="宋体" w:hAnsi="宋体" w:eastAsia="宋体"/>
                <w:color w:val="auto"/>
                <w:sz w:val="15"/>
                <w:szCs w:val="15"/>
                <w:highlight w:val="none"/>
              </w:rPr>
              <w:t>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未按规定设置围挡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5306AB9B">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38B08A35">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14:paraId="5780FA7C">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33FF26F">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2FC944A">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C4603700</w:t>
            </w:r>
          </w:p>
        </w:tc>
      </w:tr>
      <w:tr w14:paraId="34661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65" w:hRule="atLeast"/>
        </w:trPr>
        <w:tc>
          <w:tcPr>
            <w:tcW w:w="714" w:type="dxa"/>
            <w:noWrap w:val="0"/>
            <w:vAlign w:val="center"/>
          </w:tcPr>
          <w:p w14:paraId="231A2DF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626" w:type="dxa"/>
            <w:gridSpan w:val="2"/>
            <w:noWrap w:val="0"/>
            <w:vAlign w:val="center"/>
          </w:tcPr>
          <w:p w14:paraId="1F192A28">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建设工程未按规定采取防尘措施</w:t>
            </w:r>
          </w:p>
        </w:tc>
        <w:tc>
          <w:tcPr>
            <w:tcW w:w="2981" w:type="dxa"/>
            <w:noWrap w:val="0"/>
            <w:vAlign w:val="center"/>
          </w:tcPr>
          <w:p w14:paraId="5E407B04">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14:paraId="6088287D">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17E35C46">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A5930F7">
            <w:pPr>
              <w:spacing w:line="24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3E4B7872">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35AC7FE2">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14:paraId="314BC6AB">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E32284B">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C5785E6">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C4603800</w:t>
            </w:r>
          </w:p>
        </w:tc>
      </w:tr>
      <w:tr w14:paraId="73D5B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24" w:hRule="atLeast"/>
        </w:trPr>
        <w:tc>
          <w:tcPr>
            <w:tcW w:w="714" w:type="dxa"/>
            <w:noWrap w:val="0"/>
            <w:vAlign w:val="center"/>
          </w:tcPr>
          <w:p w14:paraId="3D249E3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626" w:type="dxa"/>
            <w:gridSpan w:val="2"/>
            <w:tcBorders>
              <w:bottom w:val="single" w:color="auto" w:sz="4" w:space="0"/>
            </w:tcBorders>
            <w:noWrap w:val="0"/>
            <w:vAlign w:val="center"/>
          </w:tcPr>
          <w:p w14:paraId="2B04383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建设工程现场污水流溢</w:t>
            </w:r>
          </w:p>
        </w:tc>
        <w:tc>
          <w:tcPr>
            <w:tcW w:w="2981" w:type="dxa"/>
            <w:noWrap w:val="0"/>
            <w:vAlign w:val="center"/>
          </w:tcPr>
          <w:p w14:paraId="0192A02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14:paraId="1CC9BBD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087ACD0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B1D3BD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6ED83BB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64C287C9">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31DD32B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2BAA1E4">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991995C">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C4603900</w:t>
            </w:r>
          </w:p>
        </w:tc>
      </w:tr>
      <w:tr w14:paraId="6108F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67" w:hRule="atLeast"/>
        </w:trPr>
        <w:tc>
          <w:tcPr>
            <w:tcW w:w="714" w:type="dxa"/>
            <w:noWrap w:val="0"/>
            <w:vAlign w:val="center"/>
          </w:tcPr>
          <w:p w14:paraId="1C4A724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31</w:t>
            </w:r>
          </w:p>
        </w:tc>
        <w:tc>
          <w:tcPr>
            <w:tcW w:w="1626" w:type="dxa"/>
            <w:gridSpan w:val="2"/>
            <w:noWrap w:val="0"/>
            <w:vAlign w:val="center"/>
          </w:tcPr>
          <w:p w14:paraId="263B3B8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建筑垃圾未日产日清</w:t>
            </w:r>
          </w:p>
        </w:tc>
        <w:tc>
          <w:tcPr>
            <w:tcW w:w="2981" w:type="dxa"/>
            <w:noWrap w:val="0"/>
            <w:vAlign w:val="center"/>
          </w:tcPr>
          <w:p w14:paraId="21326D9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14:paraId="08AA868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634FF17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34D8B2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1.垃圾占地面积10㎡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w:t>
            </w:r>
            <w:r>
              <w:rPr>
                <w:rFonts w:hint="eastAsia" w:ascii="宋体" w:hAnsi="宋体" w:eastAsia="宋体" w:cs="宋体"/>
                <w:color w:val="auto"/>
                <w:kern w:val="0"/>
                <w:sz w:val="15"/>
                <w:szCs w:val="15"/>
                <w:highlight w:val="none"/>
              </w:rPr>
              <w:t>数1；16－20㎡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2.逾期不清的，逾期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4天的，系数2；逾期达6天的，系数3；逾期达8天的，系数4；逾期达10天的，系数5；以此类推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造成尘土飞扬，严重污染环境的，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olor w:val="auto"/>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7522646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5EED2563">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1304" w:type="dxa"/>
            <w:gridSpan w:val="2"/>
            <w:noWrap w:val="0"/>
            <w:vAlign w:val="center"/>
          </w:tcPr>
          <w:p w14:paraId="17A6CB9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266916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1FB614E6">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C4604000</w:t>
            </w:r>
          </w:p>
        </w:tc>
      </w:tr>
      <w:tr w14:paraId="2276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31" w:hRule="atLeast"/>
        </w:trPr>
        <w:tc>
          <w:tcPr>
            <w:tcW w:w="714" w:type="dxa"/>
            <w:noWrap w:val="0"/>
            <w:vAlign w:val="center"/>
          </w:tcPr>
          <w:p w14:paraId="617D04B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32</w:t>
            </w:r>
          </w:p>
        </w:tc>
        <w:tc>
          <w:tcPr>
            <w:tcW w:w="1626" w:type="dxa"/>
            <w:gridSpan w:val="2"/>
            <w:noWrap w:val="0"/>
            <w:vAlign w:val="center"/>
          </w:tcPr>
          <w:p w14:paraId="451636F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未及时清除施工弃物弃料或者临时设施</w:t>
            </w:r>
          </w:p>
        </w:tc>
        <w:tc>
          <w:tcPr>
            <w:tcW w:w="2981" w:type="dxa"/>
            <w:noWrap w:val="0"/>
            <w:vAlign w:val="center"/>
          </w:tcPr>
          <w:p w14:paraId="136C58A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14:paraId="0A724F9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504DA39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F4227ED">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1.废料占地面积10㎡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w:t>
            </w:r>
            <w:r>
              <w:rPr>
                <w:rFonts w:hint="eastAsia" w:ascii="宋体" w:hAnsi="宋体" w:eastAsia="宋体" w:cs="宋体"/>
                <w:color w:val="auto"/>
                <w:kern w:val="0"/>
                <w:sz w:val="15"/>
                <w:szCs w:val="15"/>
                <w:highlight w:val="none"/>
              </w:rPr>
              <w:t>数1；16－20㎡</w:t>
            </w:r>
            <w:r>
              <w:rPr>
                <w:rFonts w:hint="eastAsia" w:ascii="宋体" w:hAnsi="宋体" w:eastAsia="宋体" w:cs="宋体"/>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strike w:val="0"/>
                <w:dstrike w:val="0"/>
                <w:color w:val="auto"/>
                <w:kern w:val="0"/>
                <w:sz w:val="15"/>
                <w:szCs w:val="15"/>
                <w:highlight w:val="none"/>
              </w:rPr>
              <w:t>。2.</w:t>
            </w:r>
            <w:r>
              <w:rPr>
                <w:rFonts w:hint="eastAsia" w:ascii="宋体" w:hAnsi="宋体" w:eastAsia="宋体" w:cs="宋体"/>
                <w:strike w:val="0"/>
                <w:dstrike w:val="0"/>
                <w:color w:val="auto"/>
                <w:kern w:val="0"/>
                <w:sz w:val="15"/>
                <w:szCs w:val="15"/>
                <w:highlight w:val="none"/>
                <w:lang w:eastAsia="zh-CN"/>
              </w:rPr>
              <w:t>经责令改正</w:t>
            </w:r>
            <w:r>
              <w:rPr>
                <w:rFonts w:hint="eastAsia" w:ascii="宋体" w:hAnsi="宋体" w:eastAsia="宋体" w:cs="宋体"/>
                <w:strike w:val="0"/>
                <w:dstrike w:val="0"/>
                <w:color w:val="auto"/>
                <w:kern w:val="0"/>
                <w:sz w:val="15"/>
                <w:szCs w:val="15"/>
                <w:highlight w:val="none"/>
              </w:rPr>
              <w:t>逾期不清除临时设施的，逾期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4天的，系数2；逾期达6天的，系数3；逾期达8天的，系数4；逾期达10天的，系数5；以此类推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dstrike w:val="0"/>
                <w:color w:val="auto"/>
                <w:kern w:val="0"/>
                <w:sz w:val="15"/>
                <w:szCs w:val="15"/>
                <w:highlight w:val="none"/>
              </w:rPr>
              <w:t>。</w:t>
            </w:r>
            <w:r>
              <w:rPr>
                <w:rFonts w:hint="eastAsia" w:ascii="宋体" w:hAnsi="宋体" w:eastAsia="宋体" w:cs="宋体"/>
                <w:strike w:val="0"/>
                <w:dstrike w:val="0"/>
                <w:color w:val="auto"/>
                <w:kern w:val="0"/>
                <w:sz w:val="15"/>
                <w:szCs w:val="15"/>
                <w:highlight w:val="none"/>
                <w:lang w:val="en-US" w:eastAsia="zh-CN"/>
              </w:rPr>
              <w:t>3</w:t>
            </w:r>
            <w:r>
              <w:rPr>
                <w:rFonts w:hint="eastAsia" w:ascii="宋体" w:hAnsi="宋体" w:eastAsia="宋体"/>
                <w:strike w:val="0"/>
                <w:dstrike w:val="0"/>
                <w:color w:val="auto"/>
                <w:sz w:val="15"/>
                <w:szCs w:val="15"/>
                <w:highlight w:val="none"/>
              </w:rPr>
              <w:t>.</w:t>
            </w:r>
            <w:r>
              <w:rPr>
                <w:rFonts w:hint="eastAsia" w:ascii="宋体" w:hAnsi="宋体" w:eastAsia="宋体"/>
                <w:color w:val="auto"/>
                <w:sz w:val="15"/>
                <w:szCs w:val="15"/>
                <w:highlight w:val="none"/>
              </w:rPr>
              <w:t>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33684BF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3B540B7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1304" w:type="dxa"/>
            <w:gridSpan w:val="2"/>
            <w:noWrap w:val="0"/>
            <w:vAlign w:val="center"/>
          </w:tcPr>
          <w:p w14:paraId="263F907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FB416B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D5DEDE1">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C4604100</w:t>
            </w:r>
          </w:p>
        </w:tc>
      </w:tr>
      <w:tr w14:paraId="1994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11" w:hRule="atLeast"/>
        </w:trPr>
        <w:tc>
          <w:tcPr>
            <w:tcW w:w="714" w:type="dxa"/>
            <w:noWrap w:val="0"/>
            <w:vAlign w:val="center"/>
          </w:tcPr>
          <w:p w14:paraId="5C1BA517">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33</w:t>
            </w:r>
          </w:p>
        </w:tc>
        <w:tc>
          <w:tcPr>
            <w:tcW w:w="1626" w:type="dxa"/>
            <w:gridSpan w:val="2"/>
            <w:noWrap w:val="0"/>
            <w:vAlign w:val="center"/>
          </w:tcPr>
          <w:p w14:paraId="25F3D9D9">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公共设施管护作业未按规定清除废弃物</w:t>
            </w:r>
            <w:r>
              <w:rPr>
                <w:rFonts w:hint="eastAsia" w:ascii="宋体" w:hAnsi="宋体" w:eastAsia="宋体"/>
                <w:b w:val="0"/>
                <w:bCs w:val="0"/>
                <w:color w:val="auto"/>
                <w:sz w:val="15"/>
                <w:szCs w:val="15"/>
                <w:highlight w:val="none"/>
              </w:rPr>
              <w:t xml:space="preserve"> </w:t>
            </w:r>
          </w:p>
        </w:tc>
        <w:tc>
          <w:tcPr>
            <w:tcW w:w="2981" w:type="dxa"/>
            <w:noWrap w:val="0"/>
            <w:vAlign w:val="center"/>
          </w:tcPr>
          <w:p w14:paraId="79AD9FE8">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违反、处罚条款：第四十七条 责令限期清理，并可处500元以上5000元以下罚款。</w:t>
            </w:r>
          </w:p>
        </w:tc>
        <w:tc>
          <w:tcPr>
            <w:tcW w:w="851" w:type="dxa"/>
            <w:noWrap w:val="0"/>
            <w:vAlign w:val="center"/>
          </w:tcPr>
          <w:p w14:paraId="67AC5D56">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32642E10">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DD2C0A0">
            <w:pPr>
              <w:pStyle w:val="22"/>
              <w:ind w:left="0" w:leftChars="0" w:firstLine="0" w:firstLineChars="0"/>
              <w:rPr>
                <w:color w:val="auto"/>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0709B5FA">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19E95E2C">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49953EA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0A9674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1F02AB1">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C4604200</w:t>
            </w:r>
          </w:p>
        </w:tc>
      </w:tr>
      <w:tr w14:paraId="59F9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14:paraId="452046F8">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34</w:t>
            </w:r>
          </w:p>
        </w:tc>
        <w:tc>
          <w:tcPr>
            <w:tcW w:w="1626" w:type="dxa"/>
            <w:gridSpan w:val="2"/>
            <w:noWrap w:val="0"/>
            <w:vAlign w:val="center"/>
          </w:tcPr>
          <w:p w14:paraId="6A2FB4A9">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城市绿地管理养护单位未保持绿地整洁</w:t>
            </w:r>
          </w:p>
        </w:tc>
        <w:tc>
          <w:tcPr>
            <w:tcW w:w="2981" w:type="dxa"/>
            <w:noWrap w:val="0"/>
            <w:vAlign w:val="center"/>
          </w:tcPr>
          <w:p w14:paraId="7C1181B7">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违反、处罚条款：第四十八条 责令限期改正，并可处500元以上5000元以下罚款。</w:t>
            </w:r>
          </w:p>
        </w:tc>
        <w:tc>
          <w:tcPr>
            <w:tcW w:w="851" w:type="dxa"/>
            <w:noWrap w:val="0"/>
            <w:vAlign w:val="center"/>
          </w:tcPr>
          <w:p w14:paraId="0BEF18B2">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3E1053BB">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9D62D6B">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7053230A">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59DF75F8">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21A38CF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6C42B9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D32643C">
            <w:pPr>
              <w:keepNext w:val="0"/>
              <w:keepLines w:val="0"/>
              <w:widowControl w:val="0"/>
              <w:suppressLineNumbers w:val="0"/>
              <w:spacing w:before="0" w:beforeAutospacing="0" w:after="0" w:afterAutospacing="0" w:line="232" w:lineRule="exact"/>
              <w:ind w:left="0" w:right="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C4604300</w:t>
            </w:r>
          </w:p>
        </w:tc>
      </w:tr>
      <w:tr w14:paraId="0233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89" w:hRule="atLeast"/>
        </w:trPr>
        <w:tc>
          <w:tcPr>
            <w:tcW w:w="714" w:type="dxa"/>
            <w:noWrap w:val="0"/>
            <w:vAlign w:val="center"/>
          </w:tcPr>
          <w:p w14:paraId="01F9138C">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5</w:t>
            </w:r>
          </w:p>
        </w:tc>
        <w:tc>
          <w:tcPr>
            <w:tcW w:w="1626" w:type="dxa"/>
            <w:gridSpan w:val="2"/>
            <w:noWrap w:val="0"/>
            <w:vAlign w:val="center"/>
          </w:tcPr>
          <w:p w14:paraId="00B645C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绿化作业未按规定清除废弃物</w:t>
            </w:r>
          </w:p>
        </w:tc>
        <w:tc>
          <w:tcPr>
            <w:tcW w:w="2981" w:type="dxa"/>
            <w:noWrap w:val="0"/>
            <w:vAlign w:val="center"/>
          </w:tcPr>
          <w:p w14:paraId="5405F068">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违反、处罚条款：第四十八条 责令限期改正，并可处500元以上5000元以下罚款。</w:t>
            </w:r>
          </w:p>
        </w:tc>
        <w:tc>
          <w:tcPr>
            <w:tcW w:w="851" w:type="dxa"/>
            <w:noWrap w:val="0"/>
            <w:vAlign w:val="center"/>
          </w:tcPr>
          <w:p w14:paraId="27B29CCD">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3FA12316">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C6FDEA9">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73DB26B5">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139D230C">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01BDBFD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C2986B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F88C063">
            <w:pPr>
              <w:keepNext w:val="0"/>
              <w:keepLines w:val="0"/>
              <w:widowControl w:val="0"/>
              <w:suppressLineNumbers w:val="0"/>
              <w:spacing w:before="0" w:beforeAutospacing="0" w:after="0" w:afterAutospacing="0" w:line="232" w:lineRule="exact"/>
              <w:ind w:left="0" w:right="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C4604300</w:t>
            </w:r>
          </w:p>
        </w:tc>
      </w:tr>
      <w:tr w14:paraId="5C64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46" w:hRule="atLeast"/>
        </w:trPr>
        <w:tc>
          <w:tcPr>
            <w:tcW w:w="714" w:type="dxa"/>
            <w:vMerge w:val="restart"/>
            <w:noWrap w:val="0"/>
            <w:vAlign w:val="center"/>
          </w:tcPr>
          <w:p w14:paraId="6B0939C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36</w:t>
            </w:r>
          </w:p>
        </w:tc>
        <w:tc>
          <w:tcPr>
            <w:tcW w:w="1626" w:type="dxa"/>
            <w:gridSpan w:val="2"/>
            <w:vMerge w:val="restart"/>
            <w:noWrap w:val="0"/>
            <w:vAlign w:val="center"/>
          </w:tcPr>
          <w:p w14:paraId="08AD69F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占用公共场所从事车辆清洗、维修业务</w:t>
            </w:r>
          </w:p>
        </w:tc>
        <w:tc>
          <w:tcPr>
            <w:tcW w:w="2981" w:type="dxa"/>
            <w:vMerge w:val="restart"/>
            <w:noWrap w:val="0"/>
            <w:vAlign w:val="center"/>
          </w:tcPr>
          <w:p w14:paraId="548627A7">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违反条款：第五十条第一款；</w:t>
            </w:r>
          </w:p>
          <w:p w14:paraId="1D71FBA7">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第三款 责令改正，并处50元以上300元以下罚款；情节严重的，处300元以上3000元以下罚款。</w:t>
            </w:r>
          </w:p>
        </w:tc>
        <w:tc>
          <w:tcPr>
            <w:tcW w:w="851" w:type="dxa"/>
            <w:noWrap w:val="0"/>
            <w:vAlign w:val="center"/>
          </w:tcPr>
          <w:p w14:paraId="776616D9">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49DD9938">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8CA0FAD">
            <w:pPr>
              <w:spacing w:line="220" w:lineRule="exact"/>
              <w:rPr>
                <w:rFonts w:hint="eastAsia" w:ascii="宋体" w:hAnsi="宋体" w:eastAsia="宋体" w:cs="宋体"/>
                <w:color w:val="auto"/>
                <w:kern w:val="0"/>
                <w:sz w:val="15"/>
                <w:szCs w:val="15"/>
                <w:highlight w:val="none"/>
                <w:lang w:eastAsia="zh-CN"/>
              </w:rPr>
            </w:pP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390AAA4E">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151CA628">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1238E62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1BC7D6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7E014450">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C4604400</w:t>
            </w:r>
          </w:p>
        </w:tc>
      </w:tr>
      <w:tr w14:paraId="00A6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17" w:hRule="atLeast"/>
        </w:trPr>
        <w:tc>
          <w:tcPr>
            <w:tcW w:w="714" w:type="dxa"/>
            <w:vMerge w:val="continue"/>
            <w:noWrap w:val="0"/>
            <w:vAlign w:val="center"/>
          </w:tcPr>
          <w:p w14:paraId="6BAE7272">
            <w:pPr>
              <w:spacing w:line="232" w:lineRule="exact"/>
              <w:jc w:val="center"/>
              <w:rPr>
                <w:rFonts w:ascii="宋体" w:hAnsi="宋体" w:eastAsia="宋体" w:cs="宋体"/>
                <w:b/>
                <w:color w:val="auto"/>
                <w:kern w:val="0"/>
                <w:sz w:val="15"/>
                <w:szCs w:val="15"/>
                <w:highlight w:val="none"/>
              </w:rPr>
            </w:pPr>
          </w:p>
        </w:tc>
        <w:tc>
          <w:tcPr>
            <w:tcW w:w="1626" w:type="dxa"/>
            <w:gridSpan w:val="2"/>
            <w:vMerge w:val="continue"/>
            <w:noWrap w:val="0"/>
            <w:vAlign w:val="center"/>
          </w:tcPr>
          <w:p w14:paraId="6F59833F">
            <w:pPr>
              <w:spacing w:line="232" w:lineRule="exact"/>
              <w:rPr>
                <w:rFonts w:ascii="宋体" w:hAnsi="宋体" w:eastAsia="宋体" w:cs="宋体"/>
                <w:b/>
                <w:color w:val="auto"/>
                <w:kern w:val="0"/>
                <w:sz w:val="15"/>
                <w:szCs w:val="15"/>
                <w:highlight w:val="none"/>
              </w:rPr>
            </w:pPr>
          </w:p>
        </w:tc>
        <w:tc>
          <w:tcPr>
            <w:tcW w:w="2981" w:type="dxa"/>
            <w:vMerge w:val="continue"/>
            <w:noWrap w:val="0"/>
            <w:vAlign w:val="center"/>
          </w:tcPr>
          <w:p w14:paraId="2499ACA9">
            <w:pPr>
              <w:spacing w:line="220" w:lineRule="exact"/>
              <w:rPr>
                <w:rFonts w:ascii="宋体" w:hAnsi="宋体" w:eastAsia="宋体" w:cs="宋体"/>
                <w:b/>
                <w:color w:val="auto"/>
                <w:kern w:val="0"/>
                <w:sz w:val="15"/>
                <w:szCs w:val="15"/>
                <w:highlight w:val="none"/>
              </w:rPr>
            </w:pPr>
          </w:p>
        </w:tc>
        <w:tc>
          <w:tcPr>
            <w:tcW w:w="851" w:type="dxa"/>
            <w:noWrap w:val="0"/>
            <w:vAlign w:val="center"/>
          </w:tcPr>
          <w:p w14:paraId="4A65935D">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14:paraId="58C02260">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712F61F">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1.占用非机动车道或者占用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公共场所面积较大，或者造成通行秩序、市容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秩序混乱的</w:t>
            </w:r>
            <w:r>
              <w:rPr>
                <w:rFonts w:hint="eastAsia" w:ascii="宋体" w:hAnsi="宋体" w:eastAsia="宋体" w:cs="宋体"/>
                <w:strike w:val="0"/>
                <w:dstrike w:val="0"/>
                <w:color w:val="auto"/>
                <w:kern w:val="0"/>
                <w:sz w:val="15"/>
                <w:szCs w:val="15"/>
                <w:highlight w:val="none"/>
              </w:rPr>
              <w:t>，</w:t>
            </w:r>
            <w:r>
              <w:rPr>
                <w:rFonts w:hint="eastAsia" w:ascii="宋体" w:hAnsi="宋体" w:eastAsia="宋体" w:cs="宋体"/>
                <w:strike w:val="0"/>
                <w:dstrike w:val="0"/>
                <w:color w:val="auto"/>
                <w:kern w:val="0"/>
                <w:sz w:val="15"/>
                <w:szCs w:val="15"/>
                <w:highlight w:val="none"/>
                <w:lang w:eastAsia="zh-CN"/>
              </w:rPr>
              <w:t>系数</w:t>
            </w:r>
            <w:r>
              <w:rPr>
                <w:rFonts w:hint="eastAsia" w:ascii="宋体" w:hAnsi="宋体" w:eastAsia="宋体" w:cs="宋体"/>
                <w:strike w:val="0"/>
                <w:dstrike w:val="0"/>
                <w:color w:val="auto"/>
                <w:kern w:val="0"/>
                <w:sz w:val="15"/>
                <w:szCs w:val="15"/>
                <w:highlight w:val="none"/>
                <w:lang w:val="en-US" w:eastAsia="zh-CN"/>
              </w:rPr>
              <w:t>0-3</w:t>
            </w:r>
            <w:r>
              <w:rPr>
                <w:rFonts w:hint="eastAsia" w:ascii="宋体" w:hAnsi="宋体" w:eastAsia="宋体" w:cs="宋体"/>
                <w:strike w:val="0"/>
                <w:dstrike w:val="0"/>
                <w:color w:val="auto"/>
                <w:kern w:val="0"/>
                <w:sz w:val="15"/>
                <w:szCs w:val="15"/>
                <w:highlight w:val="none"/>
              </w:rPr>
              <w:t>；2.</w:t>
            </w:r>
            <w:r>
              <w:rPr>
                <w:rFonts w:hint="eastAsia" w:ascii="宋体" w:hAnsi="宋体" w:eastAsia="宋体" w:cs="宋体"/>
                <w:color w:val="auto"/>
                <w:kern w:val="0"/>
                <w:sz w:val="15"/>
                <w:szCs w:val="15"/>
                <w:highlight w:val="none"/>
              </w:rPr>
              <w:t>占用无障碍设施、机动车道、绿地的，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4-6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.造成交通秩序、市容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2A69C0B2">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0BCCDED0">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规定情形</w:t>
            </w:r>
            <w:r>
              <w:rPr>
                <w:rFonts w:hint="eastAsia" w:ascii="宋体" w:hAnsi="宋体" w:eastAsia="宋体" w:cs="宋体"/>
                <w:color w:val="auto"/>
                <w:kern w:val="0"/>
                <w:sz w:val="15"/>
                <w:szCs w:val="15"/>
                <w:highlight w:val="none"/>
              </w:rPr>
              <w:t>的，视为情节严重，适用此档处罚。</w:t>
            </w:r>
          </w:p>
        </w:tc>
        <w:tc>
          <w:tcPr>
            <w:tcW w:w="1304" w:type="dxa"/>
            <w:gridSpan w:val="2"/>
            <w:noWrap w:val="0"/>
            <w:vAlign w:val="center"/>
          </w:tcPr>
          <w:p w14:paraId="72728E4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F2F3054">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448BF0D7">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p>
        </w:tc>
      </w:tr>
      <w:tr w14:paraId="22FC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32" w:hRule="atLeast"/>
        </w:trPr>
        <w:tc>
          <w:tcPr>
            <w:tcW w:w="714" w:type="dxa"/>
            <w:vMerge w:val="restart"/>
            <w:noWrap w:val="0"/>
            <w:vAlign w:val="center"/>
          </w:tcPr>
          <w:p w14:paraId="5ABCD20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37</w:t>
            </w:r>
          </w:p>
        </w:tc>
        <w:tc>
          <w:tcPr>
            <w:tcW w:w="1626" w:type="dxa"/>
            <w:gridSpan w:val="2"/>
            <w:vMerge w:val="restart"/>
            <w:noWrap w:val="0"/>
            <w:vAlign w:val="center"/>
          </w:tcPr>
          <w:p w14:paraId="4BE2FF80">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车辆作业场所环境脏乱</w:t>
            </w:r>
          </w:p>
        </w:tc>
        <w:tc>
          <w:tcPr>
            <w:tcW w:w="2981" w:type="dxa"/>
            <w:vMerge w:val="restart"/>
            <w:noWrap w:val="0"/>
            <w:vAlign w:val="center"/>
          </w:tcPr>
          <w:p w14:paraId="4921E71E">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违反条款：第五十条第二款；</w:t>
            </w:r>
          </w:p>
          <w:p w14:paraId="39540321">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处罚条款：第五十条第三款 责令改正，并处50元以上300元以下罚款；情节严重的，处300元以上3000元以下罚款。</w:t>
            </w:r>
          </w:p>
        </w:tc>
        <w:tc>
          <w:tcPr>
            <w:tcW w:w="851" w:type="dxa"/>
            <w:noWrap w:val="0"/>
            <w:vAlign w:val="center"/>
          </w:tcPr>
          <w:p w14:paraId="3E3BABEE">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56DED201">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C0D3AB3">
            <w:pPr>
              <w:spacing w:line="240" w:lineRule="exact"/>
              <w:rPr>
                <w:rFonts w:hint="eastAsia" w:ascii="宋体" w:hAnsi="宋体" w:eastAsia="宋体" w:cs="宋体"/>
                <w:color w:val="auto"/>
                <w:kern w:val="0"/>
                <w:sz w:val="15"/>
                <w:szCs w:val="15"/>
                <w:highlight w:val="none"/>
                <w:lang w:eastAsia="zh-CN"/>
              </w:rPr>
            </w:pP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70FE3600">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4DDFF159">
            <w:pPr>
              <w:spacing w:line="240" w:lineRule="exact"/>
              <w:rPr>
                <w:rFonts w:ascii="宋体" w:hAnsi="宋体" w:eastAsia="宋体" w:cs="宋体"/>
                <w:b/>
                <w:color w:val="auto"/>
                <w:kern w:val="0"/>
                <w:sz w:val="15"/>
                <w:szCs w:val="15"/>
                <w:highlight w:val="none"/>
              </w:rPr>
            </w:pPr>
          </w:p>
        </w:tc>
        <w:tc>
          <w:tcPr>
            <w:tcW w:w="1304" w:type="dxa"/>
            <w:gridSpan w:val="2"/>
            <w:noWrap w:val="0"/>
            <w:vAlign w:val="center"/>
          </w:tcPr>
          <w:p w14:paraId="52CA76FF">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7B386E5">
            <w:pPr>
              <w:spacing w:line="240"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C223354">
            <w:pPr>
              <w:keepNext w:val="0"/>
              <w:keepLines w:val="0"/>
              <w:widowControl w:val="0"/>
              <w:suppressLineNumbers w:val="0"/>
              <w:spacing w:before="0" w:beforeAutospacing="0" w:after="0" w:afterAutospacing="0" w:line="240"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C4604500</w:t>
            </w:r>
          </w:p>
        </w:tc>
      </w:tr>
      <w:tr w14:paraId="030E0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83" w:hRule="atLeast"/>
        </w:trPr>
        <w:tc>
          <w:tcPr>
            <w:tcW w:w="714" w:type="dxa"/>
            <w:vMerge w:val="continue"/>
            <w:noWrap w:val="0"/>
            <w:vAlign w:val="center"/>
          </w:tcPr>
          <w:p w14:paraId="7EAD086F">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3768A92B">
            <w:pPr>
              <w:spacing w:line="240" w:lineRule="exact"/>
              <w:rPr>
                <w:rFonts w:ascii="宋体" w:hAnsi="宋体" w:eastAsia="宋体" w:cs="宋体"/>
                <w:color w:val="auto"/>
                <w:kern w:val="0"/>
                <w:sz w:val="15"/>
                <w:szCs w:val="15"/>
                <w:highlight w:val="none"/>
              </w:rPr>
            </w:pPr>
          </w:p>
        </w:tc>
        <w:tc>
          <w:tcPr>
            <w:tcW w:w="2981" w:type="dxa"/>
            <w:vMerge w:val="continue"/>
            <w:noWrap w:val="0"/>
            <w:vAlign w:val="center"/>
          </w:tcPr>
          <w:p w14:paraId="7BDD8680">
            <w:pPr>
              <w:spacing w:line="240" w:lineRule="exact"/>
              <w:rPr>
                <w:rFonts w:ascii="宋体" w:hAnsi="宋体" w:eastAsia="宋体" w:cs="宋体"/>
                <w:color w:val="auto"/>
                <w:kern w:val="0"/>
                <w:sz w:val="15"/>
                <w:szCs w:val="15"/>
                <w:highlight w:val="none"/>
              </w:rPr>
            </w:pPr>
          </w:p>
        </w:tc>
        <w:tc>
          <w:tcPr>
            <w:tcW w:w="851" w:type="dxa"/>
            <w:noWrap w:val="0"/>
            <w:vAlign w:val="center"/>
          </w:tcPr>
          <w:p w14:paraId="017D8231">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14:paraId="5BDC433B">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07296E3">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污染面积5㎡</w:t>
            </w:r>
            <w:r>
              <w:rPr>
                <w:rFonts w:hint="eastAsia" w:ascii="宋体" w:hAnsi="宋体" w:eastAsia="宋体" w:cs="仿宋_GB2312"/>
                <w:color w:val="auto"/>
                <w:kern w:val="0"/>
                <w:sz w:val="15"/>
                <w:szCs w:val="15"/>
                <w:highlight w:val="none"/>
              </w:rPr>
              <w:t>以内的，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0；6</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10㎡</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4CD905E0">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0700298F">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违法行为发生在一类地区的，或者构成</w:t>
            </w:r>
            <w:r>
              <w:rPr>
                <w:rFonts w:hint="eastAsia" w:ascii="宋体" w:hAnsi="宋体" w:eastAsia="宋体" w:cs="宋体"/>
                <w:color w:val="auto"/>
                <w:kern w:val="0"/>
                <w:sz w:val="15"/>
                <w:szCs w:val="15"/>
                <w:highlight w:val="none"/>
                <w:lang w:eastAsia="zh-CN"/>
              </w:rPr>
              <w:t>《基准表》情节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规定情形</w:t>
            </w:r>
            <w:r>
              <w:rPr>
                <w:rFonts w:hint="eastAsia" w:ascii="宋体" w:hAnsi="宋体" w:eastAsia="宋体" w:cs="宋体"/>
                <w:color w:val="auto"/>
                <w:kern w:val="0"/>
                <w:sz w:val="15"/>
                <w:szCs w:val="15"/>
                <w:highlight w:val="none"/>
              </w:rPr>
              <w:t>的，视为情节严重，适用此档处罚</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445771FF">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B71A94B">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369C326">
            <w:pPr>
              <w:keepNext w:val="0"/>
              <w:keepLines w:val="0"/>
              <w:widowControl w:val="0"/>
              <w:suppressLineNumbers w:val="0"/>
              <w:spacing w:before="0" w:beforeAutospacing="0" w:after="0" w:afterAutospacing="0" w:line="240" w:lineRule="exact"/>
              <w:ind w:left="0" w:leftChars="0" w:right="0" w:rightChars="0"/>
              <w:jc w:val="center"/>
              <w:rPr>
                <w:rFonts w:hint="eastAsia" w:ascii="宋体" w:hAnsi="宋体" w:eastAsia="宋体"/>
                <w:color w:val="auto"/>
                <w:sz w:val="15"/>
                <w:szCs w:val="15"/>
                <w:highlight w:val="none"/>
              </w:rPr>
            </w:pPr>
          </w:p>
        </w:tc>
      </w:tr>
      <w:tr w14:paraId="64514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20" w:hRule="atLeast"/>
        </w:trPr>
        <w:tc>
          <w:tcPr>
            <w:tcW w:w="714" w:type="dxa"/>
            <w:noWrap w:val="0"/>
            <w:vAlign w:val="center"/>
          </w:tcPr>
          <w:p w14:paraId="0297E9D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38</w:t>
            </w:r>
          </w:p>
        </w:tc>
        <w:tc>
          <w:tcPr>
            <w:tcW w:w="1626" w:type="dxa"/>
            <w:gridSpan w:val="2"/>
            <w:noWrap w:val="0"/>
            <w:vAlign w:val="center"/>
          </w:tcPr>
          <w:p w14:paraId="47D8E2E8">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废品收购场所环境脏乱</w:t>
            </w:r>
          </w:p>
        </w:tc>
        <w:tc>
          <w:tcPr>
            <w:tcW w:w="2981" w:type="dxa"/>
            <w:vMerge w:val="restart"/>
            <w:noWrap w:val="0"/>
            <w:vAlign w:val="center"/>
          </w:tcPr>
          <w:p w14:paraId="68B15896">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违反、处罚条款：第五十一条 责令限期改正，并处300元以上3000元以下罚款。</w:t>
            </w:r>
          </w:p>
        </w:tc>
        <w:tc>
          <w:tcPr>
            <w:tcW w:w="851" w:type="dxa"/>
            <w:noWrap w:val="0"/>
            <w:vAlign w:val="center"/>
          </w:tcPr>
          <w:p w14:paraId="32AD1423">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14:paraId="4D3944B8">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82108BE">
            <w:p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污染面积5㎡</w:t>
            </w:r>
            <w:r>
              <w:rPr>
                <w:rFonts w:hint="eastAsia" w:ascii="宋体" w:hAnsi="宋体" w:eastAsia="宋体" w:cs="仿宋_GB2312"/>
                <w:color w:val="auto"/>
                <w:kern w:val="0"/>
                <w:sz w:val="15"/>
                <w:szCs w:val="15"/>
                <w:highlight w:val="none"/>
              </w:rPr>
              <w:t>以内的，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0；6㎡</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10㎡</w:t>
            </w:r>
            <w:r>
              <w:rPr>
                <w:rFonts w:hint="eastAsia" w:ascii="宋体" w:hAnsi="宋体" w:eastAsia="宋体" w:cs="仿宋_GB2312"/>
                <w:color w:val="auto"/>
                <w:kern w:val="0"/>
                <w:sz w:val="15"/>
                <w:szCs w:val="15"/>
                <w:highlight w:val="none"/>
              </w:rPr>
              <w:t>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68FC1BC1">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05A62864">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14:paraId="5A136FA6">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B88EB9E">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C8FCF82">
            <w:pPr>
              <w:keepNext w:val="0"/>
              <w:keepLines w:val="0"/>
              <w:widowControl w:val="0"/>
              <w:suppressLineNumbers w:val="0"/>
              <w:spacing w:before="0" w:beforeAutospacing="0" w:after="0" w:afterAutospacing="0" w:line="240"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C4604600</w:t>
            </w:r>
          </w:p>
        </w:tc>
      </w:tr>
      <w:tr w14:paraId="692B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49" w:hRule="atLeast"/>
        </w:trPr>
        <w:tc>
          <w:tcPr>
            <w:tcW w:w="714" w:type="dxa"/>
            <w:noWrap w:val="0"/>
            <w:vAlign w:val="center"/>
          </w:tcPr>
          <w:p w14:paraId="214148F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39</w:t>
            </w:r>
          </w:p>
        </w:tc>
        <w:tc>
          <w:tcPr>
            <w:tcW w:w="1626" w:type="dxa"/>
            <w:gridSpan w:val="2"/>
            <w:noWrap w:val="0"/>
            <w:vAlign w:val="center"/>
          </w:tcPr>
          <w:p w14:paraId="5D108C04">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焚烧废旧物品</w:t>
            </w:r>
          </w:p>
        </w:tc>
        <w:tc>
          <w:tcPr>
            <w:tcW w:w="2981" w:type="dxa"/>
            <w:vMerge w:val="continue"/>
            <w:noWrap w:val="0"/>
            <w:vAlign w:val="center"/>
          </w:tcPr>
          <w:p w14:paraId="2BD2A159">
            <w:pPr>
              <w:spacing w:line="240" w:lineRule="exact"/>
              <w:rPr>
                <w:rFonts w:ascii="宋体" w:hAnsi="宋体" w:eastAsia="宋体" w:cs="宋体"/>
                <w:color w:val="auto"/>
                <w:kern w:val="0"/>
                <w:sz w:val="15"/>
                <w:szCs w:val="15"/>
                <w:highlight w:val="none"/>
              </w:rPr>
            </w:pPr>
          </w:p>
        </w:tc>
        <w:tc>
          <w:tcPr>
            <w:tcW w:w="851" w:type="dxa"/>
            <w:noWrap w:val="0"/>
            <w:vAlign w:val="center"/>
          </w:tcPr>
          <w:p w14:paraId="51CB09F2">
            <w:pPr>
              <w:spacing w:line="24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300</w:t>
            </w:r>
          </w:p>
        </w:tc>
        <w:tc>
          <w:tcPr>
            <w:tcW w:w="840" w:type="dxa"/>
            <w:noWrap w:val="0"/>
            <w:vAlign w:val="center"/>
          </w:tcPr>
          <w:p w14:paraId="7293E749">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9F708AF">
            <w:pPr>
              <w:spacing w:line="240" w:lineRule="exact"/>
              <w:rPr>
                <w:rFonts w:hint="default" w:eastAsia="宋体"/>
                <w:color w:val="auto"/>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造成较大社会影响或者严重污染环境的，系数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528C9E39">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300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6C1AE673">
            <w:pPr>
              <w:spacing w:line="240" w:lineRule="exact"/>
              <w:rPr>
                <w:rFonts w:ascii="宋体" w:hAnsi="宋体" w:eastAsia="宋体"/>
                <w:color w:val="auto"/>
                <w:sz w:val="15"/>
                <w:szCs w:val="15"/>
                <w:highlight w:val="none"/>
              </w:rPr>
            </w:pPr>
          </w:p>
        </w:tc>
        <w:tc>
          <w:tcPr>
            <w:tcW w:w="1304" w:type="dxa"/>
            <w:gridSpan w:val="2"/>
            <w:noWrap w:val="0"/>
            <w:vAlign w:val="center"/>
          </w:tcPr>
          <w:p w14:paraId="2522719E">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0139B64">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ED401E5">
            <w:pPr>
              <w:keepNext w:val="0"/>
              <w:keepLines w:val="0"/>
              <w:widowControl w:val="0"/>
              <w:suppressLineNumbers w:val="0"/>
              <w:spacing w:before="0" w:beforeAutospacing="0" w:after="0" w:afterAutospacing="0" w:line="240"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C4604700</w:t>
            </w:r>
          </w:p>
        </w:tc>
      </w:tr>
      <w:tr w14:paraId="5B2C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43" w:hRule="atLeast"/>
        </w:trPr>
        <w:tc>
          <w:tcPr>
            <w:tcW w:w="714" w:type="dxa"/>
            <w:noWrap w:val="0"/>
            <w:vAlign w:val="center"/>
          </w:tcPr>
          <w:p w14:paraId="7ADA597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40</w:t>
            </w:r>
          </w:p>
        </w:tc>
        <w:tc>
          <w:tcPr>
            <w:tcW w:w="1626" w:type="dxa"/>
            <w:gridSpan w:val="2"/>
            <w:noWrap w:val="0"/>
            <w:vAlign w:val="center"/>
          </w:tcPr>
          <w:p w14:paraId="4783C0E5">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废品储存场所未采取遮挡措施</w:t>
            </w:r>
          </w:p>
        </w:tc>
        <w:tc>
          <w:tcPr>
            <w:tcW w:w="2981" w:type="dxa"/>
            <w:vMerge w:val="continue"/>
            <w:noWrap w:val="0"/>
            <w:vAlign w:val="center"/>
          </w:tcPr>
          <w:p w14:paraId="59FC51EF">
            <w:pPr>
              <w:spacing w:line="240" w:lineRule="exact"/>
              <w:rPr>
                <w:rFonts w:ascii="宋体" w:hAnsi="宋体" w:eastAsia="宋体" w:cs="宋体"/>
                <w:color w:val="auto"/>
                <w:kern w:val="0"/>
                <w:sz w:val="15"/>
                <w:szCs w:val="15"/>
                <w:highlight w:val="none"/>
              </w:rPr>
            </w:pPr>
          </w:p>
        </w:tc>
        <w:tc>
          <w:tcPr>
            <w:tcW w:w="851" w:type="dxa"/>
            <w:noWrap w:val="0"/>
            <w:vAlign w:val="center"/>
          </w:tcPr>
          <w:p w14:paraId="766232FD">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14:paraId="14A7F946">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EE1E8E0">
            <w:pPr>
              <w:spacing w:line="240"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造成较大社会影响或者严重污染环境的，系数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39834B1E">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28E0462C">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14:paraId="59B472CB">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37368AE">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4D4E79D">
            <w:pPr>
              <w:keepNext w:val="0"/>
              <w:keepLines w:val="0"/>
              <w:widowControl w:val="0"/>
              <w:suppressLineNumbers w:val="0"/>
              <w:spacing w:before="0" w:beforeAutospacing="0" w:after="0" w:afterAutospacing="0" w:line="240"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C4604800</w:t>
            </w:r>
          </w:p>
        </w:tc>
      </w:tr>
      <w:tr w14:paraId="156A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26" w:hRule="atLeast"/>
        </w:trPr>
        <w:tc>
          <w:tcPr>
            <w:tcW w:w="714" w:type="dxa"/>
            <w:vMerge w:val="restart"/>
            <w:noWrap w:val="0"/>
            <w:vAlign w:val="center"/>
          </w:tcPr>
          <w:p w14:paraId="7492A68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41</w:t>
            </w:r>
          </w:p>
        </w:tc>
        <w:tc>
          <w:tcPr>
            <w:tcW w:w="1626" w:type="dxa"/>
            <w:gridSpan w:val="2"/>
            <w:vMerge w:val="restart"/>
            <w:noWrap w:val="0"/>
            <w:vAlign w:val="center"/>
          </w:tcPr>
          <w:p w14:paraId="2CC9BEE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随地吐痰</w:t>
            </w:r>
          </w:p>
        </w:tc>
        <w:tc>
          <w:tcPr>
            <w:tcW w:w="2981" w:type="dxa"/>
            <w:vMerge w:val="restart"/>
            <w:noWrap w:val="0"/>
            <w:vAlign w:val="center"/>
          </w:tcPr>
          <w:p w14:paraId="019546AF">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违反条款：第五十二条第一款第（一）项；</w:t>
            </w:r>
          </w:p>
          <w:p w14:paraId="05980022">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noWrap w:val="0"/>
            <w:vAlign w:val="center"/>
          </w:tcPr>
          <w:p w14:paraId="565F496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0E7B38FE">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3A06B5A7">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1230862B">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1A81B0ED">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14:paraId="38F1BC0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5AD2C5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1A58C1D8">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C4604900</w:t>
            </w:r>
          </w:p>
        </w:tc>
      </w:tr>
      <w:tr w14:paraId="38081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19" w:hRule="atLeast"/>
        </w:trPr>
        <w:tc>
          <w:tcPr>
            <w:tcW w:w="714" w:type="dxa"/>
            <w:vMerge w:val="continue"/>
            <w:noWrap w:val="0"/>
            <w:vAlign w:val="center"/>
          </w:tcPr>
          <w:p w14:paraId="5925C606">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2D704990">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14:paraId="35166430">
            <w:pPr>
              <w:spacing w:line="220" w:lineRule="exact"/>
              <w:rPr>
                <w:rFonts w:ascii="宋体" w:hAnsi="宋体" w:eastAsia="宋体" w:cs="宋体"/>
                <w:color w:val="auto"/>
                <w:kern w:val="0"/>
                <w:sz w:val="15"/>
                <w:szCs w:val="15"/>
                <w:highlight w:val="none"/>
              </w:rPr>
            </w:pPr>
          </w:p>
        </w:tc>
        <w:tc>
          <w:tcPr>
            <w:tcW w:w="851" w:type="dxa"/>
            <w:noWrap w:val="0"/>
            <w:vAlign w:val="center"/>
          </w:tcPr>
          <w:p w14:paraId="4D75B6C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6DA4575F">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37103643">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06DF1546">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7A671D9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tc>
        <w:tc>
          <w:tcPr>
            <w:tcW w:w="1304" w:type="dxa"/>
            <w:gridSpan w:val="2"/>
            <w:vMerge w:val="continue"/>
            <w:noWrap w:val="0"/>
            <w:vAlign w:val="center"/>
          </w:tcPr>
          <w:p w14:paraId="1AC3BB33">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04F87DA2">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14:paraId="42610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91" w:hRule="atLeast"/>
        </w:trPr>
        <w:tc>
          <w:tcPr>
            <w:tcW w:w="714" w:type="dxa"/>
            <w:vMerge w:val="restart"/>
            <w:noWrap w:val="0"/>
            <w:vAlign w:val="center"/>
          </w:tcPr>
          <w:p w14:paraId="7444E35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42</w:t>
            </w:r>
          </w:p>
        </w:tc>
        <w:tc>
          <w:tcPr>
            <w:tcW w:w="1626" w:type="dxa"/>
            <w:gridSpan w:val="2"/>
            <w:vMerge w:val="restart"/>
            <w:noWrap w:val="0"/>
            <w:vAlign w:val="center"/>
          </w:tcPr>
          <w:p w14:paraId="4BBB3E4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随地便溺</w:t>
            </w:r>
          </w:p>
        </w:tc>
        <w:tc>
          <w:tcPr>
            <w:tcW w:w="2981" w:type="dxa"/>
            <w:vMerge w:val="restart"/>
            <w:noWrap w:val="0"/>
            <w:vAlign w:val="center"/>
          </w:tcPr>
          <w:p w14:paraId="1723549E">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违反条款：第五十二条第一款第（一）项；</w:t>
            </w:r>
          </w:p>
          <w:p w14:paraId="008D86D7">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noWrap w:val="0"/>
            <w:vAlign w:val="center"/>
          </w:tcPr>
          <w:p w14:paraId="4BB8364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5CBF57C3">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7F831232">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532D8D2F">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0A57071A">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14:paraId="5DC94AF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0EFEED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5A1A178D">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r>
              <w:rPr>
                <w:rFonts w:hint="eastAsia" w:ascii="宋体" w:hAnsi="宋体" w:eastAsia="宋体" w:cs="宋体"/>
                <w:kern w:val="2"/>
                <w:sz w:val="15"/>
                <w:szCs w:val="15"/>
                <w:highlight w:val="none"/>
                <w:lang w:val="en-US" w:eastAsia="zh-CN" w:bidi="ar"/>
              </w:rPr>
              <w:t>C4605000</w:t>
            </w:r>
          </w:p>
        </w:tc>
      </w:tr>
      <w:tr w14:paraId="7637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05" w:hRule="atLeast"/>
        </w:trPr>
        <w:tc>
          <w:tcPr>
            <w:tcW w:w="714" w:type="dxa"/>
            <w:vMerge w:val="continue"/>
            <w:noWrap w:val="0"/>
            <w:vAlign w:val="center"/>
          </w:tcPr>
          <w:p w14:paraId="2034BE5A">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5C447BC2">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14:paraId="596A9B10">
            <w:pPr>
              <w:spacing w:line="220" w:lineRule="exact"/>
              <w:rPr>
                <w:rFonts w:ascii="宋体" w:hAnsi="宋体" w:eastAsia="宋体" w:cs="宋体"/>
                <w:color w:val="auto"/>
                <w:kern w:val="0"/>
                <w:sz w:val="15"/>
                <w:szCs w:val="15"/>
                <w:highlight w:val="none"/>
              </w:rPr>
            </w:pPr>
          </w:p>
        </w:tc>
        <w:tc>
          <w:tcPr>
            <w:tcW w:w="851" w:type="dxa"/>
            <w:noWrap w:val="0"/>
            <w:vAlign w:val="center"/>
          </w:tcPr>
          <w:p w14:paraId="1BC93DA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7A415ED2">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6E6F7183">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69F43514">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0482ACC4">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14:paraId="3D77F69D">
            <w:pPr>
              <w:spacing w:line="232" w:lineRule="exact"/>
              <w:rPr>
                <w:rFonts w:hint="eastAsia" w:ascii="宋体" w:hAnsi="宋体" w:eastAsia="宋体" w:cs="宋体"/>
                <w:color w:val="auto"/>
                <w:kern w:val="0"/>
                <w:sz w:val="15"/>
                <w:szCs w:val="15"/>
                <w:highlight w:val="none"/>
              </w:rPr>
            </w:pPr>
          </w:p>
        </w:tc>
        <w:tc>
          <w:tcPr>
            <w:tcW w:w="1304" w:type="dxa"/>
            <w:gridSpan w:val="2"/>
            <w:vMerge w:val="continue"/>
            <w:noWrap w:val="0"/>
            <w:vAlign w:val="center"/>
          </w:tcPr>
          <w:p w14:paraId="2887D1DE">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129B014B">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14:paraId="6732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03" w:hRule="atLeast"/>
        </w:trPr>
        <w:tc>
          <w:tcPr>
            <w:tcW w:w="714" w:type="dxa"/>
            <w:vMerge w:val="restart"/>
            <w:noWrap w:val="0"/>
            <w:vAlign w:val="center"/>
          </w:tcPr>
          <w:p w14:paraId="6B8100F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43</w:t>
            </w:r>
          </w:p>
        </w:tc>
        <w:tc>
          <w:tcPr>
            <w:tcW w:w="1626" w:type="dxa"/>
            <w:gridSpan w:val="2"/>
            <w:vMerge w:val="restart"/>
            <w:noWrap w:val="0"/>
            <w:vAlign w:val="center"/>
          </w:tcPr>
          <w:p w14:paraId="632D337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随地丢弃废弃物</w:t>
            </w:r>
          </w:p>
        </w:tc>
        <w:tc>
          <w:tcPr>
            <w:tcW w:w="2981" w:type="dxa"/>
            <w:vMerge w:val="restart"/>
            <w:noWrap w:val="0"/>
            <w:vAlign w:val="center"/>
          </w:tcPr>
          <w:p w14:paraId="3FE85DC4">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违反条款：第五十二条第一款第（二）项；</w:t>
            </w:r>
          </w:p>
          <w:p w14:paraId="775E6490">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noWrap w:val="0"/>
            <w:vAlign w:val="center"/>
          </w:tcPr>
          <w:p w14:paraId="59E11ED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31FE1833">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4EA92D16">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2000B06D">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000B57DA">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73A3495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C3980C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30EBCAF8">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C4605100</w:t>
            </w:r>
          </w:p>
        </w:tc>
      </w:tr>
      <w:tr w14:paraId="4021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25" w:hRule="atLeast"/>
        </w:trPr>
        <w:tc>
          <w:tcPr>
            <w:tcW w:w="714" w:type="dxa"/>
            <w:vMerge w:val="continue"/>
            <w:noWrap w:val="0"/>
            <w:vAlign w:val="center"/>
          </w:tcPr>
          <w:p w14:paraId="1EE81F31">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067C6A7E">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14:paraId="2886FD8F">
            <w:pPr>
              <w:spacing w:line="220" w:lineRule="exact"/>
              <w:rPr>
                <w:rFonts w:ascii="宋体" w:hAnsi="宋体" w:eastAsia="宋体" w:cs="宋体"/>
                <w:color w:val="auto"/>
                <w:kern w:val="0"/>
                <w:sz w:val="15"/>
                <w:szCs w:val="15"/>
                <w:highlight w:val="none"/>
              </w:rPr>
            </w:pPr>
          </w:p>
        </w:tc>
        <w:tc>
          <w:tcPr>
            <w:tcW w:w="851" w:type="dxa"/>
            <w:noWrap w:val="0"/>
            <w:vAlign w:val="center"/>
          </w:tcPr>
          <w:p w14:paraId="63729BA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05D76D98">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76DC7A47">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5837DD4D">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09844A1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14:paraId="06675533">
            <w:pPr>
              <w:spacing w:line="232" w:lineRule="exact"/>
              <w:rPr>
                <w:rFonts w:hint="eastAsia" w:ascii="宋体" w:hAnsi="宋体" w:eastAsia="宋体" w:cs="宋体"/>
                <w:color w:val="auto"/>
                <w:kern w:val="0"/>
                <w:sz w:val="15"/>
                <w:szCs w:val="15"/>
                <w:highlight w:val="none"/>
              </w:rPr>
            </w:pPr>
          </w:p>
        </w:tc>
        <w:tc>
          <w:tcPr>
            <w:tcW w:w="1304" w:type="dxa"/>
            <w:gridSpan w:val="2"/>
            <w:noWrap w:val="0"/>
            <w:vAlign w:val="center"/>
          </w:tcPr>
          <w:p w14:paraId="780632B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EAB7B7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573E153C">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p>
        </w:tc>
      </w:tr>
      <w:tr w14:paraId="4C78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57" w:hRule="atLeast"/>
        </w:trPr>
        <w:tc>
          <w:tcPr>
            <w:tcW w:w="714" w:type="dxa"/>
            <w:vMerge w:val="restart"/>
            <w:noWrap w:val="0"/>
            <w:vAlign w:val="center"/>
          </w:tcPr>
          <w:p w14:paraId="4FCABEA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44</w:t>
            </w:r>
          </w:p>
        </w:tc>
        <w:tc>
          <w:tcPr>
            <w:tcW w:w="1626" w:type="dxa"/>
            <w:gridSpan w:val="2"/>
            <w:vMerge w:val="restart"/>
            <w:noWrap w:val="0"/>
            <w:vAlign w:val="center"/>
          </w:tcPr>
          <w:p w14:paraId="4F66CE9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乱倒污水、垃圾</w:t>
            </w:r>
          </w:p>
        </w:tc>
        <w:tc>
          <w:tcPr>
            <w:tcW w:w="2981" w:type="dxa"/>
            <w:vMerge w:val="restart"/>
            <w:noWrap w:val="0"/>
            <w:vAlign w:val="center"/>
          </w:tcPr>
          <w:p w14:paraId="727BFA18">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违反条款：第五十二条第一款第（三）项；</w:t>
            </w:r>
          </w:p>
          <w:p w14:paraId="44BAD51F">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处罚条款：第五十二条第二款责令改正，并可处50元罚款；情节严重的，处200元罚款。</w:t>
            </w:r>
          </w:p>
        </w:tc>
        <w:tc>
          <w:tcPr>
            <w:tcW w:w="851" w:type="dxa"/>
            <w:noWrap w:val="0"/>
            <w:vAlign w:val="center"/>
          </w:tcPr>
          <w:p w14:paraId="267C6AC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3C29C2C0">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4146ED3F">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3BF3DB39">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7ACB469F">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14:paraId="0FEB7B9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29F7520">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37D9D3CF">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C4605200</w:t>
            </w:r>
          </w:p>
        </w:tc>
      </w:tr>
      <w:tr w14:paraId="75BE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93" w:hRule="atLeast"/>
        </w:trPr>
        <w:tc>
          <w:tcPr>
            <w:tcW w:w="714" w:type="dxa"/>
            <w:vMerge w:val="continue"/>
            <w:noWrap w:val="0"/>
            <w:vAlign w:val="center"/>
          </w:tcPr>
          <w:p w14:paraId="32E78EF9">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6E881657">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14:paraId="67BB803A">
            <w:pPr>
              <w:spacing w:line="232" w:lineRule="exact"/>
              <w:rPr>
                <w:rFonts w:ascii="宋体" w:hAnsi="宋体" w:eastAsia="宋体" w:cs="宋体"/>
                <w:color w:val="auto"/>
                <w:kern w:val="0"/>
                <w:sz w:val="15"/>
                <w:szCs w:val="15"/>
                <w:highlight w:val="none"/>
              </w:rPr>
            </w:pPr>
          </w:p>
        </w:tc>
        <w:tc>
          <w:tcPr>
            <w:tcW w:w="851" w:type="dxa"/>
            <w:noWrap w:val="0"/>
            <w:vAlign w:val="center"/>
          </w:tcPr>
          <w:p w14:paraId="786E79E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4AFBCF26">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23F1D383">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5C480C4D">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4B193F4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14:paraId="6293CC09">
            <w:pPr>
              <w:spacing w:line="232" w:lineRule="exact"/>
              <w:rPr>
                <w:rFonts w:hint="eastAsia" w:ascii="宋体" w:hAnsi="宋体" w:eastAsia="宋体" w:cs="宋体"/>
                <w:color w:val="auto"/>
                <w:kern w:val="0"/>
                <w:sz w:val="15"/>
                <w:szCs w:val="15"/>
                <w:highlight w:val="none"/>
              </w:rPr>
            </w:pPr>
          </w:p>
        </w:tc>
        <w:tc>
          <w:tcPr>
            <w:tcW w:w="1304" w:type="dxa"/>
            <w:gridSpan w:val="2"/>
            <w:vMerge w:val="continue"/>
            <w:noWrap w:val="0"/>
            <w:vAlign w:val="center"/>
          </w:tcPr>
          <w:p w14:paraId="25C2DB3F">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519FC655">
            <w:pPr>
              <w:keepNext w:val="0"/>
              <w:keepLines w:val="0"/>
              <w:widowControl w:val="0"/>
              <w:suppressLineNumbers w:val="0"/>
              <w:spacing w:before="0" w:beforeAutospacing="0" w:after="0" w:afterAutospacing="0" w:line="232" w:lineRule="exact"/>
              <w:ind w:left="0" w:leftChars="0" w:right="0" w:rightChars="0"/>
              <w:jc w:val="both"/>
              <w:rPr>
                <w:rFonts w:ascii="宋体" w:hAnsi="宋体" w:eastAsia="宋体" w:cs="宋体"/>
                <w:color w:val="auto"/>
                <w:kern w:val="0"/>
                <w:sz w:val="15"/>
                <w:szCs w:val="15"/>
                <w:highlight w:val="none"/>
              </w:rPr>
            </w:pPr>
          </w:p>
        </w:tc>
      </w:tr>
      <w:tr w14:paraId="396EB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76" w:hRule="atLeast"/>
        </w:trPr>
        <w:tc>
          <w:tcPr>
            <w:tcW w:w="714" w:type="dxa"/>
            <w:vMerge w:val="restart"/>
            <w:noWrap w:val="0"/>
            <w:vAlign w:val="center"/>
          </w:tcPr>
          <w:p w14:paraId="200C9DE1">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rPr>
              <w:t>5</w:t>
            </w:r>
          </w:p>
        </w:tc>
        <w:tc>
          <w:tcPr>
            <w:tcW w:w="1626" w:type="dxa"/>
            <w:gridSpan w:val="2"/>
            <w:vMerge w:val="restart"/>
            <w:noWrap w:val="0"/>
            <w:vAlign w:val="center"/>
          </w:tcPr>
          <w:p w14:paraId="57F854D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焚烧树叶、垃圾</w:t>
            </w:r>
          </w:p>
        </w:tc>
        <w:tc>
          <w:tcPr>
            <w:tcW w:w="2981" w:type="dxa"/>
            <w:vMerge w:val="restart"/>
            <w:noWrap w:val="0"/>
            <w:vAlign w:val="center"/>
          </w:tcPr>
          <w:p w14:paraId="34C04D8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违反条款：第五十二条第一款第（三）项；</w:t>
            </w:r>
          </w:p>
          <w:p w14:paraId="59672EE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处罚条款：第五十二条第二款责令改正，并可处50元罚款；情节严重的，处200元罚款。</w:t>
            </w:r>
          </w:p>
        </w:tc>
        <w:tc>
          <w:tcPr>
            <w:tcW w:w="851" w:type="dxa"/>
            <w:noWrap w:val="0"/>
            <w:vAlign w:val="center"/>
          </w:tcPr>
          <w:p w14:paraId="0682EBE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25ECBBFB">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6BEBD2A2">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3C95C74B">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6FE713F7">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14:paraId="2F4C385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3FD42E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7DAF66B2">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C4605200</w:t>
            </w:r>
          </w:p>
        </w:tc>
      </w:tr>
      <w:tr w14:paraId="72BF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59" w:hRule="atLeast"/>
        </w:trPr>
        <w:tc>
          <w:tcPr>
            <w:tcW w:w="714" w:type="dxa"/>
            <w:vMerge w:val="continue"/>
            <w:noWrap w:val="0"/>
            <w:vAlign w:val="center"/>
          </w:tcPr>
          <w:p w14:paraId="4139747A">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39BC5C3D">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14:paraId="4FA3FB8A">
            <w:pPr>
              <w:spacing w:line="232" w:lineRule="exact"/>
              <w:rPr>
                <w:rFonts w:ascii="宋体" w:hAnsi="宋体" w:eastAsia="宋体" w:cs="宋体"/>
                <w:color w:val="auto"/>
                <w:kern w:val="0"/>
                <w:sz w:val="15"/>
                <w:szCs w:val="15"/>
                <w:highlight w:val="none"/>
              </w:rPr>
            </w:pPr>
          </w:p>
        </w:tc>
        <w:tc>
          <w:tcPr>
            <w:tcW w:w="851" w:type="dxa"/>
            <w:noWrap w:val="0"/>
            <w:vAlign w:val="center"/>
          </w:tcPr>
          <w:p w14:paraId="7A268ED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7CB6232C">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28E160F8">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5D968EEB">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737DB38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tc>
        <w:tc>
          <w:tcPr>
            <w:tcW w:w="1304" w:type="dxa"/>
            <w:gridSpan w:val="2"/>
            <w:vMerge w:val="continue"/>
            <w:noWrap w:val="0"/>
            <w:vAlign w:val="center"/>
          </w:tcPr>
          <w:p w14:paraId="34DDB5AC">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38F35A84">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14:paraId="6F5A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90" w:hRule="atLeast"/>
        </w:trPr>
        <w:tc>
          <w:tcPr>
            <w:tcW w:w="714" w:type="dxa"/>
            <w:noWrap w:val="0"/>
            <w:vAlign w:val="center"/>
          </w:tcPr>
          <w:p w14:paraId="1F9BAFB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46</w:t>
            </w:r>
          </w:p>
        </w:tc>
        <w:tc>
          <w:tcPr>
            <w:tcW w:w="1626" w:type="dxa"/>
            <w:gridSpan w:val="2"/>
            <w:noWrap w:val="0"/>
            <w:vAlign w:val="center"/>
          </w:tcPr>
          <w:p w14:paraId="2670E77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在城镇地区饲养家禽家畜</w:t>
            </w:r>
          </w:p>
        </w:tc>
        <w:tc>
          <w:tcPr>
            <w:tcW w:w="2981" w:type="dxa"/>
            <w:noWrap w:val="0"/>
            <w:vAlign w:val="center"/>
          </w:tcPr>
          <w:p w14:paraId="7A4BEF7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违反、处罚条款：第五十三条第一款责令限期改正，并可按照每只（头）处20元以上50元以下罚款。</w:t>
            </w:r>
          </w:p>
        </w:tc>
        <w:tc>
          <w:tcPr>
            <w:tcW w:w="851" w:type="dxa"/>
            <w:noWrap w:val="0"/>
            <w:vAlign w:val="center"/>
          </w:tcPr>
          <w:p w14:paraId="630B0658">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2357EC37">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2FEAE4F3">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111D64D6">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0AA33A4C">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根据实际情况执行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4197533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E03F564">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5B9B92D">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C4605300</w:t>
            </w:r>
          </w:p>
        </w:tc>
      </w:tr>
      <w:tr w14:paraId="63ED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93" w:hRule="atLeast"/>
        </w:trPr>
        <w:tc>
          <w:tcPr>
            <w:tcW w:w="714" w:type="dxa"/>
            <w:noWrap w:val="0"/>
            <w:vAlign w:val="center"/>
          </w:tcPr>
          <w:p w14:paraId="742D7C8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47</w:t>
            </w:r>
          </w:p>
        </w:tc>
        <w:tc>
          <w:tcPr>
            <w:tcW w:w="1626" w:type="dxa"/>
            <w:gridSpan w:val="2"/>
            <w:noWrap w:val="0"/>
            <w:vAlign w:val="center"/>
          </w:tcPr>
          <w:p w14:paraId="576B627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饲养鸽子影响市容环境卫生</w:t>
            </w:r>
          </w:p>
        </w:tc>
        <w:tc>
          <w:tcPr>
            <w:tcW w:w="2981" w:type="dxa"/>
            <w:noWrap w:val="0"/>
            <w:vAlign w:val="center"/>
          </w:tcPr>
          <w:p w14:paraId="001B619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noWrap w:val="0"/>
            <w:vAlign w:val="center"/>
          </w:tcPr>
          <w:p w14:paraId="4296781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4438752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D2EB074">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1.导致建筑物外立面污损的，系数3；2.导致地面污染面积5㎡</w:t>
            </w:r>
            <w:r>
              <w:rPr>
                <w:rFonts w:hint="eastAsia" w:ascii="宋体" w:hAnsi="宋体" w:eastAsia="宋体" w:cs="仿宋_GB2312"/>
                <w:color w:val="auto"/>
                <w:kern w:val="0"/>
                <w:sz w:val="15"/>
                <w:szCs w:val="15"/>
                <w:highlight w:val="none"/>
              </w:rPr>
              <w:t>以上的，系数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14:paraId="753CB3F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36DDC06F">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66945AD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62A7E2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1E814B43">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C4605400</w:t>
            </w:r>
          </w:p>
        </w:tc>
      </w:tr>
      <w:tr w14:paraId="6C7F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06" w:hRule="atLeast"/>
        </w:trPr>
        <w:tc>
          <w:tcPr>
            <w:tcW w:w="714" w:type="dxa"/>
            <w:noWrap w:val="0"/>
            <w:vAlign w:val="center"/>
          </w:tcPr>
          <w:p w14:paraId="672DE57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48</w:t>
            </w:r>
          </w:p>
        </w:tc>
        <w:tc>
          <w:tcPr>
            <w:tcW w:w="1626" w:type="dxa"/>
            <w:gridSpan w:val="2"/>
            <w:noWrap w:val="0"/>
            <w:vAlign w:val="center"/>
          </w:tcPr>
          <w:p w14:paraId="4DF1671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擅自设置建筑垃圾、渣土消纳场所</w:t>
            </w:r>
          </w:p>
        </w:tc>
        <w:tc>
          <w:tcPr>
            <w:tcW w:w="2981" w:type="dxa"/>
            <w:noWrap w:val="0"/>
            <w:vAlign w:val="center"/>
          </w:tcPr>
          <w:p w14:paraId="5710FC9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违反、处罚条款：第五十五条 责令改正，并处5000元以上1万元以下罚款。</w:t>
            </w:r>
          </w:p>
        </w:tc>
        <w:tc>
          <w:tcPr>
            <w:tcW w:w="851" w:type="dxa"/>
            <w:noWrap w:val="0"/>
            <w:vAlign w:val="center"/>
          </w:tcPr>
          <w:p w14:paraId="3DD3B41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4031F1A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63394A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0C4D15A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310BF20E">
            <w:pPr>
              <w:spacing w:line="232" w:lineRule="exact"/>
              <w:rPr>
                <w:rFonts w:hint="eastAsia" w:ascii="宋体" w:hAnsi="宋体" w:eastAsia="宋体" w:cs="宋体"/>
                <w:color w:val="auto"/>
                <w:kern w:val="0"/>
                <w:sz w:val="15"/>
                <w:szCs w:val="15"/>
                <w:highlight w:val="none"/>
                <w:lang w:eastAsia="zh-CN"/>
              </w:rPr>
            </w:pPr>
          </w:p>
        </w:tc>
        <w:tc>
          <w:tcPr>
            <w:tcW w:w="1304" w:type="dxa"/>
            <w:gridSpan w:val="2"/>
            <w:noWrap w:val="0"/>
            <w:vAlign w:val="center"/>
          </w:tcPr>
          <w:p w14:paraId="2EBC088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34A47E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8CEBAF8">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C4607200</w:t>
            </w:r>
          </w:p>
        </w:tc>
      </w:tr>
      <w:tr w14:paraId="563F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88" w:hRule="atLeast"/>
        </w:trPr>
        <w:tc>
          <w:tcPr>
            <w:tcW w:w="714" w:type="dxa"/>
            <w:noWrap w:val="0"/>
            <w:vAlign w:val="center"/>
          </w:tcPr>
          <w:p w14:paraId="40D4BE1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49</w:t>
            </w:r>
          </w:p>
        </w:tc>
        <w:tc>
          <w:tcPr>
            <w:tcW w:w="1626" w:type="dxa"/>
            <w:gridSpan w:val="2"/>
            <w:noWrap w:val="0"/>
            <w:vAlign w:val="center"/>
          </w:tcPr>
          <w:p w14:paraId="4D504BD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未按规定管护公共厕所</w:t>
            </w:r>
          </w:p>
        </w:tc>
        <w:tc>
          <w:tcPr>
            <w:tcW w:w="2981" w:type="dxa"/>
            <w:noWrap w:val="0"/>
            <w:vAlign w:val="center"/>
          </w:tcPr>
          <w:p w14:paraId="5BE1EC2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违反、处罚条款：第五十七条第二款 责令限期改正，并可处500元以上3000元以下罚款。</w:t>
            </w:r>
          </w:p>
        </w:tc>
        <w:tc>
          <w:tcPr>
            <w:tcW w:w="851" w:type="dxa"/>
            <w:noWrap w:val="0"/>
            <w:vAlign w:val="center"/>
          </w:tcPr>
          <w:p w14:paraId="0AFCA42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79F234F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A1EBF7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3-5；2严重影响使用或者造成其他较大影响的，系数5；3.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3178949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0237DCC5">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1E226BA9">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2BB356A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5F4110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35CFE2D">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C4607300</w:t>
            </w:r>
          </w:p>
        </w:tc>
      </w:tr>
      <w:tr w14:paraId="18AE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94" w:hRule="atLeast"/>
        </w:trPr>
        <w:tc>
          <w:tcPr>
            <w:tcW w:w="714" w:type="dxa"/>
            <w:noWrap w:val="0"/>
            <w:vAlign w:val="center"/>
          </w:tcPr>
          <w:p w14:paraId="7106160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1626" w:type="dxa"/>
            <w:gridSpan w:val="2"/>
            <w:noWrap w:val="0"/>
            <w:vAlign w:val="center"/>
          </w:tcPr>
          <w:p w14:paraId="2C7640B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未按规定排入粪便</w:t>
            </w:r>
          </w:p>
        </w:tc>
        <w:tc>
          <w:tcPr>
            <w:tcW w:w="2981" w:type="dxa"/>
            <w:noWrap w:val="0"/>
            <w:vAlign w:val="center"/>
          </w:tcPr>
          <w:p w14:paraId="006CB18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违反条款：第五十八条第一款；处罚条款：第五十八条第三款 责令改正，并处1000元以上2000元以下罚款。</w:t>
            </w:r>
          </w:p>
        </w:tc>
        <w:tc>
          <w:tcPr>
            <w:tcW w:w="851" w:type="dxa"/>
            <w:noWrap w:val="0"/>
            <w:vAlign w:val="center"/>
          </w:tcPr>
          <w:p w14:paraId="4A7A8AB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7CEA0B3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9A15F7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1.造成较大影响的，系数1；2.存在基准2.1.3规定情形的，系数按照相关规定确定（基准2.1.3.5不适用）。</w:t>
            </w:r>
          </w:p>
        </w:tc>
        <w:tc>
          <w:tcPr>
            <w:tcW w:w="1875" w:type="dxa"/>
            <w:gridSpan w:val="2"/>
            <w:noWrap w:val="0"/>
            <w:vAlign w:val="center"/>
          </w:tcPr>
          <w:p w14:paraId="4253ACD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33FDA2D3">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3E31F6C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E00C1A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159E4CCC">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C4606500</w:t>
            </w:r>
          </w:p>
        </w:tc>
      </w:tr>
      <w:tr w14:paraId="683CD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51" w:hRule="atLeast"/>
        </w:trPr>
        <w:tc>
          <w:tcPr>
            <w:tcW w:w="714" w:type="dxa"/>
            <w:noWrap w:val="0"/>
            <w:vAlign w:val="center"/>
          </w:tcPr>
          <w:p w14:paraId="65E2F5D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51</w:t>
            </w:r>
          </w:p>
        </w:tc>
        <w:tc>
          <w:tcPr>
            <w:tcW w:w="1626" w:type="dxa"/>
            <w:gridSpan w:val="2"/>
            <w:noWrap w:val="0"/>
            <w:vAlign w:val="center"/>
          </w:tcPr>
          <w:p w14:paraId="4377CC9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未按规定清掏（运输）粪便</w:t>
            </w:r>
          </w:p>
        </w:tc>
        <w:tc>
          <w:tcPr>
            <w:tcW w:w="2981" w:type="dxa"/>
            <w:noWrap w:val="0"/>
            <w:vAlign w:val="center"/>
          </w:tcPr>
          <w:p w14:paraId="4098B56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违反条款：第五十八条第二款；处罚条款：第五十八条第三款 责令改正，并处1000元以上2000元以下罚款。</w:t>
            </w:r>
          </w:p>
        </w:tc>
        <w:tc>
          <w:tcPr>
            <w:tcW w:w="851" w:type="dxa"/>
            <w:noWrap w:val="0"/>
            <w:vAlign w:val="center"/>
          </w:tcPr>
          <w:p w14:paraId="259E65A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26E7531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55EFEF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1.造成较大影响的，系数1；2.存在基准2.1.3规定情形的，系数按照相关规定确定（基准2.1.3.5不适用）。</w:t>
            </w:r>
          </w:p>
        </w:tc>
        <w:tc>
          <w:tcPr>
            <w:tcW w:w="1875" w:type="dxa"/>
            <w:gridSpan w:val="2"/>
            <w:noWrap w:val="0"/>
            <w:vAlign w:val="center"/>
          </w:tcPr>
          <w:p w14:paraId="72BD010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3E74A6F7">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18783A0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8C846D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0F2C117">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C4606600</w:t>
            </w:r>
          </w:p>
        </w:tc>
      </w:tr>
      <w:tr w14:paraId="0B104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81" w:hRule="atLeast"/>
        </w:trPr>
        <w:tc>
          <w:tcPr>
            <w:tcW w:w="714" w:type="dxa"/>
            <w:noWrap w:val="0"/>
            <w:vAlign w:val="center"/>
          </w:tcPr>
          <w:p w14:paraId="7517FC0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52</w:t>
            </w:r>
          </w:p>
        </w:tc>
        <w:tc>
          <w:tcPr>
            <w:tcW w:w="1626" w:type="dxa"/>
            <w:gridSpan w:val="2"/>
            <w:noWrap w:val="0"/>
            <w:vAlign w:val="center"/>
          </w:tcPr>
          <w:p w14:paraId="7C5C19A6">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随意倾倒粪便</w:t>
            </w:r>
          </w:p>
        </w:tc>
        <w:tc>
          <w:tcPr>
            <w:tcW w:w="2981" w:type="dxa"/>
            <w:noWrap w:val="0"/>
            <w:vAlign w:val="center"/>
          </w:tcPr>
          <w:p w14:paraId="5FDA4D23">
            <w:pPr>
              <w:spacing w:line="212" w:lineRule="exact"/>
              <w:rPr>
                <w:rFonts w:hint="eastAsia" w:ascii="宋体" w:hAnsi="宋体" w:eastAsia="宋体" w:cs="宋体"/>
                <w:color w:val="auto"/>
                <w:kern w:val="0"/>
                <w:sz w:val="15"/>
                <w:szCs w:val="15"/>
                <w:highlight w:val="none"/>
                <w:u w:val="single"/>
                <w:lang w:eastAsia="zh-CN"/>
              </w:rPr>
            </w:pPr>
            <w:r>
              <w:rPr>
                <w:rFonts w:hint="eastAsia" w:ascii="宋体" w:hAnsi="宋体" w:eastAsia="宋体" w:cs="宋体"/>
                <w:color w:val="auto"/>
                <w:kern w:val="0"/>
                <w:sz w:val="15"/>
                <w:szCs w:val="15"/>
                <w:highlight w:val="none"/>
              </w:rPr>
              <w:t>违反条款：第五十八条第二款；处罚条款：第五十八条第三款 随意倾倒粪便的，处5000元以上5万元以下罚款</w:t>
            </w:r>
            <w:r>
              <w:rPr>
                <w:rFonts w:hint="eastAsia" w:ascii="宋体" w:hAnsi="宋体" w:eastAsia="宋体" w:cs="宋体"/>
                <w:color w:val="auto"/>
                <w:kern w:val="0"/>
                <w:sz w:val="15"/>
                <w:szCs w:val="15"/>
                <w:highlight w:val="none"/>
                <w:lang w:eastAsia="zh-CN"/>
              </w:rPr>
              <w:t>。</w:t>
            </w:r>
          </w:p>
        </w:tc>
        <w:tc>
          <w:tcPr>
            <w:tcW w:w="851" w:type="dxa"/>
            <w:noWrap w:val="0"/>
            <w:vAlign w:val="center"/>
          </w:tcPr>
          <w:p w14:paraId="0977F744">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5A311E5B">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F58F7CF">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default" w:ascii="宋体" w:hAnsi="宋体" w:eastAsia="宋体" w:cs="宋体"/>
                <w:color w:val="auto"/>
                <w:kern w:val="0"/>
                <w:sz w:val="15"/>
                <w:szCs w:val="15"/>
                <w:highlight w:val="none"/>
                <w:lang w:val="en-US"/>
              </w:rPr>
              <w:t>.</w:t>
            </w:r>
            <w:r>
              <w:rPr>
                <w:rFonts w:hint="eastAsia" w:ascii="宋体" w:hAnsi="宋体" w:eastAsia="宋体" w:cs="宋体"/>
                <w:color w:val="auto"/>
                <w:kern w:val="0"/>
                <w:sz w:val="15"/>
                <w:szCs w:val="15"/>
                <w:highlight w:val="none"/>
              </w:rPr>
              <w:t>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rPr>
              <w:t>；6－10㎡</w:t>
            </w:r>
            <w:r>
              <w:rPr>
                <w:rFonts w:hint="eastAsia" w:ascii="宋体" w:hAnsi="宋体" w:eastAsia="宋体" w:cs="仿宋_GB2312"/>
                <w:strike w:val="0"/>
                <w:dstrike w:val="0"/>
                <w:color w:val="auto"/>
                <w:kern w:val="0"/>
                <w:sz w:val="15"/>
                <w:szCs w:val="15"/>
                <w:highlight w:val="none"/>
              </w:rPr>
              <w:t>，系数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w:t>
            </w:r>
            <w:r>
              <w:rPr>
                <w:rFonts w:hint="default"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；2.倾倒在绿地、城市道路等公共场所，或者燃气、供暖等公用管道和设施保护（管理）范围的，或者</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内的，系数3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52993824">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23F65DF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区域台账与《基准表》中情节系数相关点位重叠的，不适用区域台账。</w:t>
            </w:r>
          </w:p>
        </w:tc>
        <w:tc>
          <w:tcPr>
            <w:tcW w:w="1304" w:type="dxa"/>
            <w:gridSpan w:val="2"/>
            <w:noWrap w:val="0"/>
            <w:vAlign w:val="center"/>
          </w:tcPr>
          <w:p w14:paraId="5668EC9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4B1C4F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530E3EF">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C4606700</w:t>
            </w:r>
          </w:p>
        </w:tc>
      </w:tr>
      <w:tr w14:paraId="1EFB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79" w:hRule="atLeast"/>
        </w:trPr>
        <w:tc>
          <w:tcPr>
            <w:tcW w:w="714" w:type="dxa"/>
            <w:noWrap w:val="0"/>
            <w:vAlign w:val="center"/>
          </w:tcPr>
          <w:p w14:paraId="12C1FBD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53</w:t>
            </w:r>
          </w:p>
        </w:tc>
        <w:tc>
          <w:tcPr>
            <w:tcW w:w="1626" w:type="dxa"/>
            <w:gridSpan w:val="2"/>
            <w:noWrap w:val="0"/>
            <w:vAlign w:val="center"/>
          </w:tcPr>
          <w:p w14:paraId="3B4AA761">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环卫设施未经验收（验收不合格）投入使用</w:t>
            </w:r>
          </w:p>
        </w:tc>
        <w:tc>
          <w:tcPr>
            <w:tcW w:w="2981" w:type="dxa"/>
            <w:noWrap w:val="0"/>
            <w:vAlign w:val="center"/>
          </w:tcPr>
          <w:p w14:paraId="1BB7B7C3">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违反条款：第六十条第二款；</w:t>
            </w:r>
          </w:p>
          <w:p w14:paraId="483E37E7">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处罚条款：第六十条第三款 责令限期改正，并处5000元以上3万元以下罚款。</w:t>
            </w:r>
          </w:p>
        </w:tc>
        <w:tc>
          <w:tcPr>
            <w:tcW w:w="851" w:type="dxa"/>
            <w:noWrap w:val="0"/>
            <w:vAlign w:val="center"/>
          </w:tcPr>
          <w:p w14:paraId="14B23C39">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6B39790A">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287039D">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ascii="宋体" w:hAnsi="宋体" w:eastAsia="宋体" w:cs="宋体"/>
                <w:color w:val="auto"/>
                <w:kern w:val="0"/>
                <w:sz w:val="15"/>
                <w:szCs w:val="15"/>
                <w:highlight w:val="none"/>
                <w:lang w:val="en-US" w:eastAsia="zh-CN"/>
              </w:rPr>
              <w:t>3-5；2.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6E36A2FA">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49EC2494">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1304" w:type="dxa"/>
            <w:gridSpan w:val="2"/>
            <w:noWrap w:val="0"/>
            <w:vAlign w:val="center"/>
          </w:tcPr>
          <w:p w14:paraId="30AA76F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96A306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C466996">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C4607400</w:t>
            </w:r>
          </w:p>
        </w:tc>
      </w:tr>
      <w:tr w14:paraId="7F40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20" w:hRule="atLeast"/>
        </w:trPr>
        <w:tc>
          <w:tcPr>
            <w:tcW w:w="714" w:type="dxa"/>
            <w:noWrap w:val="0"/>
            <w:vAlign w:val="center"/>
          </w:tcPr>
          <w:p w14:paraId="49E34AD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54</w:t>
            </w:r>
          </w:p>
        </w:tc>
        <w:tc>
          <w:tcPr>
            <w:tcW w:w="1626" w:type="dxa"/>
            <w:gridSpan w:val="2"/>
            <w:noWrap w:val="0"/>
            <w:vAlign w:val="center"/>
          </w:tcPr>
          <w:p w14:paraId="4052CE5B">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擅自占用、损毁环卫设施</w:t>
            </w:r>
          </w:p>
        </w:tc>
        <w:tc>
          <w:tcPr>
            <w:tcW w:w="2981" w:type="dxa"/>
            <w:noWrap w:val="0"/>
            <w:vAlign w:val="center"/>
          </w:tcPr>
          <w:p w14:paraId="63E9C56A">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违反条款：第六十一条第一款；</w:t>
            </w:r>
          </w:p>
          <w:p w14:paraId="01E133E4">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责令恢复原状或者赔偿损失，并处500元以上3000元以下罚款。</w:t>
            </w:r>
          </w:p>
        </w:tc>
        <w:tc>
          <w:tcPr>
            <w:tcW w:w="851" w:type="dxa"/>
            <w:noWrap w:val="0"/>
            <w:vAlign w:val="center"/>
          </w:tcPr>
          <w:p w14:paraId="2A32763D">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372C5014">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A442F45">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占用、损毁车站、机场、居民小区、医院、学校、体育场馆、影剧院、繁华商业街区、旅游景区等人口集中地区环卫设施的，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3-5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3DC5752C">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1680DFD6">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1304" w:type="dxa"/>
            <w:gridSpan w:val="2"/>
            <w:noWrap w:val="0"/>
            <w:vAlign w:val="center"/>
          </w:tcPr>
          <w:p w14:paraId="6E7A54F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CBA11D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D5B0B0B">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C4607500</w:t>
            </w:r>
          </w:p>
        </w:tc>
      </w:tr>
      <w:tr w14:paraId="21D2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66" w:hRule="atLeast"/>
        </w:trPr>
        <w:tc>
          <w:tcPr>
            <w:tcW w:w="714" w:type="dxa"/>
            <w:noWrap w:val="0"/>
            <w:vAlign w:val="center"/>
          </w:tcPr>
          <w:p w14:paraId="1E70429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55</w:t>
            </w:r>
          </w:p>
        </w:tc>
        <w:tc>
          <w:tcPr>
            <w:tcW w:w="1626" w:type="dxa"/>
            <w:gridSpan w:val="2"/>
            <w:noWrap w:val="0"/>
            <w:vAlign w:val="center"/>
          </w:tcPr>
          <w:p w14:paraId="30089D5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擅自拆除、迁移、改建、停用环卫设施</w:t>
            </w:r>
          </w:p>
        </w:tc>
        <w:tc>
          <w:tcPr>
            <w:tcW w:w="2981" w:type="dxa"/>
            <w:noWrap w:val="0"/>
            <w:vAlign w:val="center"/>
          </w:tcPr>
          <w:p w14:paraId="78382E6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p>
          <w:p w14:paraId="4043C7F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责令改正，并可处5000元以上5万元以下罚款。</w:t>
            </w:r>
          </w:p>
        </w:tc>
        <w:tc>
          <w:tcPr>
            <w:tcW w:w="851" w:type="dxa"/>
            <w:noWrap w:val="0"/>
            <w:vAlign w:val="center"/>
          </w:tcPr>
          <w:p w14:paraId="5964D1F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3B408F4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14CB5C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拆除、迁移、改建、停用车站、机场、居民小区、医院、学校、体育场馆、影剧院、繁华商业街区、旅游景区等人口集中地区环卫设施的，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260D628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3D26A928">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1304" w:type="dxa"/>
            <w:gridSpan w:val="2"/>
            <w:noWrap w:val="0"/>
            <w:vAlign w:val="center"/>
          </w:tcPr>
          <w:p w14:paraId="1445A0E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4FB01A4">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7293929">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C4607600</w:t>
            </w:r>
          </w:p>
        </w:tc>
      </w:tr>
      <w:tr w14:paraId="5DE36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09" w:hRule="atLeast"/>
        </w:trPr>
        <w:tc>
          <w:tcPr>
            <w:tcW w:w="714" w:type="dxa"/>
            <w:noWrap w:val="0"/>
            <w:vAlign w:val="center"/>
          </w:tcPr>
          <w:p w14:paraId="404676D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56</w:t>
            </w:r>
          </w:p>
        </w:tc>
        <w:tc>
          <w:tcPr>
            <w:tcW w:w="1626" w:type="dxa"/>
            <w:gridSpan w:val="2"/>
            <w:noWrap w:val="0"/>
            <w:vAlign w:val="center"/>
          </w:tcPr>
          <w:p w14:paraId="2EA0F30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擅自改变环卫设施用途</w:t>
            </w:r>
          </w:p>
        </w:tc>
        <w:tc>
          <w:tcPr>
            <w:tcW w:w="2981" w:type="dxa"/>
            <w:noWrap w:val="0"/>
            <w:vAlign w:val="center"/>
          </w:tcPr>
          <w:p w14:paraId="340AEC9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p>
          <w:p w14:paraId="01611A8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责令改正，并可处5000元以上5万元以下罚款。</w:t>
            </w:r>
          </w:p>
        </w:tc>
        <w:tc>
          <w:tcPr>
            <w:tcW w:w="851" w:type="dxa"/>
            <w:noWrap w:val="0"/>
            <w:vAlign w:val="center"/>
          </w:tcPr>
          <w:p w14:paraId="108B172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75644B9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AF71593">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擅自改变车站、机场、居民小区、医院、学校、体育场馆、影剧院、繁华商业街区、旅游景区等人口集中地区环卫设施的，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55AB81A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1DD8982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1304" w:type="dxa"/>
            <w:gridSpan w:val="2"/>
            <w:noWrap w:val="0"/>
            <w:vAlign w:val="center"/>
          </w:tcPr>
          <w:p w14:paraId="6E1E053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2B1284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73C48AD">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C4607700</w:t>
            </w:r>
          </w:p>
        </w:tc>
      </w:tr>
      <w:tr w14:paraId="4124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30" w:hRule="atLeast"/>
        </w:trPr>
        <w:tc>
          <w:tcPr>
            <w:tcW w:w="14587" w:type="dxa"/>
            <w:gridSpan w:val="13"/>
            <w:noWrap w:val="0"/>
            <w:vAlign w:val="center"/>
          </w:tcPr>
          <w:p w14:paraId="4E857F48">
            <w:pPr>
              <w:pStyle w:val="3"/>
              <w:widowControl w:val="0"/>
              <w:spacing w:line="232" w:lineRule="exact"/>
              <w:jc w:val="center"/>
              <w:rPr>
                <w:rFonts w:ascii="宋体" w:hAnsi="宋体" w:eastAsia="宋体"/>
                <w:color w:val="auto"/>
                <w:sz w:val="15"/>
                <w:szCs w:val="15"/>
                <w:highlight w:val="none"/>
              </w:rPr>
            </w:pPr>
            <w:bookmarkStart w:id="7" w:name="_Toc1542301765"/>
            <w:bookmarkStart w:id="8" w:name="_Toc110851437"/>
            <w:bookmarkStart w:id="9" w:name="_Toc686287855"/>
            <w:r>
              <w:rPr>
                <w:rFonts w:hint="eastAsia" w:ascii="宋体" w:hAnsi="宋体" w:eastAsia="宋体"/>
                <w:color w:val="auto"/>
                <w:sz w:val="21"/>
                <w:szCs w:val="21"/>
                <w:highlight w:val="none"/>
              </w:rPr>
              <w:t>《北京市生活垃圾管理条例》案由</w:t>
            </w:r>
            <w:r>
              <w:rPr>
                <w:rFonts w:ascii="宋体" w:hAnsi="宋体" w:eastAsia="宋体"/>
                <w:color w:val="auto"/>
                <w:sz w:val="21"/>
                <w:szCs w:val="21"/>
                <w:highlight w:val="none"/>
              </w:rPr>
              <w:t>36</w:t>
            </w:r>
            <w:r>
              <w:rPr>
                <w:rFonts w:hint="eastAsia" w:ascii="宋体" w:hAnsi="宋体" w:eastAsia="宋体"/>
                <w:color w:val="auto"/>
                <w:sz w:val="21"/>
                <w:szCs w:val="21"/>
                <w:highlight w:val="none"/>
              </w:rPr>
              <w:t>项</w:t>
            </w:r>
            <w:bookmarkEnd w:id="7"/>
            <w:bookmarkEnd w:id="8"/>
            <w:bookmarkEnd w:id="9"/>
          </w:p>
        </w:tc>
        <w:tc>
          <w:tcPr>
            <w:tcW w:w="1869" w:type="dxa"/>
            <w:noWrap w:val="0"/>
            <w:vAlign w:val="center"/>
          </w:tcPr>
          <w:p w14:paraId="3E02019B">
            <w:pPr>
              <w:pStyle w:val="20"/>
              <w:keepNext w:val="0"/>
              <w:keepLines w:val="0"/>
              <w:widowControl w:val="0"/>
              <w:suppressLineNumbers w:val="0"/>
              <w:spacing w:line="232" w:lineRule="exact"/>
              <w:jc w:val="center"/>
              <w:rPr>
                <w:highlight w:val="none"/>
              </w:rPr>
            </w:pPr>
          </w:p>
        </w:tc>
      </w:tr>
      <w:tr w14:paraId="2EA7A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15" w:hRule="atLeast"/>
        </w:trPr>
        <w:tc>
          <w:tcPr>
            <w:tcW w:w="714" w:type="dxa"/>
            <w:vMerge w:val="restart"/>
            <w:noWrap w:val="0"/>
            <w:vAlign w:val="center"/>
          </w:tcPr>
          <w:p w14:paraId="3421768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vMerge w:val="restart"/>
            <w:noWrap w:val="0"/>
            <w:vAlign w:val="center"/>
          </w:tcPr>
          <w:p w14:paraId="10722731">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主动向消费者提供一次性用品</w:t>
            </w:r>
          </w:p>
        </w:tc>
        <w:tc>
          <w:tcPr>
            <w:tcW w:w="2981" w:type="dxa"/>
            <w:vMerge w:val="restart"/>
            <w:noWrap w:val="0"/>
            <w:vAlign w:val="center"/>
          </w:tcPr>
          <w:p w14:paraId="70952B0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noWrap w:val="0"/>
            <w:vAlign w:val="center"/>
          </w:tcPr>
          <w:p w14:paraId="36FDCE1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5000（初次违反）</w:t>
            </w:r>
          </w:p>
        </w:tc>
        <w:tc>
          <w:tcPr>
            <w:tcW w:w="840" w:type="dxa"/>
            <w:noWrap w:val="0"/>
            <w:vAlign w:val="center"/>
          </w:tcPr>
          <w:p w14:paraId="07DC54C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E88AACF">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造成不良社会影响的，系数</w:t>
            </w:r>
            <w:r>
              <w:rPr>
                <w:rFonts w:hint="eastAsia" w:ascii="宋体" w:hAnsi="宋体" w:eastAsia="宋体"/>
                <w:color w:val="auto"/>
                <w:sz w:val="15"/>
                <w:szCs w:val="15"/>
                <w:highlight w:val="none"/>
                <w:lang w:val="en-US" w:eastAsia="zh-CN"/>
              </w:rPr>
              <w:t>1；</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14:paraId="3547D68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4AD2B0C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初次违反适用此情形。</w:t>
            </w:r>
          </w:p>
        </w:tc>
        <w:tc>
          <w:tcPr>
            <w:tcW w:w="1304" w:type="dxa"/>
            <w:gridSpan w:val="2"/>
            <w:vMerge w:val="restart"/>
            <w:noWrap w:val="0"/>
            <w:vAlign w:val="center"/>
          </w:tcPr>
          <w:p w14:paraId="4CE20D1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5B144E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075CA3DD">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r>
              <w:rPr>
                <w:rFonts w:hint="eastAsia" w:ascii="宋体" w:hAnsi="宋体" w:eastAsia="宋体" w:cs="宋体"/>
                <w:kern w:val="2"/>
                <w:sz w:val="15"/>
                <w:szCs w:val="15"/>
                <w:highlight w:val="none"/>
                <w:lang w:val="en-US" w:eastAsia="zh-CN" w:bidi="ar"/>
              </w:rPr>
              <w:t>C4647800</w:t>
            </w:r>
          </w:p>
        </w:tc>
      </w:tr>
      <w:tr w14:paraId="0F50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81" w:hRule="atLeast"/>
        </w:trPr>
        <w:tc>
          <w:tcPr>
            <w:tcW w:w="714" w:type="dxa"/>
            <w:vMerge w:val="continue"/>
            <w:noWrap w:val="0"/>
            <w:vAlign w:val="center"/>
          </w:tcPr>
          <w:p w14:paraId="0FAC0206">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5BD4774D">
            <w:pPr>
              <w:spacing w:line="232" w:lineRule="exact"/>
              <w:rPr>
                <w:rFonts w:ascii="宋体" w:hAnsi="宋体" w:eastAsia="宋体"/>
                <w:color w:val="auto"/>
                <w:sz w:val="15"/>
                <w:szCs w:val="15"/>
                <w:highlight w:val="none"/>
              </w:rPr>
            </w:pPr>
          </w:p>
        </w:tc>
        <w:tc>
          <w:tcPr>
            <w:tcW w:w="2981" w:type="dxa"/>
            <w:vMerge w:val="continue"/>
            <w:noWrap w:val="0"/>
            <w:vAlign w:val="center"/>
          </w:tcPr>
          <w:p w14:paraId="0F33B890">
            <w:pPr>
              <w:spacing w:line="232" w:lineRule="exact"/>
              <w:rPr>
                <w:rFonts w:ascii="宋体" w:hAnsi="宋体" w:eastAsia="宋体"/>
                <w:color w:val="auto"/>
                <w:sz w:val="15"/>
                <w:szCs w:val="15"/>
                <w:highlight w:val="none"/>
              </w:rPr>
            </w:pPr>
          </w:p>
        </w:tc>
        <w:tc>
          <w:tcPr>
            <w:tcW w:w="851" w:type="dxa"/>
            <w:noWrap w:val="0"/>
            <w:vAlign w:val="center"/>
          </w:tcPr>
          <w:p w14:paraId="5360553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10000（再次违反）</w:t>
            </w:r>
          </w:p>
        </w:tc>
        <w:tc>
          <w:tcPr>
            <w:tcW w:w="840" w:type="dxa"/>
            <w:noWrap w:val="0"/>
            <w:vAlign w:val="center"/>
          </w:tcPr>
          <w:p w14:paraId="23B4423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0C5DEB9">
            <w:pPr>
              <w:numPr>
                <w:ilvl w:val="0"/>
                <w:numId w:val="0"/>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造成不良社会影响的，系数</w:t>
            </w:r>
            <w:r>
              <w:rPr>
                <w:rFonts w:hint="eastAsia" w:ascii="宋体" w:hAnsi="宋体" w:eastAsia="宋体"/>
                <w:color w:val="auto"/>
                <w:sz w:val="15"/>
                <w:szCs w:val="15"/>
                <w:highlight w:val="none"/>
                <w:lang w:val="en-US" w:eastAsia="zh-CN"/>
              </w:rPr>
              <w:t>1；</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14:paraId="16240E8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57593BD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一年度内</w:t>
            </w:r>
            <w:r>
              <w:rPr>
                <w:rFonts w:hint="eastAsia" w:ascii="宋体" w:hAnsi="宋体" w:eastAsia="宋体" w:cs="宋体"/>
                <w:color w:val="auto"/>
                <w:kern w:val="0"/>
                <w:sz w:val="15"/>
                <w:szCs w:val="15"/>
                <w:highlight w:val="none"/>
                <w:lang w:eastAsia="zh-CN"/>
              </w:rPr>
              <w:t>因</w:t>
            </w:r>
            <w:r>
              <w:rPr>
                <w:rFonts w:hint="eastAsia" w:ascii="宋体" w:hAnsi="宋体" w:eastAsia="宋体" w:cs="宋体"/>
                <w:color w:val="auto"/>
                <w:kern w:val="0"/>
                <w:sz w:val="15"/>
                <w:szCs w:val="15"/>
                <w:highlight w:val="none"/>
              </w:rPr>
              <w:t>同类性质违法行为</w:t>
            </w:r>
            <w:r>
              <w:rPr>
                <w:rFonts w:hint="eastAsia" w:ascii="宋体" w:hAnsi="宋体" w:eastAsia="宋体" w:cs="宋体"/>
                <w:color w:val="auto"/>
                <w:kern w:val="0"/>
                <w:sz w:val="15"/>
                <w:szCs w:val="15"/>
                <w:highlight w:val="none"/>
                <w:lang w:eastAsia="zh-CN"/>
              </w:rPr>
              <w:t>再次</w:t>
            </w:r>
            <w:r>
              <w:rPr>
                <w:rFonts w:hint="eastAsia" w:ascii="宋体" w:hAnsi="宋体" w:eastAsia="宋体" w:cs="宋体"/>
                <w:color w:val="auto"/>
                <w:kern w:val="0"/>
                <w:sz w:val="15"/>
                <w:szCs w:val="15"/>
                <w:highlight w:val="none"/>
              </w:rPr>
              <w:t>受到书面告诫或者处罚的</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eastAsia="zh-CN"/>
              </w:rPr>
              <w:t>不适用本案由。</w:t>
            </w:r>
          </w:p>
        </w:tc>
        <w:tc>
          <w:tcPr>
            <w:tcW w:w="1304" w:type="dxa"/>
            <w:gridSpan w:val="2"/>
            <w:vMerge w:val="continue"/>
            <w:noWrap w:val="0"/>
            <w:vAlign w:val="center"/>
          </w:tcPr>
          <w:p w14:paraId="09FB89ED">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69D98A6A">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14:paraId="73CBD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854" w:hRule="atLeast"/>
        </w:trPr>
        <w:tc>
          <w:tcPr>
            <w:tcW w:w="714" w:type="dxa"/>
            <w:vMerge w:val="restart"/>
            <w:noWrap w:val="0"/>
            <w:vAlign w:val="center"/>
          </w:tcPr>
          <w:p w14:paraId="1ED7B1F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vMerge w:val="restart"/>
            <w:noWrap w:val="0"/>
            <w:vAlign w:val="center"/>
          </w:tcPr>
          <w:p w14:paraId="10B00C1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未将生活垃圾分别投入相应标识的收集容器</w:t>
            </w:r>
          </w:p>
        </w:tc>
        <w:tc>
          <w:tcPr>
            <w:tcW w:w="2981" w:type="dxa"/>
            <w:noWrap w:val="0"/>
            <w:vAlign w:val="center"/>
          </w:tcPr>
          <w:p w14:paraId="4D29716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违反条款：第三十四条第一款第（一）项；处罚条款：第六十八条第一款 责令立即改正，</w:t>
            </w:r>
            <w:r>
              <w:rPr>
                <w:rFonts w:hint="eastAsia" w:ascii="宋体" w:hAnsi="宋体" w:eastAsia="宋体"/>
                <w:color w:val="auto"/>
                <w:spacing w:val="15"/>
                <w:sz w:val="15"/>
                <w:szCs w:val="15"/>
                <w:highlight w:val="none"/>
              </w:rPr>
              <w:t>情节严重的，处五万元以上五十万元以下罚款。</w:t>
            </w:r>
          </w:p>
        </w:tc>
        <w:tc>
          <w:tcPr>
            <w:tcW w:w="851" w:type="dxa"/>
            <w:noWrap w:val="0"/>
            <w:vAlign w:val="center"/>
          </w:tcPr>
          <w:p w14:paraId="10D91E30">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14:paraId="79AD26E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（单位情节严重的）</w:t>
            </w:r>
          </w:p>
        </w:tc>
        <w:tc>
          <w:tcPr>
            <w:tcW w:w="840" w:type="dxa"/>
            <w:noWrap w:val="0"/>
            <w:vAlign w:val="center"/>
          </w:tcPr>
          <w:p w14:paraId="024A061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921B2B6">
            <w:pPr>
              <w:spacing w:line="220" w:lineRule="exact"/>
              <w:rPr>
                <w:rFonts w:hint="eastAsia" w:ascii="宋体" w:hAnsi="宋体" w:eastAsia="宋体"/>
                <w:b/>
                <w:color w:val="auto"/>
                <w:sz w:val="15"/>
                <w:szCs w:val="15"/>
                <w:highlight w:val="none"/>
                <w:lang w:eastAsia="zh-CN"/>
              </w:rPr>
            </w:pPr>
            <w:r>
              <w:rPr>
                <w:rFonts w:hint="eastAsia" w:ascii="宋体" w:hAnsi="宋体" w:eastAsia="宋体"/>
                <w:color w:val="auto"/>
                <w:sz w:val="15"/>
                <w:szCs w:val="15"/>
                <w:highlight w:val="none"/>
              </w:rPr>
              <w:t>1.可回收物</w:t>
            </w:r>
            <w:r>
              <w:rPr>
                <w:rFonts w:hint="eastAsia" w:ascii="宋体" w:hAnsi="宋体" w:eastAsia="宋体"/>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eastAsia="宋体"/>
                <w:b w:val="0"/>
                <w:bCs w:val="0"/>
                <w:strike w:val="0"/>
                <w:dstrike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color w:val="auto"/>
                <w:sz w:val="15"/>
                <w:szCs w:val="15"/>
                <w:highlight w:val="none"/>
              </w:rPr>
              <w:t>；2.其他垃圾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color w:val="auto"/>
                <w:sz w:val="15"/>
                <w:szCs w:val="15"/>
                <w:highlight w:val="none"/>
              </w:rPr>
              <w:t>；3.厨余垃圾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w:t>
            </w:r>
            <w:r>
              <w:rPr>
                <w:rFonts w:hint="eastAsia" w:ascii="宋体" w:hAnsi="宋体" w:eastAsia="宋体"/>
                <w:b w:val="0"/>
                <w:bCs w:val="0"/>
                <w:color w:val="auto"/>
                <w:sz w:val="15"/>
                <w:szCs w:val="15"/>
                <w:highlight w:val="none"/>
                <w:lang w:val="en-US" w:eastAsia="zh-CN"/>
              </w:rPr>
              <w:t xml:space="preserve"> 2</w:t>
            </w:r>
            <w:r>
              <w:rPr>
                <w:rFonts w:hint="eastAsia" w:ascii="宋体" w:hAnsi="宋体" w:eastAsia="宋体"/>
                <w:b w:val="0"/>
                <w:bCs w:val="0"/>
                <w:color w:val="auto"/>
                <w:sz w:val="15"/>
                <w:szCs w:val="15"/>
                <w:highlight w:val="none"/>
              </w:rPr>
              <w:t>；4.有害垃圾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2-3</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5</w:t>
            </w:r>
            <w:r>
              <w:rPr>
                <w:rFonts w:hint="default" w:ascii="宋体" w:hAnsi="宋体" w:eastAsia="宋体"/>
                <w:b w:val="0"/>
                <w:bCs w:val="0"/>
                <w:color w:val="auto"/>
                <w:sz w:val="15"/>
                <w:szCs w:val="15"/>
                <w:highlight w:val="none"/>
                <w:lang w:val="en-US" w:eastAsia="zh-CN"/>
              </w:rPr>
              <w:t>.</w:t>
            </w:r>
            <w:r>
              <w:rPr>
                <w:rFonts w:hint="eastAsia" w:ascii="宋体" w:hAnsi="宋体" w:eastAsia="宋体"/>
                <w:color w:val="auto"/>
                <w:sz w:val="15"/>
                <w:szCs w:val="15"/>
                <w:highlight w:val="none"/>
              </w:rPr>
              <w:t>造成环境秩序较严重影响的，</w:t>
            </w:r>
            <w:r>
              <w:rPr>
                <w:rFonts w:hint="eastAsia" w:ascii="宋体" w:hAnsi="宋体" w:eastAsia="宋体"/>
                <w:color w:val="auto"/>
                <w:sz w:val="15"/>
                <w:szCs w:val="15"/>
                <w:highlight w:val="none"/>
                <w:lang w:eastAsia="zh-CN"/>
              </w:rPr>
              <w:t>系数</w:t>
            </w:r>
            <w:r>
              <w:rPr>
                <w:rFonts w:hint="default"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6.存在基准2.1.3规定情形的，</w:t>
            </w:r>
            <w:r>
              <w:rPr>
                <w:rFonts w:hint="eastAsia" w:ascii="宋体" w:hAnsi="宋体" w:eastAsia="宋体" w:cs="宋体"/>
                <w:color w:val="auto"/>
                <w:kern w:val="0"/>
                <w:sz w:val="15"/>
                <w:szCs w:val="15"/>
                <w:highlight w:val="none"/>
                <w:lang w:val="en-US" w:eastAsia="zh-CN"/>
              </w:rPr>
              <w:t>系数按照相关规定确定（基准2.1.3.5不适用）。</w:t>
            </w:r>
          </w:p>
        </w:tc>
        <w:tc>
          <w:tcPr>
            <w:tcW w:w="1875" w:type="dxa"/>
            <w:gridSpan w:val="2"/>
            <w:noWrap w:val="0"/>
            <w:vAlign w:val="center"/>
          </w:tcPr>
          <w:p w14:paraId="4B04B96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1442E1B5">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拒不改正或者</w:t>
            </w:r>
            <w:r>
              <w:rPr>
                <w:rFonts w:hint="eastAsia" w:ascii="宋体" w:hAnsi="宋体" w:eastAsia="宋体"/>
                <w:color w:val="auto"/>
                <w:sz w:val="15"/>
                <w:szCs w:val="15"/>
                <w:highlight w:val="none"/>
              </w:rPr>
              <w:t>再次违反规定</w:t>
            </w:r>
            <w:r>
              <w:rPr>
                <w:rFonts w:hint="eastAsia" w:ascii="宋体" w:hAnsi="宋体" w:eastAsia="宋体"/>
                <w:color w:val="auto"/>
                <w:sz w:val="15"/>
                <w:szCs w:val="15"/>
                <w:highlight w:val="none"/>
                <w:lang w:eastAsia="zh-CN"/>
              </w:rPr>
              <w:t>的，视为情节严重。</w:t>
            </w:r>
          </w:p>
        </w:tc>
        <w:tc>
          <w:tcPr>
            <w:tcW w:w="1304" w:type="dxa"/>
            <w:gridSpan w:val="2"/>
            <w:vMerge w:val="restart"/>
            <w:noWrap w:val="0"/>
            <w:vAlign w:val="center"/>
          </w:tcPr>
          <w:p w14:paraId="3BF5CCF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C31006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1ADD9E9C">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C4648000</w:t>
            </w:r>
          </w:p>
        </w:tc>
      </w:tr>
      <w:tr w14:paraId="1149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61" w:hRule="atLeast"/>
        </w:trPr>
        <w:tc>
          <w:tcPr>
            <w:tcW w:w="714" w:type="dxa"/>
            <w:vMerge w:val="continue"/>
            <w:noWrap w:val="0"/>
            <w:vAlign w:val="center"/>
          </w:tcPr>
          <w:p w14:paraId="44C1D296">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6AFF8490">
            <w:pPr>
              <w:spacing w:line="232" w:lineRule="exact"/>
              <w:rPr>
                <w:rFonts w:ascii="宋体" w:hAnsi="宋体" w:eastAsia="宋体"/>
                <w:color w:val="auto"/>
                <w:sz w:val="15"/>
                <w:szCs w:val="15"/>
                <w:highlight w:val="none"/>
              </w:rPr>
            </w:pPr>
          </w:p>
        </w:tc>
        <w:tc>
          <w:tcPr>
            <w:tcW w:w="2981" w:type="dxa"/>
            <w:vMerge w:val="restart"/>
            <w:noWrap w:val="0"/>
            <w:vAlign w:val="center"/>
          </w:tcPr>
          <w:p w14:paraId="4A08228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noWrap w:val="0"/>
            <w:vAlign w:val="center"/>
          </w:tcPr>
          <w:p w14:paraId="4811FD10">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14:paraId="4C39D70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（个人初次违反）</w:t>
            </w:r>
          </w:p>
        </w:tc>
        <w:tc>
          <w:tcPr>
            <w:tcW w:w="840" w:type="dxa"/>
            <w:noWrap w:val="0"/>
            <w:vAlign w:val="center"/>
          </w:tcPr>
          <w:p w14:paraId="267C662B">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62012989">
            <w:pPr>
              <w:spacing w:line="220" w:lineRule="exact"/>
              <w:rPr>
                <w:rFonts w:hint="eastAsia" w:ascii="宋体" w:hAnsi="宋体" w:eastAsia="宋体"/>
                <w:color w:val="auto"/>
                <w:sz w:val="15"/>
                <w:szCs w:val="15"/>
                <w:highlight w:val="none"/>
                <w:lang w:eastAsia="zh-CN"/>
              </w:rPr>
            </w:pPr>
          </w:p>
        </w:tc>
        <w:tc>
          <w:tcPr>
            <w:tcW w:w="1875" w:type="dxa"/>
            <w:gridSpan w:val="2"/>
            <w:noWrap w:val="0"/>
            <w:vAlign w:val="center"/>
          </w:tcPr>
          <w:p w14:paraId="28B21A8A">
            <w:pPr>
              <w:spacing w:line="232" w:lineRule="exact"/>
              <w:rPr>
                <w:rFonts w:ascii="宋体" w:hAnsi="宋体" w:eastAsia="宋体" w:cs="宋体"/>
                <w:color w:val="auto"/>
                <w:kern w:val="0"/>
                <w:sz w:val="15"/>
                <w:szCs w:val="15"/>
                <w:highlight w:val="none"/>
              </w:rPr>
            </w:pPr>
          </w:p>
        </w:tc>
        <w:tc>
          <w:tcPr>
            <w:tcW w:w="2020" w:type="dxa"/>
            <w:gridSpan w:val="2"/>
            <w:vMerge w:val="restart"/>
            <w:noWrap w:val="0"/>
            <w:vAlign w:val="center"/>
          </w:tcPr>
          <w:p w14:paraId="4C36EF35">
            <w:pPr>
              <w:numPr>
                <w:ilvl w:val="0"/>
                <w:numId w:val="0"/>
              </w:num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个人拒不听从生活垃圾分类管理责任人劝阻，且拒不改正的，进行书面警告。</w:t>
            </w:r>
          </w:p>
          <w:p w14:paraId="78C84BDA">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2.个人自愿参加生活垃圾分类等社区服务活动的，不予行政处罚。</w:t>
            </w:r>
          </w:p>
        </w:tc>
        <w:tc>
          <w:tcPr>
            <w:tcW w:w="1304" w:type="dxa"/>
            <w:gridSpan w:val="2"/>
            <w:vMerge w:val="continue"/>
            <w:noWrap w:val="0"/>
            <w:vAlign w:val="center"/>
          </w:tcPr>
          <w:p w14:paraId="09138100">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7262AECE">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14:paraId="0D1F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24" w:hRule="atLeast"/>
        </w:trPr>
        <w:tc>
          <w:tcPr>
            <w:tcW w:w="714" w:type="dxa"/>
            <w:vMerge w:val="continue"/>
            <w:noWrap w:val="0"/>
            <w:vAlign w:val="center"/>
          </w:tcPr>
          <w:p w14:paraId="287BC29F">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3C55A5FD">
            <w:pPr>
              <w:spacing w:line="232" w:lineRule="exact"/>
              <w:rPr>
                <w:rFonts w:ascii="宋体" w:hAnsi="宋体" w:eastAsia="宋体"/>
                <w:color w:val="auto"/>
                <w:sz w:val="15"/>
                <w:szCs w:val="15"/>
                <w:highlight w:val="none"/>
              </w:rPr>
            </w:pPr>
          </w:p>
        </w:tc>
        <w:tc>
          <w:tcPr>
            <w:tcW w:w="2981" w:type="dxa"/>
            <w:vMerge w:val="continue"/>
            <w:noWrap w:val="0"/>
            <w:vAlign w:val="center"/>
          </w:tcPr>
          <w:p w14:paraId="062E8F20">
            <w:pPr>
              <w:spacing w:line="232" w:lineRule="exact"/>
              <w:rPr>
                <w:rFonts w:ascii="宋体" w:hAnsi="宋体" w:eastAsia="宋体"/>
                <w:color w:val="auto"/>
                <w:sz w:val="15"/>
                <w:szCs w:val="15"/>
                <w:highlight w:val="none"/>
              </w:rPr>
            </w:pPr>
          </w:p>
        </w:tc>
        <w:tc>
          <w:tcPr>
            <w:tcW w:w="851" w:type="dxa"/>
            <w:noWrap w:val="0"/>
            <w:vAlign w:val="center"/>
          </w:tcPr>
          <w:p w14:paraId="75E52D23">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14:paraId="0F23321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noWrap w:val="0"/>
            <w:vAlign w:val="center"/>
          </w:tcPr>
          <w:p w14:paraId="1351A10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DD0C843">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1.可回收物未投入相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；2.其他垃圾未投入相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0-3；3.厨余垃圾未投入相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w:t>
            </w:r>
            <w:r>
              <w:rPr>
                <w:rFonts w:ascii="宋体" w:hAnsi="宋体" w:eastAsia="宋体"/>
                <w:color w:val="auto"/>
                <w:sz w:val="15"/>
                <w:szCs w:val="15"/>
                <w:highlight w:val="none"/>
              </w:rPr>
              <w:t>4</w:t>
            </w:r>
            <w:r>
              <w:rPr>
                <w:rFonts w:ascii="宋体" w:hAnsi="宋体" w:eastAsia="宋体"/>
                <w:color w:val="auto"/>
                <w:spacing w:val="-4"/>
                <w:sz w:val="15"/>
                <w:szCs w:val="15"/>
                <w:highlight w:val="none"/>
              </w:rPr>
              <w:t>.</w:t>
            </w:r>
            <w:r>
              <w:rPr>
                <w:rFonts w:hint="eastAsia" w:ascii="宋体" w:hAnsi="宋体" w:eastAsia="宋体"/>
                <w:color w:val="auto"/>
                <w:spacing w:val="-4"/>
                <w:sz w:val="15"/>
                <w:szCs w:val="15"/>
                <w:highlight w:val="none"/>
              </w:rPr>
              <w:t>有害垃圾未投入相</w:t>
            </w:r>
            <w:r>
              <w:rPr>
                <w:rFonts w:hint="eastAsia" w:ascii="宋体" w:hAnsi="宋体" w:eastAsia="宋体"/>
                <w:color w:val="auto"/>
                <w:spacing w:val="-4"/>
                <w:sz w:val="15"/>
                <w:szCs w:val="15"/>
                <w:highlight w:val="none"/>
                <w:lang w:eastAsia="zh-CN"/>
              </w:rPr>
              <w:t>对</w:t>
            </w:r>
            <w:r>
              <w:rPr>
                <w:rFonts w:hint="eastAsia" w:ascii="宋体" w:hAnsi="宋体" w:eastAsia="宋体"/>
                <w:color w:val="auto"/>
                <w:spacing w:val="-4"/>
                <w:sz w:val="15"/>
                <w:szCs w:val="15"/>
                <w:highlight w:val="none"/>
              </w:rPr>
              <w:t>应标识的收集容器</w:t>
            </w:r>
            <w:r>
              <w:rPr>
                <w:rFonts w:hint="eastAsia" w:ascii="宋体" w:hAnsi="宋体" w:eastAsia="宋体"/>
                <w:color w:val="auto"/>
                <w:spacing w:val="-4"/>
                <w:sz w:val="15"/>
                <w:szCs w:val="15"/>
                <w:highlight w:val="none"/>
                <w:lang w:eastAsia="zh-CN"/>
              </w:rPr>
              <w:t>系数</w:t>
            </w:r>
            <w:r>
              <w:rPr>
                <w:rFonts w:hint="eastAsia" w:ascii="宋体" w:hAnsi="宋体" w:eastAsia="宋体"/>
                <w:color w:val="auto"/>
                <w:spacing w:val="-4"/>
                <w:sz w:val="15"/>
                <w:szCs w:val="15"/>
                <w:highlight w:val="none"/>
              </w:rPr>
              <w:t>1-</w:t>
            </w:r>
            <w:r>
              <w:rPr>
                <w:rFonts w:hint="eastAsia" w:ascii="宋体" w:hAnsi="宋体" w:eastAsia="宋体"/>
                <w:color w:val="auto"/>
                <w:sz w:val="15"/>
                <w:szCs w:val="15"/>
                <w:highlight w:val="none"/>
                <w:lang w:val="en-US" w:eastAsia="zh-CN"/>
              </w:rPr>
              <w:t>4</w:t>
            </w:r>
            <w:r>
              <w:rPr>
                <w:rFonts w:hint="eastAsia" w:ascii="宋体" w:hAnsi="宋体" w:eastAsia="宋体"/>
                <w:color w:val="auto"/>
                <w:spacing w:val="-4"/>
                <w:sz w:val="15"/>
                <w:szCs w:val="15"/>
                <w:highlight w:val="none"/>
                <w:lang w:eastAsia="zh-CN"/>
              </w:rPr>
              <w:t>；</w:t>
            </w:r>
            <w:r>
              <w:rPr>
                <w:rFonts w:hint="eastAsia" w:ascii="宋体" w:hAnsi="宋体" w:eastAsia="宋体" w:cs="宋体"/>
                <w:color w:val="auto"/>
                <w:kern w:val="0"/>
                <w:sz w:val="15"/>
                <w:szCs w:val="15"/>
                <w:highlight w:val="none"/>
                <w:lang w:val="en-US" w:eastAsia="zh-CN"/>
              </w:rPr>
              <w:t>5.存在基准2.1.3规定情形的，系数按照相关规定确定（基准2.1.3.5不适用）。</w:t>
            </w:r>
          </w:p>
        </w:tc>
        <w:tc>
          <w:tcPr>
            <w:tcW w:w="1875" w:type="dxa"/>
            <w:gridSpan w:val="2"/>
            <w:noWrap w:val="0"/>
            <w:vAlign w:val="center"/>
          </w:tcPr>
          <w:p w14:paraId="612A327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noWrap w:val="0"/>
            <w:vAlign w:val="center"/>
          </w:tcPr>
          <w:p w14:paraId="70126625">
            <w:pPr>
              <w:spacing w:line="232"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14:paraId="792D4F52">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2211392A">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14:paraId="2173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179" w:hRule="atLeast"/>
        </w:trPr>
        <w:tc>
          <w:tcPr>
            <w:tcW w:w="714" w:type="dxa"/>
            <w:vMerge w:val="restart"/>
            <w:tcBorders>
              <w:left w:val="single" w:color="auto" w:sz="4" w:space="0"/>
              <w:right w:val="single" w:color="auto" w:sz="4" w:space="0"/>
            </w:tcBorders>
            <w:noWrap w:val="0"/>
            <w:vAlign w:val="center"/>
          </w:tcPr>
          <w:p w14:paraId="40F56A1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vMerge w:val="restart"/>
            <w:tcBorders>
              <w:left w:val="single" w:color="auto" w:sz="4" w:space="0"/>
              <w:right w:val="single" w:color="auto" w:sz="4" w:space="0"/>
            </w:tcBorders>
            <w:noWrap w:val="0"/>
            <w:vAlign w:val="center"/>
          </w:tcPr>
          <w:p w14:paraId="51221DA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体积较大的废弃物品未单独堆放</w:t>
            </w:r>
          </w:p>
        </w:tc>
        <w:tc>
          <w:tcPr>
            <w:tcW w:w="2981" w:type="dxa"/>
            <w:tcBorders>
              <w:left w:val="single" w:color="auto" w:sz="4" w:space="0"/>
              <w:bottom w:val="single" w:color="auto" w:sz="4" w:space="0"/>
              <w:right w:val="single" w:color="auto" w:sz="4" w:space="0"/>
            </w:tcBorders>
            <w:noWrap w:val="0"/>
            <w:vAlign w:val="center"/>
          </w:tcPr>
          <w:p w14:paraId="3B5DCC5E">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违反条款：第三十四条第一款第（二）项；处罚条款：第六十八条第一款 责令立即改正，</w:t>
            </w:r>
            <w:r>
              <w:rPr>
                <w:rFonts w:hint="eastAsia" w:ascii="宋体" w:hAnsi="宋体" w:eastAsia="宋体"/>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6F024A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35B14EC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14:paraId="48CFAE77">
            <w:pPr>
              <w:numPr>
                <w:ilvl w:val="0"/>
                <w:numId w:val="0"/>
              </w:numPr>
              <w:spacing w:line="232" w:lineRule="exact"/>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.占地面积在5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hint="eastAsia"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宋体"/>
                <w:color w:val="auto"/>
                <w:kern w:val="0"/>
                <w:sz w:val="15"/>
                <w:szCs w:val="15"/>
                <w:highlight w:val="none"/>
              </w:rPr>
              <w:t>，系数1；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sz w:val="15"/>
                <w:szCs w:val="15"/>
                <w:highlight w:val="none"/>
                <w:lang w:eastAsia="zh-CN"/>
              </w:rPr>
              <w:t>面积</w:t>
            </w:r>
            <w:r>
              <w:rPr>
                <w:rFonts w:hint="eastAsia" w:ascii="宋体" w:hAnsi="宋体" w:eastAsia="宋体" w:cs="宋体"/>
                <w:color w:val="auto"/>
                <w:sz w:val="15"/>
                <w:szCs w:val="15"/>
                <w:highlight w:val="none"/>
                <w:lang w:val="en-US" w:eastAsia="zh-CN"/>
              </w:rPr>
              <w:t>46</w:t>
            </w: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eastAsia="zh-CN"/>
              </w:rPr>
              <w:t>及以上的，系数</w:t>
            </w:r>
            <w:r>
              <w:rPr>
                <w:rFonts w:hint="eastAsia" w:ascii="宋体" w:hAnsi="宋体" w:eastAsia="宋体" w:cs="宋体"/>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堆放在城市道路、绿地、居住小区消防通道</w:t>
            </w:r>
            <w:r>
              <w:rPr>
                <w:rFonts w:hint="eastAsia" w:ascii="宋体" w:hAnsi="宋体" w:eastAsia="宋体" w:cs="宋体"/>
                <w:color w:val="auto"/>
                <w:sz w:val="15"/>
                <w:szCs w:val="15"/>
                <w:highlight w:val="none"/>
                <w:shd w:val="clear" w:color="auto" w:fill="FFFFFF"/>
              </w:rPr>
              <w:t>等共用部位</w:t>
            </w:r>
            <w:r>
              <w:rPr>
                <w:rFonts w:hint="eastAsia" w:ascii="宋体" w:hAnsi="宋体" w:eastAsia="宋体" w:cs="宋体"/>
                <w:color w:val="auto"/>
                <w:sz w:val="15"/>
                <w:szCs w:val="15"/>
                <w:highlight w:val="none"/>
                <w:shd w:val="clear" w:color="auto" w:fill="FFFFFF"/>
                <w:lang w:eastAsia="zh-CN"/>
              </w:rPr>
              <w:t>的，系数</w:t>
            </w:r>
            <w:r>
              <w:rPr>
                <w:rFonts w:hint="eastAsia" w:ascii="宋体" w:hAnsi="宋体" w:eastAsia="宋体" w:cs="宋体"/>
                <w:color w:val="auto"/>
                <w:sz w:val="15"/>
                <w:szCs w:val="15"/>
                <w:highlight w:val="none"/>
                <w:shd w:val="clear" w:color="auto" w:fill="FFFFFF"/>
                <w:lang w:val="en-US" w:eastAsia="zh-CN"/>
              </w:rPr>
              <w:t>0-1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占压燃气、供暖等公用管道和设施保护（管理）范围的，或者林地、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内的，</w:t>
            </w:r>
            <w:r>
              <w:rPr>
                <w:rFonts w:hint="eastAsia" w:ascii="宋体" w:hAnsi="宋体" w:eastAsia="宋体" w:cs="宋体"/>
                <w:color w:val="auto"/>
                <w:sz w:val="15"/>
                <w:szCs w:val="15"/>
                <w:highlight w:val="none"/>
                <w:shd w:val="clear" w:color="auto" w:fill="FFFFFF"/>
                <w:lang w:eastAsia="zh-CN"/>
              </w:rPr>
              <w:t>系数</w:t>
            </w:r>
            <w:r>
              <w:rPr>
                <w:rFonts w:hint="eastAsia" w:ascii="宋体" w:hAnsi="宋体" w:eastAsia="宋体" w:cs="宋体"/>
                <w:color w:val="auto"/>
                <w:sz w:val="15"/>
                <w:szCs w:val="15"/>
                <w:highlight w:val="none"/>
                <w:shd w:val="clear" w:color="auto" w:fill="FFFFFF"/>
                <w:lang w:val="en-US" w:eastAsia="zh-CN"/>
              </w:rPr>
              <w:t>5</w:t>
            </w:r>
            <w:r>
              <w:rPr>
                <w:rFonts w:hint="default" w:ascii="宋体" w:hAnsi="宋体" w:eastAsia="宋体" w:cs="宋体"/>
                <w:color w:val="auto"/>
                <w:sz w:val="15"/>
                <w:szCs w:val="15"/>
                <w:highlight w:val="none"/>
                <w:shd w:val="clear" w:color="auto" w:fill="FFFFFF"/>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690C55E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6375F50F">
            <w:pPr>
              <w:spacing w:line="232" w:lineRule="exact"/>
              <w:rPr>
                <w:rFonts w:hint="eastAsia" w:ascii="宋体" w:hAnsi="宋体" w:eastAsia="宋体" w:cs="宋体"/>
                <w:strike/>
                <w:dstrike w:val="0"/>
                <w:color w:val="auto"/>
                <w:kern w:val="0"/>
                <w:sz w:val="15"/>
                <w:szCs w:val="15"/>
                <w:highlight w:val="none"/>
              </w:rPr>
            </w:pPr>
            <w:r>
              <w:rPr>
                <w:rFonts w:hint="eastAsia" w:ascii="宋体" w:hAnsi="宋体" w:eastAsia="宋体"/>
                <w:color w:val="auto"/>
                <w:sz w:val="15"/>
                <w:szCs w:val="15"/>
                <w:highlight w:val="none"/>
                <w:lang w:eastAsia="zh-CN"/>
              </w:rPr>
              <w:t>拒不改正或者</w:t>
            </w:r>
            <w:r>
              <w:rPr>
                <w:rFonts w:hint="eastAsia" w:ascii="宋体" w:hAnsi="宋体" w:eastAsia="宋体"/>
                <w:color w:val="auto"/>
                <w:sz w:val="15"/>
                <w:szCs w:val="15"/>
                <w:highlight w:val="none"/>
              </w:rPr>
              <w:t>再次违反规定</w:t>
            </w:r>
            <w:r>
              <w:rPr>
                <w:rFonts w:hint="eastAsia" w:ascii="宋体" w:hAnsi="宋体" w:eastAsia="宋体"/>
                <w:color w:val="auto"/>
                <w:sz w:val="15"/>
                <w:szCs w:val="15"/>
                <w:highlight w:val="none"/>
                <w:lang w:eastAsia="zh-CN"/>
              </w:rPr>
              <w:t>，或者造成严重后果的，视为情节严重。</w:t>
            </w:r>
          </w:p>
        </w:tc>
        <w:tc>
          <w:tcPr>
            <w:tcW w:w="1304" w:type="dxa"/>
            <w:gridSpan w:val="2"/>
            <w:vMerge w:val="restart"/>
            <w:tcBorders>
              <w:top w:val="single" w:color="auto" w:sz="4" w:space="0"/>
              <w:left w:val="single" w:color="auto" w:sz="4" w:space="0"/>
              <w:right w:val="single" w:color="auto" w:sz="4" w:space="0"/>
            </w:tcBorders>
            <w:noWrap w:val="0"/>
            <w:vAlign w:val="center"/>
          </w:tcPr>
          <w:p w14:paraId="147C0DC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BC0552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tcBorders>
              <w:top w:val="single" w:color="auto" w:sz="4" w:space="0"/>
              <w:left w:val="single" w:color="auto" w:sz="4" w:space="0"/>
              <w:right w:val="single" w:color="auto" w:sz="4" w:space="0"/>
            </w:tcBorders>
            <w:noWrap w:val="0"/>
            <w:vAlign w:val="center"/>
          </w:tcPr>
          <w:p w14:paraId="0132623F">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C4648000</w:t>
            </w:r>
          </w:p>
        </w:tc>
      </w:tr>
      <w:tr w14:paraId="3B92A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25" w:hRule="atLeast"/>
        </w:trPr>
        <w:tc>
          <w:tcPr>
            <w:tcW w:w="714" w:type="dxa"/>
            <w:vMerge w:val="continue"/>
            <w:tcBorders>
              <w:left w:val="single" w:color="auto" w:sz="4" w:space="0"/>
              <w:right w:val="single" w:color="auto" w:sz="4" w:space="0"/>
            </w:tcBorders>
            <w:noWrap w:val="0"/>
            <w:vAlign w:val="center"/>
          </w:tcPr>
          <w:p w14:paraId="2AF4C2E9">
            <w:pPr>
              <w:spacing w:line="232" w:lineRule="exact"/>
              <w:jc w:val="center"/>
              <w:rPr>
                <w:rFonts w:ascii="宋体" w:hAnsi="宋体" w:eastAsia="宋体" w:cs="宋体"/>
                <w:color w:val="auto"/>
                <w:kern w:val="0"/>
                <w:sz w:val="15"/>
                <w:szCs w:val="15"/>
                <w:highlight w:val="none"/>
              </w:rPr>
            </w:pPr>
          </w:p>
        </w:tc>
        <w:tc>
          <w:tcPr>
            <w:tcW w:w="1626" w:type="dxa"/>
            <w:gridSpan w:val="2"/>
            <w:vMerge w:val="continue"/>
            <w:tcBorders>
              <w:left w:val="single" w:color="auto" w:sz="4" w:space="0"/>
              <w:right w:val="single" w:color="auto" w:sz="4" w:space="0"/>
            </w:tcBorders>
            <w:noWrap w:val="0"/>
            <w:vAlign w:val="center"/>
          </w:tcPr>
          <w:p w14:paraId="48589D24">
            <w:pPr>
              <w:spacing w:line="232" w:lineRule="exact"/>
              <w:rPr>
                <w:rFonts w:ascii="宋体" w:hAnsi="宋体" w:eastAsia="宋体"/>
                <w:color w:val="auto"/>
                <w:sz w:val="15"/>
                <w:szCs w:val="15"/>
                <w:highlight w:val="none"/>
              </w:rPr>
            </w:pPr>
          </w:p>
        </w:tc>
        <w:tc>
          <w:tcPr>
            <w:tcW w:w="2981" w:type="dxa"/>
            <w:vMerge w:val="restart"/>
            <w:tcBorders>
              <w:top w:val="single" w:color="auto" w:sz="4" w:space="0"/>
              <w:left w:val="single" w:color="auto" w:sz="4" w:space="0"/>
              <w:right w:val="single" w:color="auto" w:sz="4" w:space="0"/>
            </w:tcBorders>
            <w:noWrap w:val="0"/>
            <w:vAlign w:val="center"/>
          </w:tcPr>
          <w:p w14:paraId="0F7F740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941C1BD">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14:paraId="425DBDA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（个人初次违反）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882B41D">
            <w:pPr>
              <w:spacing w:line="232" w:lineRule="exact"/>
              <w:jc w:val="center"/>
              <w:rPr>
                <w:rFonts w:ascii="宋体" w:hAnsi="宋体" w:eastAsia="宋体" w:cs="宋体"/>
                <w:color w:val="auto"/>
                <w:kern w:val="0"/>
                <w:sz w:val="15"/>
                <w:szCs w:val="15"/>
                <w:highlight w:val="none"/>
              </w:rPr>
            </w:pPr>
          </w:p>
        </w:tc>
        <w:tc>
          <w:tcPr>
            <w:tcW w:w="2376" w:type="dxa"/>
            <w:tcBorders>
              <w:top w:val="single" w:color="auto" w:sz="4" w:space="0"/>
              <w:left w:val="single" w:color="auto" w:sz="4" w:space="0"/>
              <w:bottom w:val="single" w:color="auto" w:sz="4" w:space="0"/>
              <w:right w:val="single" w:color="auto" w:sz="4" w:space="0"/>
            </w:tcBorders>
            <w:noWrap w:val="0"/>
            <w:vAlign w:val="center"/>
          </w:tcPr>
          <w:p w14:paraId="34C67E40">
            <w:pPr>
              <w:spacing w:line="232" w:lineRule="exact"/>
              <w:rPr>
                <w:rFonts w:ascii="宋体" w:hAnsi="宋体" w:eastAsia="宋体"/>
                <w:color w:val="auto"/>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6BAD3E0B">
            <w:pPr>
              <w:spacing w:line="232" w:lineRule="exact"/>
              <w:rPr>
                <w:rFonts w:ascii="宋体" w:hAnsi="宋体" w:eastAsia="宋体" w:cs="宋体"/>
                <w:color w:val="auto"/>
                <w:kern w:val="0"/>
                <w:sz w:val="15"/>
                <w:szCs w:val="15"/>
                <w:highlight w:val="none"/>
              </w:rPr>
            </w:pP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0685F6F4">
            <w:pPr>
              <w:spacing w:line="232" w:lineRule="exact"/>
              <w:rPr>
                <w:rFonts w:ascii="宋体" w:hAnsi="宋体" w:eastAsia="宋体" w:cs="宋体"/>
                <w:color w:val="auto"/>
                <w:kern w:val="0"/>
                <w:sz w:val="15"/>
                <w:szCs w:val="15"/>
                <w:highlight w:val="none"/>
              </w:rPr>
            </w:pPr>
          </w:p>
        </w:tc>
        <w:tc>
          <w:tcPr>
            <w:tcW w:w="1304" w:type="dxa"/>
            <w:gridSpan w:val="2"/>
            <w:vMerge w:val="continue"/>
            <w:tcBorders>
              <w:left w:val="single" w:color="auto" w:sz="4" w:space="0"/>
              <w:right w:val="single" w:color="auto" w:sz="4" w:space="0"/>
            </w:tcBorders>
            <w:noWrap w:val="0"/>
            <w:vAlign w:val="center"/>
          </w:tcPr>
          <w:p w14:paraId="55EE4F5E">
            <w:pPr>
              <w:spacing w:line="232" w:lineRule="exact"/>
              <w:jc w:val="center"/>
              <w:rPr>
                <w:rFonts w:ascii="宋体" w:hAnsi="宋体" w:eastAsia="宋体" w:cs="宋体"/>
                <w:color w:val="auto"/>
                <w:kern w:val="0"/>
                <w:sz w:val="15"/>
                <w:szCs w:val="15"/>
                <w:highlight w:val="none"/>
              </w:rPr>
            </w:pPr>
          </w:p>
        </w:tc>
        <w:tc>
          <w:tcPr>
            <w:tcW w:w="1869" w:type="dxa"/>
            <w:vMerge w:val="continue"/>
            <w:tcBorders>
              <w:left w:val="single" w:color="auto" w:sz="4" w:space="0"/>
              <w:right w:val="single" w:color="auto" w:sz="4" w:space="0"/>
            </w:tcBorders>
            <w:noWrap w:val="0"/>
            <w:vAlign w:val="center"/>
          </w:tcPr>
          <w:p w14:paraId="0B48A4A2">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14:paraId="0E7C6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39" w:hRule="atLeast"/>
        </w:trPr>
        <w:tc>
          <w:tcPr>
            <w:tcW w:w="714" w:type="dxa"/>
            <w:vMerge w:val="continue"/>
            <w:tcBorders>
              <w:left w:val="single" w:color="auto" w:sz="4" w:space="0"/>
              <w:bottom w:val="single" w:color="auto" w:sz="4" w:space="0"/>
              <w:right w:val="single" w:color="auto" w:sz="4" w:space="0"/>
            </w:tcBorders>
            <w:noWrap w:val="0"/>
            <w:vAlign w:val="center"/>
          </w:tcPr>
          <w:p w14:paraId="5E9D43DE">
            <w:pPr>
              <w:spacing w:line="232" w:lineRule="exact"/>
              <w:jc w:val="center"/>
              <w:rPr>
                <w:rFonts w:ascii="宋体" w:hAnsi="宋体" w:eastAsia="宋体" w:cs="宋体"/>
                <w:color w:val="auto"/>
                <w:kern w:val="0"/>
                <w:sz w:val="15"/>
                <w:szCs w:val="15"/>
                <w:highlight w:val="none"/>
              </w:rPr>
            </w:pPr>
          </w:p>
        </w:tc>
        <w:tc>
          <w:tcPr>
            <w:tcW w:w="1626" w:type="dxa"/>
            <w:gridSpan w:val="2"/>
            <w:vMerge w:val="continue"/>
            <w:tcBorders>
              <w:left w:val="single" w:color="auto" w:sz="4" w:space="0"/>
              <w:bottom w:val="single" w:color="auto" w:sz="4" w:space="0"/>
              <w:right w:val="single" w:color="auto" w:sz="4" w:space="0"/>
            </w:tcBorders>
            <w:noWrap w:val="0"/>
            <w:vAlign w:val="center"/>
          </w:tcPr>
          <w:p w14:paraId="762EDB28">
            <w:pPr>
              <w:spacing w:line="232" w:lineRule="exact"/>
              <w:rPr>
                <w:rFonts w:ascii="宋体" w:hAnsi="宋体" w:eastAsia="宋体"/>
                <w:color w:val="auto"/>
                <w:sz w:val="15"/>
                <w:szCs w:val="15"/>
                <w:highlight w:val="none"/>
              </w:rPr>
            </w:pPr>
          </w:p>
        </w:tc>
        <w:tc>
          <w:tcPr>
            <w:tcW w:w="2981" w:type="dxa"/>
            <w:vMerge w:val="continue"/>
            <w:tcBorders>
              <w:left w:val="single" w:color="auto" w:sz="4" w:space="0"/>
              <w:bottom w:val="single" w:color="auto" w:sz="4" w:space="0"/>
              <w:right w:val="single" w:color="auto" w:sz="4" w:space="0"/>
            </w:tcBorders>
            <w:noWrap w:val="0"/>
            <w:vAlign w:val="center"/>
          </w:tcPr>
          <w:p w14:paraId="0E7BEB44">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49EAC901">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14:paraId="6C9A915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04B723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14:paraId="1CA3B5B7">
            <w:pPr>
              <w:spacing w:line="232" w:lineRule="exact"/>
              <w:jc w:val="left"/>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未单独堆放在生活垃圾分类管理责任人指定的地点，系数0-1；</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1700E14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6D2C1FB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1304" w:type="dxa"/>
            <w:gridSpan w:val="2"/>
            <w:vMerge w:val="continue"/>
            <w:tcBorders>
              <w:left w:val="single" w:color="auto" w:sz="4" w:space="0"/>
              <w:bottom w:val="single" w:color="auto" w:sz="4" w:space="0"/>
              <w:right w:val="single" w:color="auto" w:sz="4" w:space="0"/>
            </w:tcBorders>
            <w:noWrap w:val="0"/>
            <w:vAlign w:val="center"/>
          </w:tcPr>
          <w:p w14:paraId="6C479655">
            <w:pPr>
              <w:spacing w:line="232" w:lineRule="exact"/>
              <w:jc w:val="center"/>
              <w:rPr>
                <w:rFonts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5FD12031">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14:paraId="66E8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75" w:hRule="atLeast"/>
        </w:trPr>
        <w:tc>
          <w:tcPr>
            <w:tcW w:w="714" w:type="dxa"/>
            <w:vMerge w:val="restart"/>
            <w:tcBorders>
              <w:left w:val="single" w:color="auto" w:sz="4" w:space="0"/>
              <w:right w:val="single" w:color="auto" w:sz="4" w:space="0"/>
            </w:tcBorders>
            <w:noWrap w:val="0"/>
            <w:vAlign w:val="center"/>
          </w:tcPr>
          <w:p w14:paraId="3EA5528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vMerge w:val="restart"/>
            <w:tcBorders>
              <w:left w:val="single" w:color="auto" w:sz="4" w:space="0"/>
              <w:right w:val="single" w:color="auto" w:sz="4" w:space="0"/>
            </w:tcBorders>
            <w:noWrap w:val="0"/>
            <w:vAlign w:val="center"/>
          </w:tcPr>
          <w:p w14:paraId="5FD02E6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农村村民产生的灰土未按规定投放的</w:t>
            </w:r>
          </w:p>
        </w:tc>
        <w:tc>
          <w:tcPr>
            <w:tcW w:w="2981" w:type="dxa"/>
            <w:vMerge w:val="restart"/>
            <w:tcBorders>
              <w:top w:val="single" w:color="auto" w:sz="4" w:space="0"/>
              <w:left w:val="single" w:color="auto" w:sz="4" w:space="0"/>
              <w:right w:val="single" w:color="auto" w:sz="4" w:space="0"/>
            </w:tcBorders>
            <w:noWrap w:val="0"/>
            <w:vAlign w:val="center"/>
          </w:tcPr>
          <w:p w14:paraId="695B889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63466FA2">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14:paraId="4DAA7E2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right w:val="single" w:color="auto" w:sz="4" w:space="0"/>
            </w:tcBorders>
            <w:noWrap w:val="0"/>
            <w:vAlign w:val="center"/>
          </w:tcPr>
          <w:p w14:paraId="4FE0B9EB">
            <w:pPr>
              <w:spacing w:line="232" w:lineRule="exact"/>
              <w:jc w:val="center"/>
              <w:rPr>
                <w:rFonts w:ascii="宋体" w:hAnsi="宋体" w:eastAsia="宋体" w:cs="宋体"/>
                <w:color w:val="auto"/>
                <w:kern w:val="0"/>
                <w:sz w:val="15"/>
                <w:szCs w:val="15"/>
                <w:highlight w:val="none"/>
              </w:rPr>
            </w:pPr>
          </w:p>
        </w:tc>
        <w:tc>
          <w:tcPr>
            <w:tcW w:w="2376" w:type="dxa"/>
            <w:tcBorders>
              <w:top w:val="single" w:color="auto" w:sz="4" w:space="0"/>
              <w:left w:val="single" w:color="auto" w:sz="4" w:space="0"/>
              <w:right w:val="single" w:color="auto" w:sz="4" w:space="0"/>
            </w:tcBorders>
            <w:noWrap w:val="0"/>
            <w:vAlign w:val="center"/>
          </w:tcPr>
          <w:p w14:paraId="09934BC7">
            <w:pPr>
              <w:spacing w:line="232" w:lineRule="exact"/>
              <w:jc w:val="left"/>
              <w:rPr>
                <w:rFonts w:hint="eastAsia" w:ascii="宋体" w:hAnsi="宋体" w:eastAsia="宋体"/>
                <w:color w:val="auto"/>
                <w:sz w:val="15"/>
                <w:szCs w:val="15"/>
                <w:highlight w:val="none"/>
                <w:lang w:eastAsia="zh-CN"/>
              </w:rPr>
            </w:pPr>
          </w:p>
        </w:tc>
        <w:tc>
          <w:tcPr>
            <w:tcW w:w="1875" w:type="dxa"/>
            <w:gridSpan w:val="2"/>
            <w:tcBorders>
              <w:top w:val="single" w:color="auto" w:sz="4" w:space="0"/>
              <w:left w:val="single" w:color="auto" w:sz="4" w:space="0"/>
              <w:right w:val="single" w:color="auto" w:sz="4" w:space="0"/>
            </w:tcBorders>
            <w:noWrap w:val="0"/>
            <w:vAlign w:val="center"/>
          </w:tcPr>
          <w:p w14:paraId="1A933158">
            <w:pPr>
              <w:spacing w:line="232" w:lineRule="exact"/>
              <w:rPr>
                <w:rFonts w:ascii="宋体" w:hAnsi="宋体" w:eastAsia="宋体" w:cs="宋体"/>
                <w:color w:val="auto"/>
                <w:kern w:val="0"/>
                <w:sz w:val="15"/>
                <w:szCs w:val="15"/>
                <w:highlight w:val="none"/>
              </w:rPr>
            </w:pPr>
          </w:p>
        </w:tc>
        <w:tc>
          <w:tcPr>
            <w:tcW w:w="2020" w:type="dxa"/>
            <w:gridSpan w:val="2"/>
            <w:vMerge w:val="restart"/>
            <w:tcBorders>
              <w:top w:val="single" w:color="auto" w:sz="4" w:space="0"/>
              <w:left w:val="single" w:color="auto" w:sz="4" w:space="0"/>
              <w:right w:val="single" w:color="auto" w:sz="4" w:space="0"/>
            </w:tcBorders>
            <w:noWrap w:val="0"/>
            <w:vAlign w:val="center"/>
          </w:tcPr>
          <w:p w14:paraId="76E8718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1304" w:type="dxa"/>
            <w:gridSpan w:val="2"/>
            <w:tcBorders>
              <w:top w:val="single" w:color="auto" w:sz="4" w:space="0"/>
              <w:left w:val="single" w:color="auto" w:sz="4" w:space="0"/>
              <w:right w:val="single" w:color="auto" w:sz="4" w:space="0"/>
            </w:tcBorders>
            <w:noWrap w:val="0"/>
            <w:vAlign w:val="center"/>
          </w:tcPr>
          <w:p w14:paraId="29DECD7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DBF8B48">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tcBorders>
              <w:top w:val="single" w:color="auto" w:sz="4" w:space="0"/>
              <w:left w:val="single" w:color="auto" w:sz="4" w:space="0"/>
              <w:right w:val="single" w:color="auto" w:sz="4" w:space="0"/>
            </w:tcBorders>
            <w:noWrap w:val="0"/>
            <w:vAlign w:val="center"/>
          </w:tcPr>
          <w:p w14:paraId="12D6E23D">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C4648000</w:t>
            </w:r>
          </w:p>
        </w:tc>
      </w:tr>
      <w:tr w14:paraId="7D3C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27" w:hRule="atLeast"/>
        </w:trPr>
        <w:tc>
          <w:tcPr>
            <w:tcW w:w="714" w:type="dxa"/>
            <w:vMerge w:val="continue"/>
            <w:tcBorders>
              <w:left w:val="single" w:color="auto" w:sz="4" w:space="0"/>
              <w:right w:val="single" w:color="auto" w:sz="4" w:space="0"/>
            </w:tcBorders>
            <w:noWrap w:val="0"/>
            <w:vAlign w:val="center"/>
          </w:tcPr>
          <w:p w14:paraId="12C4DB18">
            <w:pPr>
              <w:spacing w:line="232" w:lineRule="exact"/>
              <w:jc w:val="center"/>
              <w:rPr>
                <w:rFonts w:ascii="宋体" w:hAnsi="宋体" w:eastAsia="宋体" w:cs="宋体"/>
                <w:color w:val="auto"/>
                <w:kern w:val="0"/>
                <w:sz w:val="15"/>
                <w:szCs w:val="15"/>
                <w:highlight w:val="none"/>
              </w:rPr>
            </w:pPr>
          </w:p>
        </w:tc>
        <w:tc>
          <w:tcPr>
            <w:tcW w:w="1626" w:type="dxa"/>
            <w:gridSpan w:val="2"/>
            <w:vMerge w:val="continue"/>
            <w:tcBorders>
              <w:left w:val="single" w:color="auto" w:sz="4" w:space="0"/>
              <w:right w:val="single" w:color="auto" w:sz="4" w:space="0"/>
            </w:tcBorders>
            <w:noWrap w:val="0"/>
            <w:vAlign w:val="center"/>
          </w:tcPr>
          <w:p w14:paraId="014E7AE1">
            <w:pPr>
              <w:spacing w:line="232" w:lineRule="exact"/>
              <w:rPr>
                <w:rFonts w:ascii="宋体" w:hAnsi="宋体" w:eastAsia="宋体"/>
                <w:color w:val="auto"/>
                <w:sz w:val="15"/>
                <w:szCs w:val="15"/>
                <w:highlight w:val="none"/>
              </w:rPr>
            </w:pPr>
          </w:p>
        </w:tc>
        <w:tc>
          <w:tcPr>
            <w:tcW w:w="2981" w:type="dxa"/>
            <w:vMerge w:val="continue"/>
            <w:tcBorders>
              <w:left w:val="single" w:color="auto" w:sz="4" w:space="0"/>
              <w:right w:val="single" w:color="auto" w:sz="4" w:space="0"/>
            </w:tcBorders>
            <w:noWrap w:val="0"/>
            <w:vAlign w:val="center"/>
          </w:tcPr>
          <w:p w14:paraId="2BBA8875">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46644B09">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14:paraId="64FD6E9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left w:val="single" w:color="auto" w:sz="4" w:space="0"/>
              <w:bottom w:val="single" w:color="auto" w:sz="4" w:space="0"/>
              <w:right w:val="single" w:color="auto" w:sz="4" w:space="0"/>
            </w:tcBorders>
            <w:noWrap w:val="0"/>
            <w:vAlign w:val="center"/>
          </w:tcPr>
          <w:p w14:paraId="44007DF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left w:val="single" w:color="auto" w:sz="4" w:space="0"/>
              <w:bottom w:val="single" w:color="auto" w:sz="4" w:space="0"/>
              <w:right w:val="single" w:color="auto" w:sz="4" w:space="0"/>
            </w:tcBorders>
            <w:noWrap w:val="0"/>
            <w:vAlign w:val="center"/>
          </w:tcPr>
          <w:p w14:paraId="54FA4C87">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1.未单独投放在相应的容器或者生活垃圾分类管理责任人指定的地点，系数0-1；</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left w:val="single" w:color="auto" w:sz="4" w:space="0"/>
              <w:bottom w:val="single" w:color="auto" w:sz="4" w:space="0"/>
              <w:right w:val="single" w:color="auto" w:sz="4" w:space="0"/>
            </w:tcBorders>
            <w:noWrap w:val="0"/>
            <w:vAlign w:val="center"/>
          </w:tcPr>
          <w:p w14:paraId="4215256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tcBorders>
              <w:left w:val="single" w:color="auto" w:sz="4" w:space="0"/>
              <w:bottom w:val="single" w:color="auto" w:sz="4" w:space="0"/>
              <w:right w:val="single" w:color="auto" w:sz="4" w:space="0"/>
            </w:tcBorders>
            <w:noWrap w:val="0"/>
            <w:vAlign w:val="center"/>
          </w:tcPr>
          <w:p w14:paraId="30E1AA49">
            <w:pPr>
              <w:spacing w:line="232" w:lineRule="exact"/>
              <w:rPr>
                <w:rFonts w:ascii="宋体" w:hAnsi="宋体" w:eastAsia="宋体" w:cs="宋体"/>
                <w:color w:val="auto"/>
                <w:kern w:val="0"/>
                <w:sz w:val="15"/>
                <w:szCs w:val="15"/>
                <w:highlight w:val="none"/>
              </w:rPr>
            </w:pPr>
          </w:p>
        </w:tc>
        <w:tc>
          <w:tcPr>
            <w:tcW w:w="1304" w:type="dxa"/>
            <w:gridSpan w:val="2"/>
            <w:tcBorders>
              <w:left w:val="single" w:color="auto" w:sz="4" w:space="0"/>
              <w:bottom w:val="single" w:color="auto" w:sz="4" w:space="0"/>
              <w:right w:val="single" w:color="auto" w:sz="4" w:space="0"/>
            </w:tcBorders>
            <w:noWrap w:val="0"/>
            <w:vAlign w:val="center"/>
          </w:tcPr>
          <w:p w14:paraId="68A281F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310A210">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tcBorders>
              <w:left w:val="single" w:color="auto" w:sz="4" w:space="0"/>
              <w:bottom w:val="single" w:color="auto" w:sz="4" w:space="0"/>
              <w:right w:val="single" w:color="auto" w:sz="4" w:space="0"/>
            </w:tcBorders>
            <w:noWrap w:val="0"/>
            <w:vAlign w:val="center"/>
          </w:tcPr>
          <w:p w14:paraId="004C3DE9">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p>
        </w:tc>
      </w:tr>
      <w:tr w14:paraId="43C5A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15" w:hRule="atLeast"/>
        </w:trPr>
        <w:tc>
          <w:tcPr>
            <w:tcW w:w="714" w:type="dxa"/>
            <w:vMerge w:val="restart"/>
            <w:tcBorders>
              <w:left w:val="single" w:color="auto" w:sz="4" w:space="0"/>
              <w:right w:val="single" w:color="auto" w:sz="4" w:space="0"/>
            </w:tcBorders>
            <w:noWrap w:val="0"/>
            <w:vAlign w:val="center"/>
          </w:tcPr>
          <w:p w14:paraId="54043E8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vMerge w:val="restart"/>
            <w:tcBorders>
              <w:left w:val="single" w:color="auto" w:sz="4" w:space="0"/>
              <w:right w:val="single" w:color="auto" w:sz="4" w:space="0"/>
            </w:tcBorders>
            <w:noWrap w:val="0"/>
            <w:vAlign w:val="center"/>
          </w:tcPr>
          <w:p w14:paraId="63A4528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居民装饰装修房屋过程中产生的建筑垃圾未按指定的时间、地点和要求单独堆放</w:t>
            </w:r>
          </w:p>
        </w:tc>
        <w:tc>
          <w:tcPr>
            <w:tcW w:w="2981" w:type="dxa"/>
            <w:vMerge w:val="restart"/>
            <w:tcBorders>
              <w:top w:val="single" w:color="auto" w:sz="4" w:space="0"/>
              <w:left w:val="single" w:color="auto" w:sz="4" w:space="0"/>
              <w:right w:val="single" w:color="auto" w:sz="4" w:space="0"/>
            </w:tcBorders>
            <w:noWrap w:val="0"/>
            <w:vAlign w:val="center"/>
          </w:tcPr>
          <w:p w14:paraId="7AF4977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8A1840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14:paraId="075DF70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D920487">
            <w:pPr>
              <w:spacing w:line="232" w:lineRule="exact"/>
              <w:jc w:val="center"/>
              <w:rPr>
                <w:rFonts w:ascii="宋体" w:hAnsi="宋体" w:eastAsia="宋体" w:cs="宋体"/>
                <w:color w:val="auto"/>
                <w:kern w:val="0"/>
                <w:sz w:val="15"/>
                <w:szCs w:val="15"/>
                <w:highlight w:val="none"/>
              </w:rPr>
            </w:pPr>
          </w:p>
        </w:tc>
        <w:tc>
          <w:tcPr>
            <w:tcW w:w="2376" w:type="dxa"/>
            <w:tcBorders>
              <w:top w:val="single" w:color="auto" w:sz="4" w:space="0"/>
              <w:left w:val="single" w:color="auto" w:sz="4" w:space="0"/>
              <w:right w:val="single" w:color="auto" w:sz="4" w:space="0"/>
            </w:tcBorders>
            <w:noWrap w:val="0"/>
            <w:vAlign w:val="center"/>
          </w:tcPr>
          <w:p w14:paraId="7C4A5ED9">
            <w:pPr>
              <w:spacing w:line="232" w:lineRule="exact"/>
              <w:rPr>
                <w:rFonts w:hint="default" w:ascii="宋体" w:hAnsi="宋体" w:eastAsia="宋体"/>
                <w:color w:val="auto"/>
                <w:sz w:val="15"/>
                <w:szCs w:val="15"/>
                <w:highlight w:val="none"/>
                <w:lang w:val="en-US"/>
              </w:rPr>
            </w:pPr>
          </w:p>
        </w:tc>
        <w:tc>
          <w:tcPr>
            <w:tcW w:w="1875" w:type="dxa"/>
            <w:gridSpan w:val="2"/>
            <w:tcBorders>
              <w:top w:val="single" w:color="auto" w:sz="4" w:space="0"/>
              <w:left w:val="single" w:color="auto" w:sz="4" w:space="0"/>
              <w:right w:val="single" w:color="auto" w:sz="4" w:space="0"/>
            </w:tcBorders>
            <w:noWrap w:val="0"/>
            <w:vAlign w:val="center"/>
          </w:tcPr>
          <w:p w14:paraId="677852CB">
            <w:pPr>
              <w:spacing w:line="232" w:lineRule="exact"/>
              <w:rPr>
                <w:rFonts w:ascii="宋体" w:hAnsi="宋体" w:eastAsia="宋体" w:cs="宋体"/>
                <w:color w:val="auto"/>
                <w:kern w:val="0"/>
                <w:sz w:val="15"/>
                <w:szCs w:val="15"/>
                <w:highlight w:val="none"/>
              </w:rPr>
            </w:pPr>
          </w:p>
        </w:tc>
        <w:tc>
          <w:tcPr>
            <w:tcW w:w="2020" w:type="dxa"/>
            <w:gridSpan w:val="2"/>
            <w:vMerge w:val="restart"/>
            <w:tcBorders>
              <w:top w:val="single" w:color="auto" w:sz="4" w:space="0"/>
              <w:left w:val="single" w:color="auto" w:sz="4" w:space="0"/>
              <w:right w:val="single" w:color="auto" w:sz="4" w:space="0"/>
            </w:tcBorders>
            <w:noWrap w:val="0"/>
            <w:vAlign w:val="center"/>
          </w:tcPr>
          <w:p w14:paraId="2D43B39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1304" w:type="dxa"/>
            <w:gridSpan w:val="2"/>
            <w:vMerge w:val="restart"/>
            <w:tcBorders>
              <w:top w:val="single" w:color="auto" w:sz="4" w:space="0"/>
              <w:left w:val="single" w:color="auto" w:sz="4" w:space="0"/>
              <w:right w:val="single" w:color="auto" w:sz="4" w:space="0"/>
            </w:tcBorders>
            <w:noWrap w:val="0"/>
            <w:vAlign w:val="center"/>
          </w:tcPr>
          <w:p w14:paraId="5192025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2A1607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tcBorders>
              <w:top w:val="single" w:color="auto" w:sz="4" w:space="0"/>
              <w:left w:val="single" w:color="auto" w:sz="4" w:space="0"/>
              <w:right w:val="single" w:color="auto" w:sz="4" w:space="0"/>
            </w:tcBorders>
            <w:noWrap w:val="0"/>
            <w:vAlign w:val="center"/>
          </w:tcPr>
          <w:p w14:paraId="5E1CFCE6">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C4648000</w:t>
            </w:r>
          </w:p>
        </w:tc>
      </w:tr>
      <w:tr w14:paraId="288ED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11" w:hRule="atLeast"/>
        </w:trPr>
        <w:tc>
          <w:tcPr>
            <w:tcW w:w="714" w:type="dxa"/>
            <w:vMerge w:val="continue"/>
            <w:tcBorders>
              <w:left w:val="single" w:color="auto" w:sz="4" w:space="0"/>
              <w:bottom w:val="single" w:color="auto" w:sz="4" w:space="0"/>
              <w:right w:val="single" w:color="auto" w:sz="4" w:space="0"/>
            </w:tcBorders>
            <w:noWrap w:val="0"/>
            <w:vAlign w:val="center"/>
          </w:tcPr>
          <w:p w14:paraId="09BC5476">
            <w:pPr>
              <w:spacing w:line="232" w:lineRule="exact"/>
              <w:jc w:val="center"/>
              <w:rPr>
                <w:rFonts w:ascii="宋体" w:hAnsi="宋体" w:eastAsia="宋体" w:cs="宋体"/>
                <w:color w:val="auto"/>
                <w:kern w:val="0"/>
                <w:sz w:val="15"/>
                <w:szCs w:val="15"/>
                <w:highlight w:val="none"/>
              </w:rPr>
            </w:pPr>
          </w:p>
        </w:tc>
        <w:tc>
          <w:tcPr>
            <w:tcW w:w="1626" w:type="dxa"/>
            <w:gridSpan w:val="2"/>
            <w:vMerge w:val="continue"/>
            <w:tcBorders>
              <w:left w:val="single" w:color="auto" w:sz="4" w:space="0"/>
              <w:bottom w:val="single" w:color="auto" w:sz="4" w:space="0"/>
              <w:right w:val="single" w:color="auto" w:sz="4" w:space="0"/>
            </w:tcBorders>
            <w:noWrap w:val="0"/>
            <w:vAlign w:val="center"/>
          </w:tcPr>
          <w:p w14:paraId="36B785FC">
            <w:pPr>
              <w:spacing w:line="232" w:lineRule="exact"/>
              <w:rPr>
                <w:rFonts w:ascii="宋体" w:hAnsi="宋体" w:eastAsia="宋体"/>
                <w:color w:val="auto"/>
                <w:sz w:val="15"/>
                <w:szCs w:val="15"/>
                <w:highlight w:val="none"/>
              </w:rPr>
            </w:pPr>
          </w:p>
        </w:tc>
        <w:tc>
          <w:tcPr>
            <w:tcW w:w="2981" w:type="dxa"/>
            <w:vMerge w:val="continue"/>
            <w:tcBorders>
              <w:left w:val="single" w:color="auto" w:sz="4" w:space="0"/>
              <w:bottom w:val="single" w:color="auto" w:sz="4" w:space="0"/>
              <w:right w:val="single" w:color="auto" w:sz="4" w:space="0"/>
            </w:tcBorders>
            <w:noWrap w:val="0"/>
            <w:vAlign w:val="center"/>
          </w:tcPr>
          <w:p w14:paraId="14F35913">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1743375D">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14:paraId="681CCE9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6E537C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left w:val="single" w:color="auto" w:sz="4" w:space="0"/>
              <w:bottom w:val="single" w:color="auto" w:sz="4" w:space="0"/>
              <w:right w:val="single" w:color="auto" w:sz="4" w:space="0"/>
            </w:tcBorders>
            <w:noWrap w:val="0"/>
            <w:vAlign w:val="center"/>
          </w:tcPr>
          <w:p w14:paraId="4AAE2212">
            <w:pPr>
              <w:spacing w:line="232" w:lineRule="exact"/>
              <w:rPr>
                <w:rFonts w:hint="default"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1.未单独堆放在生活垃圾分类管理责任人指定的地点，系数0-1；</w:t>
            </w:r>
            <w:r>
              <w:rPr>
                <w:rFonts w:hint="eastAsia" w:ascii="宋体" w:hAnsi="宋体" w:eastAsia="宋体" w:cs="宋体"/>
                <w:color w:val="auto"/>
                <w:kern w:val="0"/>
                <w:sz w:val="15"/>
                <w:szCs w:val="15"/>
                <w:highlight w:val="none"/>
              </w:rPr>
              <w:t>2.占地面积在5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left w:val="single" w:color="auto" w:sz="4" w:space="0"/>
              <w:bottom w:val="single" w:color="auto" w:sz="4" w:space="0"/>
              <w:right w:val="single" w:color="auto" w:sz="4" w:space="0"/>
            </w:tcBorders>
            <w:noWrap w:val="0"/>
            <w:vAlign w:val="center"/>
          </w:tcPr>
          <w:p w14:paraId="11ACED7B">
            <w:pPr>
              <w:spacing w:line="232" w:lineRule="exact"/>
              <w:rPr>
                <w:rFonts w:hint="default"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tcBorders>
              <w:left w:val="single" w:color="auto" w:sz="4" w:space="0"/>
              <w:bottom w:val="single" w:color="auto" w:sz="4" w:space="0"/>
              <w:right w:val="single" w:color="auto" w:sz="4" w:space="0"/>
            </w:tcBorders>
            <w:noWrap w:val="0"/>
            <w:vAlign w:val="center"/>
          </w:tcPr>
          <w:p w14:paraId="2F59A94C">
            <w:pPr>
              <w:spacing w:line="232" w:lineRule="exact"/>
              <w:rPr>
                <w:rFonts w:ascii="宋体" w:hAnsi="宋体" w:eastAsia="宋体" w:cs="宋体"/>
                <w:color w:val="auto"/>
                <w:kern w:val="0"/>
                <w:sz w:val="15"/>
                <w:szCs w:val="15"/>
                <w:highlight w:val="none"/>
              </w:rPr>
            </w:pPr>
          </w:p>
        </w:tc>
        <w:tc>
          <w:tcPr>
            <w:tcW w:w="1304" w:type="dxa"/>
            <w:gridSpan w:val="2"/>
            <w:vMerge w:val="continue"/>
            <w:tcBorders>
              <w:left w:val="single" w:color="auto" w:sz="4" w:space="0"/>
              <w:bottom w:val="single" w:color="auto" w:sz="4" w:space="0"/>
              <w:right w:val="single" w:color="auto" w:sz="4" w:space="0"/>
            </w:tcBorders>
            <w:noWrap w:val="0"/>
            <w:vAlign w:val="center"/>
          </w:tcPr>
          <w:p w14:paraId="16AC0B2D">
            <w:pPr>
              <w:spacing w:line="232" w:lineRule="exact"/>
              <w:jc w:val="center"/>
              <w:rPr>
                <w:rFonts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36FD2BFF">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14:paraId="09EE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60" w:hRule="atLeast"/>
        </w:trPr>
        <w:tc>
          <w:tcPr>
            <w:tcW w:w="714" w:type="dxa"/>
            <w:noWrap w:val="0"/>
            <w:vAlign w:val="center"/>
          </w:tcPr>
          <w:p w14:paraId="0BCE998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14:paraId="05E59878">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未建立生活垃圾分类日常管理制度</w:t>
            </w:r>
          </w:p>
        </w:tc>
        <w:tc>
          <w:tcPr>
            <w:tcW w:w="2981" w:type="dxa"/>
            <w:noWrap w:val="0"/>
            <w:vAlign w:val="center"/>
          </w:tcPr>
          <w:p w14:paraId="5421664A">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违反条款：第三十六条第一款第（一）项；处罚条款：第六十九条第一款 责令立即改正，处三千元以上三万元以下罚款。　</w:t>
            </w:r>
          </w:p>
        </w:tc>
        <w:tc>
          <w:tcPr>
            <w:tcW w:w="851" w:type="dxa"/>
            <w:noWrap w:val="0"/>
            <w:vAlign w:val="center"/>
          </w:tcPr>
          <w:p w14:paraId="16C86AB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14:paraId="0D6E632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noWrap w:val="0"/>
            <w:vAlign w:val="center"/>
          </w:tcPr>
          <w:p w14:paraId="6A2F67B3">
            <w:pPr>
              <w:spacing w:line="232" w:lineRule="exact"/>
              <w:jc w:val="both"/>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1.同时存在第三十六条第一款第（一）、（二）、（三）、（四）、（六）项违法行为中2项行为的，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1-2；3项及以上行为的，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3-5；2</w:t>
            </w:r>
            <w:r>
              <w:rPr>
                <w:rFonts w:hint="default" w:ascii="宋体" w:hAnsi="宋体" w:eastAsia="宋体"/>
                <w:color w:val="auto"/>
                <w:sz w:val="15"/>
                <w:szCs w:val="15"/>
                <w:highlight w:val="none"/>
                <w:lang w:val="en-US"/>
              </w:rPr>
              <w:t>.</w:t>
            </w:r>
            <w:r>
              <w:rPr>
                <w:rFonts w:hint="eastAsia" w:ascii="宋体" w:hAnsi="宋体" w:eastAsia="宋体"/>
                <w:color w:val="auto"/>
                <w:sz w:val="15"/>
                <w:szCs w:val="15"/>
                <w:highlight w:val="none"/>
              </w:rPr>
              <w:t>生活垃圾分类</w:t>
            </w:r>
            <w:r>
              <w:rPr>
                <w:rFonts w:ascii="宋体" w:hAnsi="宋体" w:eastAsia="宋体"/>
                <w:color w:val="auto"/>
                <w:sz w:val="15"/>
                <w:szCs w:val="15"/>
                <w:highlight w:val="none"/>
              </w:rPr>
              <w:t>管理责任人未履行法律规定</w:t>
            </w:r>
            <w:r>
              <w:rPr>
                <w:rFonts w:hint="eastAsia" w:ascii="宋体" w:hAnsi="宋体" w:eastAsia="宋体"/>
                <w:color w:val="auto"/>
                <w:sz w:val="15"/>
                <w:szCs w:val="15"/>
                <w:highlight w:val="none"/>
              </w:rPr>
              <w:t>责任</w:t>
            </w:r>
            <w:r>
              <w:rPr>
                <w:rFonts w:ascii="宋体" w:hAnsi="宋体" w:eastAsia="宋体"/>
                <w:color w:val="auto"/>
                <w:sz w:val="15"/>
                <w:szCs w:val="15"/>
                <w:highlight w:val="none"/>
              </w:rPr>
              <w:t>或</w:t>
            </w:r>
            <w:r>
              <w:rPr>
                <w:rFonts w:hint="eastAsia" w:ascii="宋体" w:hAnsi="宋体" w:eastAsia="宋体"/>
                <w:color w:val="auto"/>
                <w:sz w:val="15"/>
                <w:szCs w:val="15"/>
                <w:highlight w:val="none"/>
              </w:rPr>
              <w:t>因生活垃圾分类收集容器配备不足造成垃圾满冒或随意堆放造成环境秩序较严重影响的，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14:paraId="26B7A34B">
            <w:pPr>
              <w:spacing w:line="232" w:lineRule="exact"/>
              <w:jc w:val="both"/>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w:t>
            </w:r>
          </w:p>
        </w:tc>
        <w:tc>
          <w:tcPr>
            <w:tcW w:w="1875" w:type="dxa"/>
            <w:gridSpan w:val="2"/>
            <w:noWrap w:val="0"/>
            <w:vAlign w:val="center"/>
          </w:tcPr>
          <w:p w14:paraId="1DBC6F6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29CBCAB4">
            <w:pPr>
              <w:spacing w:line="232" w:lineRule="exact"/>
              <w:rPr>
                <w:rFonts w:ascii="宋体" w:hAnsi="宋体" w:eastAsia="宋体"/>
                <w:color w:val="auto"/>
                <w:sz w:val="15"/>
                <w:szCs w:val="15"/>
                <w:highlight w:val="none"/>
              </w:rPr>
            </w:pPr>
          </w:p>
        </w:tc>
        <w:tc>
          <w:tcPr>
            <w:tcW w:w="1304" w:type="dxa"/>
            <w:gridSpan w:val="2"/>
            <w:noWrap w:val="0"/>
            <w:vAlign w:val="center"/>
          </w:tcPr>
          <w:p w14:paraId="1548AA7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614B1F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EF0BD77">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C4607800</w:t>
            </w:r>
          </w:p>
        </w:tc>
      </w:tr>
      <w:tr w14:paraId="13EA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26" w:hRule="atLeast"/>
        </w:trPr>
        <w:tc>
          <w:tcPr>
            <w:tcW w:w="714" w:type="dxa"/>
            <w:noWrap w:val="0"/>
            <w:vAlign w:val="center"/>
          </w:tcPr>
          <w:p w14:paraId="41380C9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14:paraId="1179B19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未开展宣传或未指定专人负责指导、监督垃圾分类工作</w:t>
            </w:r>
          </w:p>
        </w:tc>
        <w:tc>
          <w:tcPr>
            <w:tcW w:w="2981" w:type="dxa"/>
            <w:noWrap w:val="0"/>
            <w:vAlign w:val="center"/>
          </w:tcPr>
          <w:p w14:paraId="4EB7BBD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违反条款：第三十六条第一款第（二）项；处罚条款：第六十九条第一款 责令立即改正，处三千元以上三万元以下罚款。　</w:t>
            </w:r>
          </w:p>
        </w:tc>
        <w:tc>
          <w:tcPr>
            <w:tcW w:w="851" w:type="dxa"/>
            <w:noWrap w:val="0"/>
            <w:vAlign w:val="center"/>
          </w:tcPr>
          <w:p w14:paraId="6A4BD77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14:paraId="4BC98D8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noWrap w:val="0"/>
            <w:vAlign w:val="center"/>
          </w:tcPr>
          <w:p w14:paraId="6B427896">
            <w:pPr>
              <w:spacing w:line="232" w:lineRule="exact"/>
              <w:rPr>
                <w:rFonts w:ascii="宋体" w:hAnsi="宋体" w:eastAsia="宋体"/>
                <w:color w:val="auto"/>
                <w:sz w:val="15"/>
                <w:szCs w:val="15"/>
                <w:highlight w:val="none"/>
              </w:rPr>
            </w:pPr>
          </w:p>
        </w:tc>
        <w:tc>
          <w:tcPr>
            <w:tcW w:w="1875" w:type="dxa"/>
            <w:gridSpan w:val="2"/>
            <w:noWrap w:val="0"/>
            <w:vAlign w:val="center"/>
          </w:tcPr>
          <w:p w14:paraId="5F1D7ED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6679C53F">
            <w:pPr>
              <w:spacing w:line="232" w:lineRule="exact"/>
              <w:rPr>
                <w:rFonts w:ascii="宋体" w:hAnsi="宋体" w:eastAsia="宋体"/>
                <w:color w:val="auto"/>
                <w:sz w:val="15"/>
                <w:szCs w:val="15"/>
                <w:highlight w:val="none"/>
              </w:rPr>
            </w:pPr>
          </w:p>
        </w:tc>
        <w:tc>
          <w:tcPr>
            <w:tcW w:w="1304" w:type="dxa"/>
            <w:gridSpan w:val="2"/>
            <w:noWrap w:val="0"/>
            <w:vAlign w:val="center"/>
          </w:tcPr>
          <w:p w14:paraId="1BD81C1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80CF80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4827F4B">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C4647900</w:t>
            </w:r>
          </w:p>
        </w:tc>
      </w:tr>
      <w:tr w14:paraId="53D8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04" w:hRule="atLeast"/>
        </w:trPr>
        <w:tc>
          <w:tcPr>
            <w:tcW w:w="714" w:type="dxa"/>
            <w:noWrap w:val="0"/>
            <w:vAlign w:val="center"/>
          </w:tcPr>
          <w:p w14:paraId="3B40144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14:paraId="39101DF8">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未按规定设置生活垃圾分类收集容器</w:t>
            </w:r>
          </w:p>
        </w:tc>
        <w:tc>
          <w:tcPr>
            <w:tcW w:w="2981" w:type="dxa"/>
            <w:noWrap w:val="0"/>
            <w:vAlign w:val="center"/>
          </w:tcPr>
          <w:p w14:paraId="0E67139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违反条款：第三十六条第一款第（三）项；处罚条款：第六十九条第一款 责令立即改正，处三千元以上三万元以下罚款。　</w:t>
            </w:r>
          </w:p>
        </w:tc>
        <w:tc>
          <w:tcPr>
            <w:tcW w:w="851" w:type="dxa"/>
            <w:noWrap w:val="0"/>
            <w:vAlign w:val="center"/>
          </w:tcPr>
          <w:p w14:paraId="367CDF2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14:paraId="3A1A753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noWrap w:val="0"/>
            <w:vAlign w:val="center"/>
          </w:tcPr>
          <w:p w14:paraId="08EDB365">
            <w:pPr>
              <w:spacing w:line="232" w:lineRule="exact"/>
              <w:rPr>
                <w:rFonts w:ascii="宋体" w:hAnsi="宋体" w:eastAsia="宋体"/>
                <w:color w:val="auto"/>
                <w:sz w:val="15"/>
                <w:szCs w:val="15"/>
                <w:highlight w:val="none"/>
              </w:rPr>
            </w:pPr>
          </w:p>
        </w:tc>
        <w:tc>
          <w:tcPr>
            <w:tcW w:w="1875" w:type="dxa"/>
            <w:gridSpan w:val="2"/>
            <w:noWrap w:val="0"/>
            <w:vAlign w:val="center"/>
          </w:tcPr>
          <w:p w14:paraId="368D2F1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527A1AB1">
            <w:pPr>
              <w:spacing w:line="232" w:lineRule="exact"/>
              <w:rPr>
                <w:rFonts w:ascii="宋体" w:hAnsi="宋体" w:eastAsia="宋体"/>
                <w:color w:val="auto"/>
                <w:sz w:val="15"/>
                <w:szCs w:val="15"/>
                <w:highlight w:val="none"/>
              </w:rPr>
            </w:pPr>
          </w:p>
        </w:tc>
        <w:tc>
          <w:tcPr>
            <w:tcW w:w="1304" w:type="dxa"/>
            <w:gridSpan w:val="2"/>
            <w:noWrap w:val="0"/>
            <w:vAlign w:val="center"/>
          </w:tcPr>
          <w:p w14:paraId="6E6A355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600D63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8F2D315">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C4607900</w:t>
            </w:r>
          </w:p>
        </w:tc>
      </w:tr>
      <w:tr w14:paraId="2053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58" w:hRule="atLeast"/>
        </w:trPr>
        <w:tc>
          <w:tcPr>
            <w:tcW w:w="714" w:type="dxa"/>
            <w:noWrap w:val="0"/>
            <w:vAlign w:val="center"/>
          </w:tcPr>
          <w:p w14:paraId="63E3B88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14:paraId="5160CDF9">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未按规定管护生活垃圾分类收集容器</w:t>
            </w:r>
          </w:p>
        </w:tc>
        <w:tc>
          <w:tcPr>
            <w:tcW w:w="2981" w:type="dxa"/>
            <w:noWrap w:val="0"/>
            <w:vAlign w:val="center"/>
          </w:tcPr>
          <w:p w14:paraId="18D462AD">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违反条款：第三十六条第一款第（三）项；处罚条款：第六十九条第一款 责令立即改正，处三千元以上三万元以下罚款。　</w:t>
            </w:r>
          </w:p>
        </w:tc>
        <w:tc>
          <w:tcPr>
            <w:tcW w:w="851" w:type="dxa"/>
            <w:noWrap w:val="0"/>
            <w:vAlign w:val="center"/>
          </w:tcPr>
          <w:p w14:paraId="5ABDA311">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14:paraId="059640FC">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noWrap w:val="0"/>
            <w:vAlign w:val="center"/>
          </w:tcPr>
          <w:p w14:paraId="59346B46">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14:paraId="324874C9">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45EE73DC">
            <w:pPr>
              <w:spacing w:line="232" w:lineRule="exact"/>
              <w:rPr>
                <w:rFonts w:ascii="宋体" w:hAnsi="宋体" w:eastAsia="宋体"/>
                <w:color w:val="auto"/>
                <w:sz w:val="15"/>
                <w:szCs w:val="15"/>
                <w:highlight w:val="none"/>
              </w:rPr>
            </w:pPr>
          </w:p>
        </w:tc>
        <w:tc>
          <w:tcPr>
            <w:tcW w:w="1304" w:type="dxa"/>
            <w:gridSpan w:val="2"/>
            <w:noWrap w:val="0"/>
            <w:vAlign w:val="center"/>
          </w:tcPr>
          <w:p w14:paraId="24DBBDA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D9ECA2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DEFFAB7">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C4607900</w:t>
            </w:r>
          </w:p>
        </w:tc>
      </w:tr>
      <w:tr w14:paraId="2D54D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61" w:hRule="atLeast"/>
        </w:trPr>
        <w:tc>
          <w:tcPr>
            <w:tcW w:w="714" w:type="dxa"/>
            <w:noWrap w:val="0"/>
            <w:vAlign w:val="center"/>
          </w:tcPr>
          <w:p w14:paraId="2281CAA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14:paraId="5EC8A223">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未明确生活垃圾投放的时间、地点</w:t>
            </w:r>
          </w:p>
        </w:tc>
        <w:tc>
          <w:tcPr>
            <w:tcW w:w="2981" w:type="dxa"/>
            <w:noWrap w:val="0"/>
            <w:vAlign w:val="center"/>
          </w:tcPr>
          <w:p w14:paraId="64EEACC9">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违反条款：第三十六条第一款第（四）项；处罚条款：第六十九条第一款 责令立即改正，处三千元以上三万元以下罚款。　</w:t>
            </w:r>
          </w:p>
        </w:tc>
        <w:tc>
          <w:tcPr>
            <w:tcW w:w="851" w:type="dxa"/>
            <w:noWrap w:val="0"/>
            <w:vAlign w:val="center"/>
          </w:tcPr>
          <w:p w14:paraId="618EB99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14:paraId="098E389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noWrap w:val="0"/>
            <w:vAlign w:val="center"/>
          </w:tcPr>
          <w:p w14:paraId="23A44431">
            <w:pPr>
              <w:spacing w:line="232" w:lineRule="exact"/>
              <w:rPr>
                <w:rFonts w:ascii="宋体" w:hAnsi="宋体" w:eastAsia="宋体"/>
                <w:color w:val="auto"/>
                <w:sz w:val="15"/>
                <w:szCs w:val="15"/>
                <w:highlight w:val="none"/>
              </w:rPr>
            </w:pPr>
          </w:p>
        </w:tc>
        <w:tc>
          <w:tcPr>
            <w:tcW w:w="1875" w:type="dxa"/>
            <w:gridSpan w:val="2"/>
            <w:noWrap w:val="0"/>
            <w:vAlign w:val="center"/>
          </w:tcPr>
          <w:p w14:paraId="365A2DE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69F04A30">
            <w:pPr>
              <w:spacing w:line="232" w:lineRule="exact"/>
              <w:rPr>
                <w:rFonts w:ascii="宋体" w:hAnsi="宋体" w:eastAsia="宋体"/>
                <w:color w:val="auto"/>
                <w:sz w:val="15"/>
                <w:szCs w:val="15"/>
                <w:highlight w:val="none"/>
              </w:rPr>
            </w:pPr>
          </w:p>
        </w:tc>
        <w:tc>
          <w:tcPr>
            <w:tcW w:w="1304" w:type="dxa"/>
            <w:gridSpan w:val="2"/>
            <w:noWrap w:val="0"/>
            <w:vAlign w:val="center"/>
          </w:tcPr>
          <w:p w14:paraId="4B6AA59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6D072A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75C8788">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C4608000</w:t>
            </w:r>
          </w:p>
        </w:tc>
      </w:tr>
      <w:tr w14:paraId="6387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12" w:hRule="atLeast"/>
        </w:trPr>
        <w:tc>
          <w:tcPr>
            <w:tcW w:w="714" w:type="dxa"/>
            <w:noWrap w:val="0"/>
            <w:vAlign w:val="center"/>
          </w:tcPr>
          <w:p w14:paraId="2F48EB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14:paraId="732D07C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分类管理责任人未分类收集、贮存生活垃圾</w:t>
            </w:r>
          </w:p>
        </w:tc>
        <w:tc>
          <w:tcPr>
            <w:tcW w:w="2981" w:type="dxa"/>
            <w:noWrap w:val="0"/>
            <w:vAlign w:val="center"/>
          </w:tcPr>
          <w:p w14:paraId="61F4F0E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违反条款：第三十六条第一款第（四）项；处罚条款：第六十九条第一款 责令立即改正，处三千元以上三万元以下罚款。　</w:t>
            </w:r>
          </w:p>
        </w:tc>
        <w:tc>
          <w:tcPr>
            <w:tcW w:w="851" w:type="dxa"/>
            <w:noWrap w:val="0"/>
            <w:vAlign w:val="center"/>
          </w:tcPr>
          <w:p w14:paraId="32093D0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14:paraId="4F50642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noWrap w:val="0"/>
            <w:vAlign w:val="center"/>
          </w:tcPr>
          <w:p w14:paraId="55CDAA3C">
            <w:pPr>
              <w:spacing w:line="232" w:lineRule="exact"/>
              <w:rPr>
                <w:rFonts w:ascii="宋体" w:hAnsi="宋体" w:eastAsia="宋体"/>
                <w:color w:val="auto"/>
                <w:sz w:val="15"/>
                <w:szCs w:val="15"/>
                <w:highlight w:val="none"/>
              </w:rPr>
            </w:pPr>
          </w:p>
        </w:tc>
        <w:tc>
          <w:tcPr>
            <w:tcW w:w="1875" w:type="dxa"/>
            <w:gridSpan w:val="2"/>
            <w:noWrap w:val="0"/>
            <w:vAlign w:val="center"/>
          </w:tcPr>
          <w:p w14:paraId="71AFCBF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286A7153">
            <w:pPr>
              <w:spacing w:line="232" w:lineRule="exact"/>
              <w:rPr>
                <w:rFonts w:ascii="宋体" w:hAnsi="宋体" w:eastAsia="宋体"/>
                <w:color w:val="auto"/>
                <w:sz w:val="15"/>
                <w:szCs w:val="15"/>
                <w:highlight w:val="none"/>
              </w:rPr>
            </w:pPr>
          </w:p>
        </w:tc>
        <w:tc>
          <w:tcPr>
            <w:tcW w:w="1304" w:type="dxa"/>
            <w:gridSpan w:val="2"/>
            <w:noWrap w:val="0"/>
            <w:vAlign w:val="center"/>
          </w:tcPr>
          <w:p w14:paraId="3C1D484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48CE12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68364C5">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C4608000</w:t>
            </w:r>
          </w:p>
        </w:tc>
      </w:tr>
      <w:tr w14:paraId="40811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95" w:hRule="atLeast"/>
        </w:trPr>
        <w:tc>
          <w:tcPr>
            <w:tcW w:w="714" w:type="dxa"/>
            <w:noWrap w:val="0"/>
            <w:vAlign w:val="center"/>
          </w:tcPr>
          <w:p w14:paraId="5F7AA77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14:paraId="246E2437">
            <w:pPr>
              <w:spacing w:line="24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未及时制止翻拣、混合已分类生活垃圾的行为</w:t>
            </w:r>
          </w:p>
        </w:tc>
        <w:tc>
          <w:tcPr>
            <w:tcW w:w="2981" w:type="dxa"/>
            <w:noWrap w:val="0"/>
            <w:vAlign w:val="center"/>
          </w:tcPr>
          <w:p w14:paraId="3132282D">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违反条款：第三十六条第一款第（六）项；处罚条款：第六十九条第一款 责令立即改正，处三千元以上三万元以下罚款。</w:t>
            </w:r>
          </w:p>
        </w:tc>
        <w:tc>
          <w:tcPr>
            <w:tcW w:w="851" w:type="dxa"/>
            <w:noWrap w:val="0"/>
            <w:vAlign w:val="center"/>
          </w:tcPr>
          <w:p w14:paraId="5D19CBCE">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14:paraId="308C9075">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noWrap w:val="0"/>
            <w:vAlign w:val="center"/>
          </w:tcPr>
          <w:p w14:paraId="6DC8874E">
            <w:pPr>
              <w:spacing w:line="232" w:lineRule="exact"/>
              <w:rPr>
                <w:rFonts w:ascii="宋体" w:hAnsi="宋体" w:eastAsia="宋体"/>
                <w:color w:val="auto"/>
                <w:sz w:val="15"/>
                <w:szCs w:val="15"/>
                <w:highlight w:val="none"/>
              </w:rPr>
            </w:pPr>
          </w:p>
        </w:tc>
        <w:tc>
          <w:tcPr>
            <w:tcW w:w="1875" w:type="dxa"/>
            <w:gridSpan w:val="2"/>
            <w:noWrap w:val="0"/>
            <w:vAlign w:val="center"/>
          </w:tcPr>
          <w:p w14:paraId="0BF1E441">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3524505A">
            <w:pPr>
              <w:spacing w:line="240" w:lineRule="exact"/>
              <w:rPr>
                <w:rFonts w:ascii="宋体" w:hAnsi="宋体" w:eastAsia="宋体"/>
                <w:color w:val="auto"/>
                <w:sz w:val="15"/>
                <w:szCs w:val="15"/>
                <w:highlight w:val="none"/>
              </w:rPr>
            </w:pPr>
          </w:p>
        </w:tc>
        <w:tc>
          <w:tcPr>
            <w:tcW w:w="1304" w:type="dxa"/>
            <w:gridSpan w:val="2"/>
            <w:noWrap w:val="0"/>
            <w:vAlign w:val="center"/>
          </w:tcPr>
          <w:p w14:paraId="1A80B506">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F76DE61">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11FC514">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C4648100</w:t>
            </w:r>
          </w:p>
        </w:tc>
      </w:tr>
      <w:tr w14:paraId="18D1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63" w:hRule="atLeast"/>
        </w:trPr>
        <w:tc>
          <w:tcPr>
            <w:tcW w:w="714" w:type="dxa"/>
            <w:noWrap w:val="0"/>
            <w:vAlign w:val="center"/>
          </w:tcPr>
          <w:p w14:paraId="02AC801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14:paraId="0A44C41F">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将生活垃圾交由未经许可或者备案的企业和个人进行处置</w:t>
            </w:r>
          </w:p>
        </w:tc>
        <w:tc>
          <w:tcPr>
            <w:tcW w:w="2981" w:type="dxa"/>
            <w:noWrap w:val="0"/>
            <w:vAlign w:val="center"/>
          </w:tcPr>
          <w:p w14:paraId="276630A4">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违反条款：第三十六条第一款第（五）项；处罚条款：第六十九条第二款 责令立即改正，处一万元以上十万元以下罚款。</w:t>
            </w:r>
          </w:p>
        </w:tc>
        <w:tc>
          <w:tcPr>
            <w:tcW w:w="851" w:type="dxa"/>
            <w:noWrap w:val="0"/>
            <w:vAlign w:val="center"/>
          </w:tcPr>
          <w:p w14:paraId="00AD3E92">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129A94A9">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A4A5916">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1.违法行为持续时间</w:t>
            </w:r>
            <w:r>
              <w:rPr>
                <w:rFonts w:hint="eastAsia" w:ascii="宋体" w:hAnsi="宋体"/>
                <w:b w:val="0"/>
                <w:bCs w:val="0"/>
                <w:color w:val="auto"/>
                <w:sz w:val="15"/>
                <w:szCs w:val="15"/>
                <w:highlight w:val="none"/>
                <w:lang w:eastAsia="zh-CN"/>
              </w:rPr>
              <w:t>一个月以上</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垃圾产生量较大，</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3-4；</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.造成环境较严重影响的，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strike w:val="0"/>
                <w:dstrike w:val="0"/>
                <w:color w:val="auto"/>
                <w:sz w:val="15"/>
                <w:szCs w:val="15"/>
                <w:highlight w:val="none"/>
                <w:lang w:val="en-US" w:eastAsia="zh-CN"/>
              </w:rPr>
              <w:t xml:space="preserve"> 6</w:t>
            </w:r>
            <w:r>
              <w:rPr>
                <w:rFonts w:hint="eastAsia" w:ascii="宋体" w:hAnsi="宋体" w:eastAsia="宋体"/>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28D7FC62">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21BAC827">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餐饮服务单位未按规定收集、交运、处理厨余垃圾的行为，优先适用</w:t>
            </w:r>
            <w:r>
              <w:rPr>
                <w:rFonts w:hint="eastAsia" w:ascii="宋体" w:hAnsi="宋体" w:eastAsia="宋体"/>
                <w:color w:val="auto"/>
                <w:sz w:val="15"/>
                <w:szCs w:val="15"/>
                <w:highlight w:val="none"/>
              </w:rPr>
              <w:t>第四十八条第二款的规定，依据第七十四条第一款予以处罚。</w:t>
            </w:r>
          </w:p>
        </w:tc>
        <w:tc>
          <w:tcPr>
            <w:tcW w:w="1304" w:type="dxa"/>
            <w:gridSpan w:val="2"/>
            <w:noWrap w:val="0"/>
            <w:vAlign w:val="center"/>
          </w:tcPr>
          <w:p w14:paraId="1B454AD0">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9E49F36">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571B025">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C4608100</w:t>
            </w:r>
          </w:p>
        </w:tc>
      </w:tr>
      <w:tr w14:paraId="3A0AE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11" w:hRule="atLeast"/>
        </w:trPr>
        <w:tc>
          <w:tcPr>
            <w:tcW w:w="714" w:type="dxa"/>
            <w:noWrap w:val="0"/>
            <w:vAlign w:val="center"/>
          </w:tcPr>
          <w:p w14:paraId="0CA1DBD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14:paraId="7E840C24">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分类管理责任人未办理生活垃圾排放登记</w:t>
            </w:r>
          </w:p>
        </w:tc>
        <w:tc>
          <w:tcPr>
            <w:tcW w:w="2981" w:type="dxa"/>
            <w:noWrap w:val="0"/>
            <w:vAlign w:val="center"/>
          </w:tcPr>
          <w:p w14:paraId="6AC98363">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违反条款：第三十八条第一款；处罚条款：第七十条第一款 责令立即改正，处一千元以上五千元以下罚款。　</w:t>
            </w:r>
          </w:p>
        </w:tc>
        <w:tc>
          <w:tcPr>
            <w:tcW w:w="851" w:type="dxa"/>
            <w:noWrap w:val="0"/>
            <w:vAlign w:val="center"/>
          </w:tcPr>
          <w:p w14:paraId="6F842425">
            <w:pPr>
              <w:spacing w:line="20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w:t>
            </w:r>
          </w:p>
        </w:tc>
        <w:tc>
          <w:tcPr>
            <w:tcW w:w="840" w:type="dxa"/>
            <w:noWrap w:val="0"/>
            <w:vAlign w:val="center"/>
          </w:tcPr>
          <w:p w14:paraId="6BF30A8B">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A91AF01">
            <w:pPr>
              <w:spacing w:line="200" w:lineRule="exact"/>
              <w:rPr>
                <w:rFonts w:ascii="宋体" w:hAnsi="宋体" w:eastAsia="宋体" w:cs="宋体"/>
                <w:color w:val="auto"/>
                <w:kern w:val="0"/>
                <w:sz w:val="15"/>
                <w:szCs w:val="15"/>
                <w:highlight w:val="none"/>
              </w:rPr>
            </w:pPr>
            <w:r>
              <w:rPr>
                <w:rFonts w:hint="default" w:ascii="宋体" w:hAnsi="宋体"/>
                <w:b w:val="0"/>
                <w:bCs w:val="0"/>
                <w:color w:val="auto"/>
                <w:spacing w:val="-4"/>
                <w:sz w:val="15"/>
                <w:szCs w:val="15"/>
                <w:highlight w:val="none"/>
                <w:lang w:val="en-US"/>
              </w:rPr>
              <w:t>1.</w:t>
            </w:r>
            <w:r>
              <w:rPr>
                <w:rFonts w:hint="eastAsia" w:ascii="宋体" w:hAnsi="宋体"/>
                <w:b w:val="0"/>
                <w:bCs w:val="0"/>
                <w:color w:val="auto"/>
                <w:spacing w:val="-4"/>
                <w:sz w:val="15"/>
                <w:szCs w:val="15"/>
                <w:highlight w:val="none"/>
                <w:lang w:eastAsia="zh-CN"/>
              </w:rPr>
              <w:t>未办理排放登记时间</w:t>
            </w:r>
            <w:r>
              <w:rPr>
                <w:rFonts w:hint="eastAsia" w:ascii="宋体" w:hAnsi="宋体"/>
                <w:b w:val="0"/>
                <w:bCs w:val="0"/>
                <w:color w:val="auto"/>
                <w:spacing w:val="-4"/>
                <w:sz w:val="15"/>
                <w:szCs w:val="15"/>
                <w:highlight w:val="none"/>
                <w:lang w:val="en-US" w:eastAsia="zh-CN"/>
              </w:rPr>
              <w:t>1个月以上的，系数1；2个月以上的，系数2；3个月以上的，系数3；4个月及以上的，系数4。2.</w:t>
            </w:r>
            <w:r>
              <w:rPr>
                <w:rFonts w:hint="eastAsia" w:ascii="宋体" w:hAnsi="宋体" w:eastAsia="宋体"/>
                <w:b w:val="0"/>
                <w:bCs w:val="0"/>
                <w:color w:val="auto"/>
                <w:spacing w:val="-4"/>
                <w:sz w:val="15"/>
                <w:szCs w:val="15"/>
                <w:highlight w:val="none"/>
              </w:rPr>
              <w:t>造成环境较严重影响的，系数</w:t>
            </w:r>
            <w:r>
              <w:rPr>
                <w:rFonts w:hint="eastAsia" w:ascii="宋体" w:hAnsi="宋体" w:eastAsia="宋体"/>
                <w:b w:val="0"/>
                <w:bCs w:val="0"/>
                <w:strike w:val="0"/>
                <w:dstrike w:val="0"/>
                <w:color w:val="auto"/>
                <w:spacing w:val="-4"/>
                <w:sz w:val="15"/>
                <w:szCs w:val="15"/>
                <w:highlight w:val="none"/>
                <w:lang w:val="en-US" w:eastAsia="zh-CN"/>
              </w:rPr>
              <w:t>2-4</w:t>
            </w:r>
            <w:r>
              <w:rPr>
                <w:rFonts w:hint="eastAsia" w:ascii="宋体" w:hAnsi="宋体"/>
                <w:b w:val="0"/>
                <w:bCs w:val="0"/>
                <w:color w:val="auto"/>
                <w:spacing w:val="-4"/>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w:t>
            </w:r>
            <w:r>
              <w:rPr>
                <w:rFonts w:hint="eastAsia" w:ascii="宋体" w:hAnsi="宋体" w:eastAsia="宋体" w:cs="宋体"/>
                <w:color w:val="auto"/>
                <w:kern w:val="0"/>
                <w:sz w:val="15"/>
                <w:szCs w:val="15"/>
                <w:highlight w:val="none"/>
                <w:lang w:val="en-US" w:eastAsia="zh-CN"/>
              </w:rPr>
              <w:t>基准2.1.3规定情形的，系数按照相关规定确定（基准2.1.3.5不适用）。</w:t>
            </w:r>
          </w:p>
        </w:tc>
        <w:tc>
          <w:tcPr>
            <w:tcW w:w="1875" w:type="dxa"/>
            <w:gridSpan w:val="2"/>
            <w:noWrap w:val="0"/>
            <w:vAlign w:val="center"/>
          </w:tcPr>
          <w:p w14:paraId="485EF7B6">
            <w:pPr>
              <w:spacing w:line="20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090B05E2">
            <w:pPr>
              <w:spacing w:line="240" w:lineRule="exact"/>
              <w:rPr>
                <w:rFonts w:ascii="宋体" w:hAnsi="宋体" w:eastAsia="宋体"/>
                <w:color w:val="auto"/>
                <w:sz w:val="15"/>
                <w:szCs w:val="15"/>
                <w:highlight w:val="none"/>
              </w:rPr>
            </w:pPr>
          </w:p>
        </w:tc>
        <w:tc>
          <w:tcPr>
            <w:tcW w:w="1304" w:type="dxa"/>
            <w:gridSpan w:val="2"/>
            <w:noWrap w:val="0"/>
            <w:vAlign w:val="center"/>
          </w:tcPr>
          <w:p w14:paraId="740004A4">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D8CB004">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273C086">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C4608200</w:t>
            </w:r>
          </w:p>
        </w:tc>
      </w:tr>
      <w:tr w14:paraId="16584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14:paraId="3591649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6" w:type="dxa"/>
            <w:gridSpan w:val="2"/>
            <w:noWrap w:val="0"/>
            <w:vAlign w:val="center"/>
          </w:tcPr>
          <w:p w14:paraId="1EA1ABFB">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分类管理责任人未如实办理生活垃圾排放登记</w:t>
            </w:r>
          </w:p>
        </w:tc>
        <w:tc>
          <w:tcPr>
            <w:tcW w:w="2981" w:type="dxa"/>
            <w:noWrap w:val="0"/>
            <w:vAlign w:val="center"/>
          </w:tcPr>
          <w:p w14:paraId="30EC275B">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违反条款：第三十八条第一款；处罚条款：第七十条第一款 责令立即改正，处一千元以上五千元以下罚款。</w:t>
            </w:r>
          </w:p>
        </w:tc>
        <w:tc>
          <w:tcPr>
            <w:tcW w:w="851" w:type="dxa"/>
            <w:noWrap w:val="0"/>
            <w:vAlign w:val="center"/>
          </w:tcPr>
          <w:p w14:paraId="146B1FB0">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702158D8">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5933950">
            <w:pPr>
              <w:widowControl w:val="0"/>
              <w:numPr>
                <w:ilvl w:val="0"/>
                <w:numId w:val="0"/>
              </w:numPr>
              <w:ind w:left="0" w:leftChars="0" w:firstLine="0" w:firstLineChars="0"/>
              <w:jc w:val="both"/>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color w:val="auto"/>
                <w:sz w:val="15"/>
                <w:szCs w:val="15"/>
                <w:highlight w:val="none"/>
                <w:lang w:val="en-US" w:eastAsia="zh-CN"/>
              </w:rPr>
              <w:t>缺少</w:t>
            </w:r>
            <w:r>
              <w:rPr>
                <w:rFonts w:hint="default" w:ascii="宋体" w:hAnsi="宋体"/>
                <w:color w:val="auto"/>
                <w:sz w:val="15"/>
                <w:szCs w:val="15"/>
                <w:highlight w:val="none"/>
                <w:lang w:val="en-US" w:eastAsia="zh-CN"/>
              </w:rPr>
              <w:t>2</w:t>
            </w:r>
            <w:r>
              <w:rPr>
                <w:rFonts w:hint="eastAsia" w:ascii="宋体" w:hAnsi="宋体"/>
                <w:color w:val="auto"/>
                <w:sz w:val="15"/>
                <w:szCs w:val="15"/>
                <w:highlight w:val="none"/>
                <w:lang w:val="en-US" w:eastAsia="zh-CN"/>
              </w:rPr>
              <w:t>项的，系数</w:t>
            </w:r>
            <w:r>
              <w:rPr>
                <w:rFonts w:hint="default" w:ascii="宋体" w:hAnsi="宋体"/>
                <w:color w:val="auto"/>
                <w:sz w:val="15"/>
                <w:szCs w:val="15"/>
                <w:highlight w:val="none"/>
                <w:lang w:val="en-US" w:eastAsia="zh-CN"/>
              </w:rPr>
              <w:t>1</w:t>
            </w:r>
            <w:r>
              <w:rPr>
                <w:rFonts w:hint="eastAsia" w:ascii="宋体" w:hAnsi="宋体"/>
                <w:color w:val="auto"/>
                <w:sz w:val="15"/>
                <w:szCs w:val="15"/>
                <w:highlight w:val="none"/>
                <w:lang w:val="en-US" w:eastAsia="zh-CN"/>
              </w:rPr>
              <w:t>；缺少3项的，系数</w:t>
            </w:r>
            <w:r>
              <w:rPr>
                <w:rFonts w:hint="default" w:ascii="宋体" w:hAnsi="宋体"/>
                <w:color w:val="auto"/>
                <w:sz w:val="15"/>
                <w:szCs w:val="15"/>
                <w:highlight w:val="none"/>
                <w:lang w:val="en-US" w:eastAsia="zh-CN"/>
              </w:rPr>
              <w:t>2</w:t>
            </w:r>
            <w:r>
              <w:rPr>
                <w:rFonts w:hint="eastAsia" w:ascii="宋体" w:hAnsi="宋体"/>
                <w:color w:val="auto"/>
                <w:sz w:val="15"/>
                <w:szCs w:val="15"/>
                <w:highlight w:val="none"/>
                <w:lang w:val="en-US" w:eastAsia="zh-CN"/>
              </w:rPr>
              <w:t>；缺少4的，系数3；缺少5项及以上的，系数4。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w:t>
            </w:r>
            <w:r>
              <w:rPr>
                <w:rFonts w:hint="eastAsia" w:ascii="宋体" w:hAnsi="宋体" w:eastAsia="宋体"/>
                <w:color w:val="auto"/>
                <w:spacing w:val="-4"/>
                <w:sz w:val="15"/>
                <w:szCs w:val="15"/>
                <w:highlight w:val="none"/>
                <w:lang w:eastAsia="zh-CN"/>
              </w:rPr>
              <w:t>登记</w:t>
            </w:r>
            <w:r>
              <w:rPr>
                <w:rFonts w:hint="eastAsia" w:ascii="宋体" w:hAnsi="宋体" w:eastAsia="宋体" w:cs="宋体"/>
                <w:color w:val="auto"/>
                <w:kern w:val="0"/>
                <w:sz w:val="15"/>
                <w:szCs w:val="15"/>
                <w:highlight w:val="none"/>
              </w:rPr>
              <w:t>存在弄虚作假</w:t>
            </w:r>
            <w:r>
              <w:rPr>
                <w:rFonts w:hint="eastAsia" w:ascii="宋体" w:hAnsi="宋体" w:cs="宋体"/>
                <w:color w:val="auto"/>
                <w:kern w:val="0"/>
                <w:sz w:val="15"/>
                <w:szCs w:val="15"/>
                <w:highlight w:val="none"/>
                <w:lang w:eastAsia="zh-CN"/>
              </w:rPr>
              <w:t>或</w:t>
            </w:r>
            <w:r>
              <w:rPr>
                <w:rFonts w:hint="eastAsia" w:ascii="宋体" w:hAnsi="宋体" w:eastAsia="宋体" w:cs="宋体"/>
                <w:color w:val="auto"/>
                <w:kern w:val="0"/>
                <w:sz w:val="15"/>
                <w:szCs w:val="15"/>
                <w:highlight w:val="none"/>
              </w:rPr>
              <w:t>较严重影响的情形，系数</w:t>
            </w:r>
            <w:r>
              <w:rPr>
                <w:rFonts w:hint="eastAsia" w:ascii="宋体" w:hAnsi="宋体" w:eastAsia="宋体" w:cs="宋体"/>
                <w:color w:val="auto"/>
                <w:kern w:val="0"/>
                <w:sz w:val="15"/>
                <w:szCs w:val="15"/>
                <w:highlight w:val="none"/>
                <w:lang w:val="en-US" w:eastAsia="zh-CN"/>
              </w:rPr>
              <w:t>3-4</w:t>
            </w:r>
            <w:r>
              <w:rPr>
                <w:rFonts w:hint="eastAsia" w:ascii="宋体" w:hAnsi="宋体" w:cs="宋体"/>
                <w:color w:val="auto"/>
                <w:kern w:val="0"/>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7E24FA17">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0B0FE8F5">
            <w:pPr>
              <w:spacing w:line="240" w:lineRule="exact"/>
              <w:rPr>
                <w:rFonts w:ascii="宋体" w:hAnsi="宋体" w:eastAsia="宋体"/>
                <w:color w:val="auto"/>
                <w:sz w:val="15"/>
                <w:szCs w:val="15"/>
                <w:highlight w:val="none"/>
              </w:rPr>
            </w:pPr>
          </w:p>
        </w:tc>
        <w:tc>
          <w:tcPr>
            <w:tcW w:w="1304" w:type="dxa"/>
            <w:gridSpan w:val="2"/>
            <w:noWrap w:val="0"/>
            <w:vAlign w:val="center"/>
          </w:tcPr>
          <w:p w14:paraId="27BA92FD">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BA80563">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FE4F229">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C4608200</w:t>
            </w:r>
          </w:p>
        </w:tc>
      </w:tr>
      <w:tr w14:paraId="20F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65" w:hRule="atLeast"/>
        </w:trPr>
        <w:tc>
          <w:tcPr>
            <w:tcW w:w="714" w:type="dxa"/>
            <w:noWrap w:val="0"/>
            <w:vAlign w:val="center"/>
          </w:tcPr>
          <w:p w14:paraId="648096F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noWrap w:val="0"/>
            <w:vAlign w:val="center"/>
          </w:tcPr>
          <w:p w14:paraId="1E14E7A8">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分类管理责任人未建立生活垃圾管理台账</w:t>
            </w:r>
          </w:p>
        </w:tc>
        <w:tc>
          <w:tcPr>
            <w:tcW w:w="2981" w:type="dxa"/>
            <w:noWrap w:val="0"/>
            <w:vAlign w:val="center"/>
          </w:tcPr>
          <w:p w14:paraId="3B332A3C">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违反条款：第三十八条第二款；处罚条款：第七十条第二款 责令立即改正，处一千元以上一万元以下罚款。</w:t>
            </w:r>
          </w:p>
        </w:tc>
        <w:tc>
          <w:tcPr>
            <w:tcW w:w="851" w:type="dxa"/>
            <w:noWrap w:val="0"/>
            <w:vAlign w:val="center"/>
          </w:tcPr>
          <w:p w14:paraId="5E6DD0DB">
            <w:pPr>
              <w:spacing w:line="20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1000</w:t>
            </w:r>
          </w:p>
        </w:tc>
        <w:tc>
          <w:tcPr>
            <w:tcW w:w="840" w:type="dxa"/>
            <w:noWrap w:val="0"/>
            <w:vAlign w:val="center"/>
          </w:tcPr>
          <w:p w14:paraId="362AFF91">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19FCB9A">
            <w:pPr>
              <w:spacing w:line="200" w:lineRule="exact"/>
              <w:rPr>
                <w:rFonts w:hint="eastAsia" w:ascii="宋体" w:hAnsi="宋体" w:eastAsia="宋体"/>
                <w:color w:val="auto"/>
                <w:sz w:val="15"/>
                <w:szCs w:val="15"/>
                <w:highlight w:val="none"/>
                <w:lang w:eastAsia="zh-CN"/>
              </w:rPr>
            </w:pP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strike w:val="0"/>
                <w:dstrike w:val="0"/>
                <w:color w:val="auto"/>
                <w:sz w:val="15"/>
                <w:szCs w:val="15"/>
                <w:highlight w:val="none"/>
              </w:rPr>
              <w:t>.违法行为持续时间</w:t>
            </w:r>
            <w:r>
              <w:rPr>
                <w:rFonts w:hint="eastAsia" w:ascii="宋体" w:hAnsi="宋体"/>
                <w:b w:val="0"/>
                <w:bCs w:val="0"/>
                <w:strike w:val="0"/>
                <w:dstrike w:val="0"/>
                <w:color w:val="auto"/>
                <w:sz w:val="15"/>
                <w:szCs w:val="15"/>
                <w:highlight w:val="none"/>
                <w:lang w:eastAsia="zh-CN"/>
              </w:rPr>
              <w:t>一个月以上</w:t>
            </w:r>
            <w:r>
              <w:rPr>
                <w:rFonts w:hint="eastAsia" w:ascii="宋体" w:hAnsi="宋体" w:eastAsia="宋体"/>
                <w:b w:val="0"/>
                <w:bCs w:val="0"/>
                <w:strike w:val="0"/>
                <w:dstrike w:val="0"/>
                <w:color w:val="auto"/>
                <w:sz w:val="15"/>
                <w:szCs w:val="15"/>
                <w:highlight w:val="none"/>
              </w:rPr>
              <w:t>，垃圾产生量较</w:t>
            </w:r>
            <w:r>
              <w:rPr>
                <w:rFonts w:hint="eastAsia" w:ascii="宋体" w:hAnsi="宋体" w:eastAsia="宋体"/>
                <w:b w:val="0"/>
                <w:bCs w:val="0"/>
                <w:strike w:val="0"/>
                <w:dstrike w:val="0"/>
                <w:color w:val="auto"/>
                <w:spacing w:val="-4"/>
                <w:sz w:val="15"/>
                <w:szCs w:val="15"/>
                <w:highlight w:val="none"/>
              </w:rPr>
              <w:t>大，</w:t>
            </w:r>
            <w:r>
              <w:rPr>
                <w:rFonts w:hint="eastAsia" w:ascii="宋体" w:hAnsi="宋体"/>
                <w:b w:val="0"/>
                <w:bCs w:val="0"/>
                <w:strike w:val="0"/>
                <w:dstrike w:val="0"/>
                <w:color w:val="auto"/>
                <w:spacing w:val="-4"/>
                <w:sz w:val="15"/>
                <w:szCs w:val="15"/>
                <w:highlight w:val="none"/>
                <w:lang w:eastAsia="zh-CN"/>
              </w:rPr>
              <w:t>系数</w:t>
            </w:r>
            <w:r>
              <w:rPr>
                <w:rFonts w:hint="eastAsia" w:ascii="宋体" w:hAnsi="宋体" w:eastAsia="宋体"/>
                <w:b w:val="0"/>
                <w:bCs w:val="0"/>
                <w:strike w:val="0"/>
                <w:dstrike w:val="0"/>
                <w:color w:val="auto"/>
                <w:spacing w:val="-4"/>
                <w:sz w:val="15"/>
                <w:szCs w:val="15"/>
                <w:highlight w:val="none"/>
              </w:rPr>
              <w:t>2-4；</w:t>
            </w:r>
            <w:r>
              <w:rPr>
                <w:rFonts w:hint="eastAsia" w:ascii="宋体" w:hAnsi="宋体" w:eastAsia="宋体"/>
                <w:b w:val="0"/>
                <w:bCs w:val="0"/>
                <w:strike w:val="0"/>
                <w:dstrike w:val="0"/>
                <w:color w:val="auto"/>
                <w:spacing w:val="-4"/>
                <w:sz w:val="15"/>
                <w:szCs w:val="15"/>
                <w:highlight w:val="none"/>
                <w:lang w:val="en-US" w:eastAsia="zh-CN"/>
              </w:rPr>
              <w:t>2</w:t>
            </w:r>
            <w:r>
              <w:rPr>
                <w:rFonts w:hint="eastAsia" w:ascii="宋体" w:hAnsi="宋体" w:eastAsia="宋体"/>
                <w:b w:val="0"/>
                <w:bCs w:val="0"/>
                <w:strike w:val="0"/>
                <w:dstrike w:val="0"/>
                <w:color w:val="auto"/>
                <w:spacing w:val="-4"/>
                <w:sz w:val="15"/>
                <w:szCs w:val="15"/>
                <w:highlight w:val="none"/>
              </w:rPr>
              <w:t>.造成环境较严重影响的</w:t>
            </w:r>
            <w:r>
              <w:rPr>
                <w:rFonts w:hint="eastAsia" w:ascii="宋体" w:hAnsi="宋体" w:eastAsia="宋体"/>
                <w:strike w:val="0"/>
                <w:dstrike w:val="0"/>
                <w:color w:val="auto"/>
                <w:spacing w:val="-4"/>
                <w:sz w:val="15"/>
                <w:szCs w:val="15"/>
                <w:highlight w:val="none"/>
              </w:rPr>
              <w:t>，系数5-9</w:t>
            </w:r>
            <w:r>
              <w:rPr>
                <w:rFonts w:hint="eastAsia" w:ascii="宋体" w:hAnsi="宋体"/>
                <w:strike w:val="0"/>
                <w:dstrike w:val="0"/>
                <w:color w:val="auto"/>
                <w:spacing w:val="-4"/>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4A238E45">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5A6C49C9">
            <w:pPr>
              <w:spacing w:line="232" w:lineRule="exact"/>
              <w:jc w:val="left"/>
              <w:rPr>
                <w:rFonts w:hint="default" w:ascii="宋体" w:hAnsi="宋体" w:eastAsia="宋体" w:cs="宋体"/>
                <w:color w:val="auto"/>
                <w:kern w:val="0"/>
                <w:sz w:val="15"/>
                <w:szCs w:val="15"/>
                <w:highlight w:val="none"/>
                <w:lang w:val="en-US" w:eastAsia="zh-CN"/>
              </w:rPr>
            </w:pPr>
          </w:p>
        </w:tc>
        <w:tc>
          <w:tcPr>
            <w:tcW w:w="1304" w:type="dxa"/>
            <w:gridSpan w:val="2"/>
            <w:noWrap w:val="0"/>
            <w:vAlign w:val="center"/>
          </w:tcPr>
          <w:p w14:paraId="4BA2BB9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9710C78">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7E6F040">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C4608300</w:t>
            </w:r>
          </w:p>
        </w:tc>
      </w:tr>
      <w:tr w14:paraId="68324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22" w:hRule="atLeast"/>
        </w:trPr>
        <w:tc>
          <w:tcPr>
            <w:tcW w:w="714" w:type="dxa"/>
            <w:noWrap w:val="0"/>
            <w:vAlign w:val="center"/>
          </w:tcPr>
          <w:p w14:paraId="1E4C388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6" w:type="dxa"/>
            <w:gridSpan w:val="2"/>
            <w:noWrap w:val="0"/>
            <w:vAlign w:val="center"/>
          </w:tcPr>
          <w:p w14:paraId="3CF4A870">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分类管理责任人未如实记录生活垃圾排放情况</w:t>
            </w:r>
          </w:p>
        </w:tc>
        <w:tc>
          <w:tcPr>
            <w:tcW w:w="2981" w:type="dxa"/>
            <w:noWrap w:val="0"/>
            <w:vAlign w:val="center"/>
          </w:tcPr>
          <w:p w14:paraId="60C9B69D">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违反条款：第三十八条第二款；处罚条款：第七十条第二款 责令立即改正，处一千元以上一万元以下罚款。</w:t>
            </w:r>
          </w:p>
        </w:tc>
        <w:tc>
          <w:tcPr>
            <w:tcW w:w="851" w:type="dxa"/>
            <w:noWrap w:val="0"/>
            <w:vAlign w:val="center"/>
          </w:tcPr>
          <w:p w14:paraId="0A5886BD">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411326CD">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A362321">
            <w:pPr>
              <w:spacing w:line="200" w:lineRule="exact"/>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rPr>
              <w:t>1.台账未记录实际产生的生活垃圾的种类、数量、运输者、去向等情况，</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记录内容</w:t>
            </w:r>
            <w:r>
              <w:rPr>
                <w:rFonts w:ascii="宋体" w:hAnsi="宋体" w:eastAsia="宋体"/>
                <w:color w:val="auto"/>
                <w:sz w:val="15"/>
                <w:szCs w:val="15"/>
                <w:highlight w:val="none"/>
              </w:rPr>
              <w:t>每</w:t>
            </w:r>
            <w:r>
              <w:rPr>
                <w:rFonts w:hint="eastAsia" w:ascii="宋体" w:hAnsi="宋体" w:eastAsia="宋体"/>
                <w:color w:val="auto"/>
                <w:sz w:val="15"/>
                <w:szCs w:val="15"/>
                <w:highlight w:val="none"/>
              </w:rPr>
              <w:t>缺少1项</w:t>
            </w:r>
            <w:r>
              <w:rPr>
                <w:rFonts w:ascii="宋体" w:hAnsi="宋体" w:eastAsia="宋体"/>
                <w:color w:val="auto"/>
                <w:sz w:val="15"/>
                <w:szCs w:val="15"/>
                <w:highlight w:val="none"/>
              </w:rPr>
              <w:t>系数加</w:t>
            </w:r>
            <w:r>
              <w:rPr>
                <w:rFonts w:hint="eastAsia" w:ascii="宋体" w:hAnsi="宋体" w:eastAsia="宋体"/>
                <w:color w:val="auto"/>
                <w:sz w:val="15"/>
                <w:szCs w:val="15"/>
                <w:highlight w:val="none"/>
              </w:rPr>
              <w:t>1；</w:t>
            </w:r>
            <w:r>
              <w:rPr>
                <w:rFonts w:hint="eastAsia" w:ascii="宋体" w:hAnsi="宋体" w:eastAsia="宋体"/>
                <w:strike w:val="0"/>
                <w:dstrike w:val="0"/>
                <w:color w:val="auto"/>
                <w:sz w:val="15"/>
                <w:szCs w:val="15"/>
                <w:highlight w:val="none"/>
              </w:rPr>
              <w:t>2.</w:t>
            </w:r>
            <w:r>
              <w:rPr>
                <w:rFonts w:hint="eastAsia" w:ascii="宋体" w:hAnsi="宋体" w:eastAsia="宋体"/>
                <w:color w:val="auto"/>
                <w:spacing w:val="-4"/>
                <w:sz w:val="15"/>
                <w:szCs w:val="15"/>
                <w:highlight w:val="none"/>
                <w:lang w:eastAsia="zh-CN"/>
              </w:rPr>
              <w:t>记录</w:t>
            </w:r>
            <w:r>
              <w:rPr>
                <w:rFonts w:hint="eastAsia" w:ascii="宋体" w:hAnsi="宋体" w:eastAsia="宋体" w:cs="宋体"/>
                <w:color w:val="auto"/>
                <w:kern w:val="0"/>
                <w:sz w:val="15"/>
                <w:szCs w:val="15"/>
                <w:highlight w:val="none"/>
              </w:rPr>
              <w:t>存在弄虚作假或较严重影响的情形，系数</w:t>
            </w:r>
            <w:r>
              <w:rPr>
                <w:rFonts w:hint="eastAsia" w:ascii="宋体" w:hAnsi="宋体" w:eastAsia="宋体" w:cs="宋体"/>
                <w:color w:val="auto"/>
                <w:kern w:val="0"/>
                <w:sz w:val="15"/>
                <w:szCs w:val="15"/>
                <w:highlight w:val="none"/>
                <w:lang w:val="en-US" w:eastAsia="zh-CN"/>
              </w:rPr>
              <w:t>5-9</w:t>
            </w:r>
            <w:r>
              <w:rPr>
                <w:rFonts w:hint="eastAsia" w:ascii="宋体" w:hAnsi="宋体" w:cs="宋体"/>
                <w:color w:val="auto"/>
                <w:kern w:val="0"/>
                <w:sz w:val="15"/>
                <w:szCs w:val="15"/>
                <w:highlight w:val="none"/>
                <w:lang w:val="en-US"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7D0E9990">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top"/>
          </w:tcPr>
          <w:p w14:paraId="3E695A1E">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7439C37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F3FA2D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36D52F6">
            <w:pPr>
              <w:spacing w:line="240" w:lineRule="auto"/>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C4608300</w:t>
            </w:r>
          </w:p>
        </w:tc>
      </w:tr>
      <w:tr w14:paraId="2246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074" w:hRule="atLeast"/>
        </w:trPr>
        <w:tc>
          <w:tcPr>
            <w:tcW w:w="714" w:type="dxa"/>
            <w:noWrap w:val="0"/>
            <w:vAlign w:val="center"/>
          </w:tcPr>
          <w:p w14:paraId="53BB9BE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6" w:type="dxa"/>
            <w:gridSpan w:val="2"/>
            <w:noWrap w:val="0"/>
            <w:vAlign w:val="center"/>
          </w:tcPr>
          <w:p w14:paraId="7CDFDB08">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收集、运输单位未按时、分类收集、运输生活垃圾</w:t>
            </w:r>
          </w:p>
        </w:tc>
        <w:tc>
          <w:tcPr>
            <w:tcW w:w="2981" w:type="dxa"/>
            <w:noWrap w:val="0"/>
            <w:vAlign w:val="center"/>
          </w:tcPr>
          <w:p w14:paraId="61801330">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noWrap w:val="0"/>
            <w:vAlign w:val="center"/>
          </w:tcPr>
          <w:p w14:paraId="22DD789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4DF37C8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B93C018">
            <w:pPr>
              <w:spacing w:line="232" w:lineRule="exact"/>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1.未按时、分类收运生活垃圾的，</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0-1；2.违法行为持续时间较长</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收集、运输垃圾量较大，</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1-2；3.造成环境较严重影响的</w:t>
            </w:r>
            <w:r>
              <w:rPr>
                <w:rFonts w:hint="eastAsia" w:ascii="宋体" w:hAnsi="宋体" w:eastAsia="宋体"/>
                <w:color w:val="auto"/>
                <w:sz w:val="15"/>
                <w:szCs w:val="15"/>
                <w:highlight w:val="none"/>
                <w:lang w:eastAsia="zh-CN"/>
              </w:rPr>
              <w:t>，</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1-2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4</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5472A43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4DD534D0">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14:paraId="14EE8A41">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1304" w:type="dxa"/>
            <w:gridSpan w:val="2"/>
            <w:noWrap w:val="0"/>
            <w:vAlign w:val="center"/>
          </w:tcPr>
          <w:p w14:paraId="0E8F9C93">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区级</w:t>
            </w:r>
          </w:p>
          <w:p w14:paraId="6FE539E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19C8964E">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C4642700</w:t>
            </w:r>
          </w:p>
        </w:tc>
      </w:tr>
      <w:tr w14:paraId="7714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959" w:hRule="atLeast"/>
        </w:trPr>
        <w:tc>
          <w:tcPr>
            <w:tcW w:w="714" w:type="dxa"/>
            <w:noWrap w:val="0"/>
            <w:vAlign w:val="center"/>
          </w:tcPr>
          <w:p w14:paraId="4173F43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626" w:type="dxa"/>
            <w:gridSpan w:val="2"/>
            <w:noWrap w:val="0"/>
            <w:vAlign w:val="center"/>
          </w:tcPr>
          <w:p w14:paraId="70BB6B1B">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生活垃圾收集工具、运输车辆、人员不符合要求</w:t>
            </w:r>
          </w:p>
        </w:tc>
        <w:tc>
          <w:tcPr>
            <w:tcW w:w="2981" w:type="dxa"/>
            <w:noWrap w:val="0"/>
            <w:vAlign w:val="center"/>
          </w:tcPr>
          <w:p w14:paraId="6FFA512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noWrap w:val="0"/>
            <w:vAlign w:val="center"/>
          </w:tcPr>
          <w:p w14:paraId="1815C79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79D4B91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F1740C1">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1.工具、车辆、人员其中两类不符合要求的，系数1；2.工具、车辆、人员都不符合要求的，系数2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67FC6A2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614DCAB1">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1.造成泄漏遗撒的，按照专项案由从重处罚。</w:t>
            </w:r>
          </w:p>
          <w:p w14:paraId="3228DF59">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14:paraId="5970BA98">
            <w:pPr>
              <w:spacing w:line="232" w:lineRule="exact"/>
              <w:rPr>
                <w:rFonts w:hint="eastAsia" w:ascii="宋体" w:hAnsi="宋体" w:eastAsia="宋体" w:cs="宋体"/>
                <w:b w:val="0"/>
                <w:bCs w:val="0"/>
                <w:color w:val="auto"/>
                <w:kern w:val="0"/>
                <w:sz w:val="15"/>
                <w:szCs w:val="15"/>
                <w:highlight w:val="none"/>
                <w:lang w:eastAsia="zh-CN"/>
              </w:rPr>
            </w:pPr>
            <w:r>
              <w:rPr>
                <w:rFonts w:hint="eastAsia" w:ascii="宋体" w:hAnsi="宋体" w:eastAsia="宋体" w:cs="宋体"/>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r>
              <w:rPr>
                <w:rFonts w:hint="eastAsia" w:ascii="宋体" w:hAnsi="宋体" w:eastAsia="宋体" w:cs="宋体"/>
                <w:b w:val="0"/>
                <w:bCs w:val="0"/>
                <w:color w:val="auto"/>
                <w:kern w:val="0"/>
                <w:sz w:val="15"/>
                <w:szCs w:val="15"/>
                <w:highlight w:val="none"/>
                <w:lang w:eastAsia="zh-CN"/>
              </w:rPr>
              <w:t>。</w:t>
            </w:r>
          </w:p>
          <w:p w14:paraId="67381E58">
            <w:pPr>
              <w:spacing w:line="232" w:lineRule="exact"/>
              <w:rPr>
                <w:rFonts w:hint="eastAsia" w:ascii="宋体" w:hAnsi="宋体" w:eastAsia="宋体" w:cs="宋体"/>
                <w:b w:val="0"/>
                <w:bCs w:val="0"/>
                <w:color w:val="auto"/>
                <w:kern w:val="0"/>
                <w:sz w:val="15"/>
                <w:szCs w:val="15"/>
                <w:highlight w:val="none"/>
                <w:lang w:eastAsia="zh-CN"/>
              </w:rPr>
            </w:pPr>
          </w:p>
          <w:p w14:paraId="4F5871AA">
            <w:pPr>
              <w:spacing w:line="232" w:lineRule="exact"/>
              <w:rPr>
                <w:rFonts w:hint="eastAsia" w:ascii="宋体" w:hAnsi="宋体" w:eastAsia="宋体" w:cs="宋体"/>
                <w:b w:val="0"/>
                <w:bCs w:val="0"/>
                <w:color w:val="auto"/>
                <w:kern w:val="0"/>
                <w:sz w:val="15"/>
                <w:szCs w:val="15"/>
                <w:highlight w:val="none"/>
                <w:lang w:eastAsia="zh-CN"/>
              </w:rPr>
            </w:pPr>
          </w:p>
        </w:tc>
        <w:tc>
          <w:tcPr>
            <w:tcW w:w="1304" w:type="dxa"/>
            <w:gridSpan w:val="2"/>
            <w:noWrap w:val="0"/>
            <w:vAlign w:val="center"/>
          </w:tcPr>
          <w:p w14:paraId="0E664766">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区级</w:t>
            </w:r>
          </w:p>
          <w:p w14:paraId="27E01CB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469667C8">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C4642600</w:t>
            </w:r>
          </w:p>
        </w:tc>
      </w:tr>
      <w:tr w14:paraId="1047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065" w:hRule="atLeast"/>
        </w:trPr>
        <w:tc>
          <w:tcPr>
            <w:tcW w:w="714" w:type="dxa"/>
            <w:noWrap w:val="0"/>
            <w:vAlign w:val="center"/>
          </w:tcPr>
          <w:p w14:paraId="760D8BC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626" w:type="dxa"/>
            <w:gridSpan w:val="2"/>
            <w:noWrap w:val="0"/>
            <w:vAlign w:val="center"/>
          </w:tcPr>
          <w:p w14:paraId="6996E1B7">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收集、运输单位未按要求将生活垃圾运输至集中收集设施或者转运、处理设施</w:t>
            </w:r>
          </w:p>
        </w:tc>
        <w:tc>
          <w:tcPr>
            <w:tcW w:w="2981" w:type="dxa"/>
            <w:vMerge w:val="restart"/>
            <w:noWrap w:val="0"/>
            <w:vAlign w:val="center"/>
          </w:tcPr>
          <w:p w14:paraId="266D43E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noWrap w:val="0"/>
            <w:vAlign w:val="center"/>
          </w:tcPr>
          <w:p w14:paraId="3EB39DC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vMerge w:val="restart"/>
            <w:noWrap w:val="0"/>
            <w:vAlign w:val="center"/>
          </w:tcPr>
          <w:p w14:paraId="6095015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DBAB1FF">
            <w:pPr>
              <w:numPr>
                <w:ilvl w:val="0"/>
                <w:numId w:val="0"/>
              </w:numPr>
              <w:spacing w:line="232" w:lineRule="exact"/>
              <w:rPr>
                <w:rFonts w:hint="eastAsia" w:ascii="宋体" w:hAnsi="宋体"/>
                <w:b w:val="0"/>
                <w:bCs w:val="0"/>
                <w:strike w:val="0"/>
                <w:dstrike w:val="0"/>
                <w:color w:val="auto"/>
                <w:sz w:val="15"/>
                <w:szCs w:val="15"/>
                <w:highlight w:val="none"/>
                <w:lang w:val="en-US" w:eastAsia="zh-CN"/>
              </w:rPr>
            </w:pP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b w:val="0"/>
                <w:bCs w:val="0"/>
                <w:strike w:val="0"/>
                <w:dstrike w:val="0"/>
                <w:color w:val="auto"/>
                <w:sz w:val="15"/>
                <w:szCs w:val="15"/>
                <w:highlight w:val="none"/>
                <w:lang w:val="en-US" w:eastAsia="zh-CN"/>
              </w:rPr>
              <w:t>存在使用不合规车辆的，系数1。</w:t>
            </w:r>
          </w:p>
          <w:p w14:paraId="6626F661">
            <w:pPr>
              <w:numPr>
                <w:ilvl w:val="0"/>
                <w:numId w:val="0"/>
              </w:numPr>
              <w:spacing w:line="232" w:lineRule="exact"/>
              <w:rPr>
                <w:rFonts w:hint="eastAsia" w:ascii="宋体" w:hAnsi="宋体" w:eastAsia="宋体"/>
                <w:b w:val="0"/>
                <w:bCs w:val="0"/>
                <w:color w:val="auto"/>
                <w:sz w:val="15"/>
                <w:szCs w:val="15"/>
                <w:highlight w:val="none"/>
                <w:lang w:eastAsia="zh-CN"/>
              </w:rPr>
            </w:pPr>
            <w:r>
              <w:rPr>
                <w:rFonts w:hint="eastAsia" w:ascii="宋体" w:hAnsi="宋体"/>
                <w:b w:val="0"/>
                <w:bCs w:val="0"/>
                <w:color w:val="auto"/>
                <w:sz w:val="15"/>
                <w:szCs w:val="15"/>
                <w:highlight w:val="none"/>
                <w:lang w:val="en-US" w:eastAsia="zh-CN"/>
              </w:rPr>
              <w:t>2.运输</w:t>
            </w:r>
            <w:r>
              <w:rPr>
                <w:rFonts w:hint="eastAsia" w:ascii="宋体" w:hAnsi="宋体" w:eastAsia="宋体"/>
                <w:b w:val="0"/>
                <w:bCs w:val="0"/>
                <w:color w:val="auto"/>
                <w:sz w:val="15"/>
                <w:szCs w:val="15"/>
                <w:highlight w:val="none"/>
                <w:lang w:val="en-US" w:eastAsia="zh-CN"/>
              </w:rPr>
              <w:t>2车次或者垃圾运输量5吨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以上10吨以下的，系数1</w:t>
            </w:r>
            <w:r>
              <w:rPr>
                <w:rFonts w:hint="eastAsia" w:ascii="宋体" w:hAnsi="宋体"/>
                <w:b w:val="0"/>
                <w:bCs w:val="0"/>
                <w:color w:val="auto"/>
                <w:sz w:val="15"/>
                <w:szCs w:val="15"/>
                <w:highlight w:val="none"/>
                <w:lang w:val="en-US" w:eastAsia="zh-CN"/>
              </w:rPr>
              <w:t>；3车次或者10吨及以上20吨以下的，系数2；4车次或者20吨及以上30吨以下的，系数3；5车次或者30吨及以上40吨以下的，系数4；6车次或者40吨及以上50吨以下的，系数5；</w:t>
            </w:r>
            <w:r>
              <w:rPr>
                <w:rFonts w:hint="eastAsia" w:ascii="宋体" w:hAnsi="宋体" w:eastAsia="宋体"/>
                <w:b w:val="0"/>
                <w:bCs w:val="0"/>
                <w:color w:val="auto"/>
                <w:sz w:val="15"/>
                <w:szCs w:val="15"/>
                <w:highlight w:val="none"/>
                <w:lang w:val="en-US" w:eastAsia="zh-CN"/>
              </w:rPr>
              <w:t>以此类推，每增加1车次或者每增加10吨，系数加1，10车次及以上或者</w:t>
            </w:r>
            <w:r>
              <w:rPr>
                <w:rFonts w:hint="eastAsia" w:ascii="宋体" w:hAnsi="宋体"/>
                <w:b w:val="0"/>
                <w:bCs w:val="0"/>
                <w:color w:val="auto"/>
                <w:sz w:val="15"/>
                <w:szCs w:val="15"/>
                <w:highlight w:val="none"/>
                <w:lang w:val="en-US" w:eastAsia="zh-CN"/>
              </w:rPr>
              <w:t>80</w:t>
            </w:r>
            <w:r>
              <w:rPr>
                <w:rFonts w:hint="eastAsia" w:ascii="宋体" w:hAnsi="宋体" w:eastAsia="宋体"/>
                <w:b w:val="0"/>
                <w:bCs w:val="0"/>
                <w:color w:val="auto"/>
                <w:sz w:val="15"/>
                <w:szCs w:val="15"/>
                <w:highlight w:val="none"/>
                <w:lang w:val="en-US" w:eastAsia="zh-CN"/>
              </w:rPr>
              <w:t>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以上的，系数9。3.</w:t>
            </w:r>
            <w:r>
              <w:rPr>
                <w:rFonts w:hint="eastAsia" w:ascii="宋体" w:hAnsi="宋体"/>
                <w:b w:val="0"/>
                <w:bCs w:val="0"/>
                <w:color w:val="auto"/>
                <w:sz w:val="15"/>
                <w:szCs w:val="15"/>
                <w:highlight w:val="none"/>
                <w:lang w:eastAsia="zh-CN"/>
              </w:rPr>
              <w:t>出现</w:t>
            </w:r>
            <w:r>
              <w:rPr>
                <w:rFonts w:hint="eastAsia" w:ascii="宋体" w:hAnsi="宋体" w:eastAsia="宋体"/>
                <w:b w:val="0"/>
                <w:bCs w:val="0"/>
                <w:color w:val="auto"/>
                <w:sz w:val="15"/>
                <w:szCs w:val="15"/>
                <w:highlight w:val="none"/>
              </w:rPr>
              <w:t>造成环境较严重影响</w:t>
            </w:r>
            <w:r>
              <w:rPr>
                <w:rFonts w:hint="eastAsia" w:ascii="宋体" w:hAnsi="宋体"/>
                <w:b w:val="0"/>
                <w:bCs w:val="0"/>
                <w:color w:val="auto"/>
                <w:sz w:val="15"/>
                <w:szCs w:val="15"/>
                <w:highlight w:val="none"/>
                <w:lang w:eastAsia="zh-CN"/>
              </w:rPr>
              <w:t>的</w:t>
            </w:r>
            <w:r>
              <w:rPr>
                <w:rFonts w:hint="eastAsia" w:ascii="宋体" w:hAnsi="宋体" w:eastAsia="宋体"/>
                <w:b w:val="0"/>
                <w:bCs w:val="0"/>
                <w:color w:val="auto"/>
                <w:sz w:val="15"/>
                <w:szCs w:val="15"/>
                <w:highlight w:val="none"/>
              </w:rPr>
              <w:t>，系数</w:t>
            </w:r>
            <w:r>
              <w:rPr>
                <w:rFonts w:hint="eastAsia" w:ascii="宋体" w:hAnsi="宋体"/>
                <w:b w:val="0"/>
                <w:bCs w:val="0"/>
                <w:strike w:val="0"/>
                <w:dstrike w:val="0"/>
                <w:color w:val="auto"/>
                <w:sz w:val="15"/>
                <w:szCs w:val="15"/>
                <w:highlight w:val="none"/>
                <w:lang w:val="en-US" w:eastAsia="zh-CN"/>
              </w:rPr>
              <w:t>5-6</w:t>
            </w:r>
            <w:r>
              <w:rPr>
                <w:rFonts w:hint="eastAsia" w:ascii="宋体" w:hAnsi="宋体" w:eastAsia="宋体"/>
                <w:b w:val="0"/>
                <w:bCs w:val="0"/>
                <w:color w:val="auto"/>
                <w:sz w:val="15"/>
                <w:szCs w:val="15"/>
                <w:highlight w:val="none"/>
                <w:lang w:eastAsia="zh-CN"/>
              </w:rPr>
              <w:t>。</w:t>
            </w:r>
          </w:p>
          <w:p w14:paraId="4A14FC9E">
            <w:pPr>
              <w:numPr>
                <w:ilvl w:val="0"/>
                <w:numId w:val="0"/>
              </w:num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restart"/>
            <w:noWrap w:val="0"/>
            <w:vAlign w:val="center"/>
          </w:tcPr>
          <w:p w14:paraId="16CA424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vMerge w:val="restart"/>
            <w:noWrap w:val="0"/>
            <w:vAlign w:val="center"/>
          </w:tcPr>
          <w:p w14:paraId="4B97CB04">
            <w:pPr>
              <w:numPr>
                <w:ilvl w:val="0"/>
                <w:numId w:val="1"/>
              </w:num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14:paraId="4E8898E9">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1304" w:type="dxa"/>
            <w:gridSpan w:val="2"/>
            <w:noWrap w:val="0"/>
            <w:vAlign w:val="center"/>
          </w:tcPr>
          <w:p w14:paraId="5087CC7B">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1B48B15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10F4F728">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C4641400</w:t>
            </w:r>
          </w:p>
        </w:tc>
      </w:tr>
      <w:tr w14:paraId="43DE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986" w:hRule="atLeast"/>
        </w:trPr>
        <w:tc>
          <w:tcPr>
            <w:tcW w:w="714" w:type="dxa"/>
            <w:noWrap w:val="0"/>
            <w:vAlign w:val="center"/>
          </w:tcPr>
          <w:p w14:paraId="7558190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626" w:type="dxa"/>
            <w:gridSpan w:val="2"/>
            <w:noWrap w:val="0"/>
            <w:vAlign w:val="center"/>
          </w:tcPr>
          <w:p w14:paraId="13EA0B6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收集、运输单位将生活垃圾混装混运</w:t>
            </w:r>
          </w:p>
        </w:tc>
        <w:tc>
          <w:tcPr>
            <w:tcW w:w="2981" w:type="dxa"/>
            <w:vMerge w:val="continue"/>
            <w:noWrap w:val="0"/>
            <w:vAlign w:val="center"/>
          </w:tcPr>
          <w:p w14:paraId="2CB8E18F">
            <w:pPr>
              <w:spacing w:line="232" w:lineRule="exact"/>
              <w:rPr>
                <w:rFonts w:ascii="宋体" w:hAnsi="宋体" w:eastAsia="宋体"/>
                <w:color w:val="auto"/>
                <w:sz w:val="15"/>
                <w:szCs w:val="15"/>
                <w:highlight w:val="none"/>
              </w:rPr>
            </w:pPr>
          </w:p>
        </w:tc>
        <w:tc>
          <w:tcPr>
            <w:tcW w:w="851" w:type="dxa"/>
            <w:vMerge w:val="continue"/>
            <w:noWrap w:val="0"/>
            <w:vAlign w:val="center"/>
          </w:tcPr>
          <w:p w14:paraId="37283AE6">
            <w:pPr>
              <w:spacing w:line="232" w:lineRule="exact"/>
              <w:jc w:val="center"/>
              <w:rPr>
                <w:rFonts w:ascii="宋体" w:hAnsi="宋体" w:eastAsia="宋体" w:cs="宋体"/>
                <w:color w:val="auto"/>
                <w:kern w:val="0"/>
                <w:sz w:val="15"/>
                <w:szCs w:val="15"/>
                <w:highlight w:val="none"/>
              </w:rPr>
            </w:pPr>
          </w:p>
        </w:tc>
        <w:tc>
          <w:tcPr>
            <w:tcW w:w="840" w:type="dxa"/>
            <w:vMerge w:val="continue"/>
            <w:noWrap w:val="0"/>
            <w:vAlign w:val="center"/>
          </w:tcPr>
          <w:p w14:paraId="3D02B018">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2D3BAC6C">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1.将厨余垃圾混装混运，</w:t>
            </w:r>
            <w:r>
              <w:rPr>
                <w:rFonts w:hint="eastAsia" w:ascii="宋体" w:hAnsi="宋体"/>
                <w:strike w:val="0"/>
                <w:dstrike w:val="0"/>
                <w:color w:val="auto"/>
                <w:sz w:val="15"/>
                <w:szCs w:val="15"/>
                <w:highlight w:val="none"/>
                <w:lang w:eastAsia="zh-CN"/>
              </w:rPr>
              <w:t>系数</w:t>
            </w:r>
            <w:r>
              <w:rPr>
                <w:rFonts w:hint="eastAsia" w:ascii="宋体" w:hAnsi="宋体"/>
                <w:b/>
                <w:bCs/>
                <w:strike w:val="0"/>
                <w:dstrike w:val="0"/>
                <w:color w:val="auto"/>
                <w:sz w:val="15"/>
                <w:szCs w:val="15"/>
                <w:highlight w:val="none"/>
                <w:lang w:val="en-US" w:eastAsia="zh-CN"/>
              </w:rPr>
              <w:t>2</w:t>
            </w:r>
            <w:r>
              <w:rPr>
                <w:rFonts w:hint="eastAsia" w:ascii="宋体" w:hAnsi="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rPr>
              <w:t>2.将有害垃圾混装混运，</w:t>
            </w:r>
            <w:r>
              <w:rPr>
                <w:rFonts w:hint="eastAsia" w:ascii="宋体" w:hAnsi="宋体"/>
                <w:strike w:val="0"/>
                <w:dstrike w:val="0"/>
                <w:color w:val="auto"/>
                <w:sz w:val="15"/>
                <w:szCs w:val="15"/>
                <w:highlight w:val="none"/>
                <w:lang w:eastAsia="zh-CN"/>
              </w:rPr>
              <w:t>系数</w:t>
            </w:r>
            <w:r>
              <w:rPr>
                <w:rFonts w:hint="eastAsia" w:ascii="宋体" w:hAnsi="宋体"/>
                <w:b w:val="0"/>
                <w:bCs w:val="0"/>
                <w:strike w:val="0"/>
                <w:dstrike w:val="0"/>
                <w:color w:val="auto"/>
                <w:sz w:val="15"/>
                <w:szCs w:val="15"/>
                <w:highlight w:val="none"/>
                <w:lang w:val="en-US" w:eastAsia="zh-CN"/>
              </w:rPr>
              <w:t xml:space="preserve">3 </w:t>
            </w:r>
            <w:r>
              <w:rPr>
                <w:rFonts w:hint="eastAsia" w:ascii="宋体" w:hAnsi="宋体"/>
                <w:strike w:val="0"/>
                <w:dstrike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b w:val="0"/>
                <w:bCs w:val="0"/>
                <w:strike w:val="0"/>
                <w:dstrike w:val="0"/>
                <w:color w:val="auto"/>
                <w:sz w:val="15"/>
                <w:szCs w:val="15"/>
                <w:highlight w:val="none"/>
                <w:lang w:val="en-US" w:eastAsia="zh-CN"/>
              </w:rPr>
              <w:t>存在使用不合规车辆的，系数1。4.</w:t>
            </w:r>
            <w:r>
              <w:rPr>
                <w:rFonts w:hint="eastAsia" w:ascii="宋体" w:hAnsi="宋体" w:eastAsia="宋体"/>
                <w:b w:val="0"/>
                <w:bCs w:val="0"/>
                <w:color w:val="auto"/>
                <w:sz w:val="15"/>
                <w:szCs w:val="15"/>
                <w:highlight w:val="none"/>
                <w:lang w:val="en-US" w:eastAsia="zh-CN"/>
              </w:rPr>
              <w:t>运输2车次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垃圾运输量2吨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w:t>
            </w:r>
            <w:r>
              <w:rPr>
                <w:rFonts w:hint="eastAsia" w:ascii="宋体" w:hAnsi="宋体"/>
                <w:b w:val="0"/>
                <w:bCs w:val="0"/>
                <w:color w:val="auto"/>
                <w:sz w:val="15"/>
                <w:szCs w:val="15"/>
                <w:highlight w:val="none"/>
                <w:lang w:val="en-US" w:eastAsia="zh-CN"/>
              </w:rPr>
              <w:t>4吨以下</w:t>
            </w:r>
            <w:r>
              <w:rPr>
                <w:rFonts w:hint="eastAsia" w:ascii="宋体" w:hAnsi="宋体" w:eastAsia="宋体"/>
                <w:b w:val="0"/>
                <w:bCs w:val="0"/>
                <w:color w:val="auto"/>
                <w:sz w:val="15"/>
                <w:szCs w:val="15"/>
                <w:highlight w:val="none"/>
                <w:lang w:val="en-US" w:eastAsia="zh-CN"/>
              </w:rPr>
              <w:t>的，系数</w:t>
            </w:r>
            <w:r>
              <w:rPr>
                <w:rFonts w:hint="eastAsia" w:ascii="宋体" w:hAnsi="宋体"/>
                <w:b w:val="0"/>
                <w:bCs w:val="0"/>
                <w:color w:val="auto"/>
                <w:sz w:val="15"/>
                <w:szCs w:val="15"/>
                <w:highlight w:val="none"/>
                <w:lang w:val="en-US" w:eastAsia="zh-CN"/>
              </w:rPr>
              <w:t>1；运输3车次或者垃圾运输量4吨及以上6吨以下的，系数2；4车次或者6吨及以上8吨以下的，系数3；5车次或者8吨及以上10吨以下的，系数4；6车次或者10吨及以上12吨以下的，系数5；以此类推，10车次或者</w:t>
            </w:r>
            <w:r>
              <w:rPr>
                <w:rFonts w:hint="eastAsia" w:ascii="宋体" w:hAnsi="宋体" w:eastAsia="宋体"/>
                <w:b w:val="0"/>
                <w:bCs w:val="0"/>
                <w:color w:val="auto"/>
                <w:sz w:val="15"/>
                <w:szCs w:val="15"/>
                <w:highlight w:val="none"/>
                <w:lang w:val="en-US" w:eastAsia="zh-CN"/>
              </w:rPr>
              <w:t>18吨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以上，系数9</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color w:val="auto"/>
                <w:sz w:val="15"/>
                <w:szCs w:val="15"/>
                <w:highlight w:val="none"/>
              </w:rPr>
              <w:t>造成环境较严重影响的，系数</w:t>
            </w:r>
            <w:r>
              <w:rPr>
                <w:rFonts w:hint="eastAsia" w:ascii="宋体" w:hAnsi="宋体"/>
                <w:b w:val="0"/>
                <w:bCs w:val="0"/>
                <w:strike w:val="0"/>
                <w:dstrike w:val="0"/>
                <w:color w:val="auto"/>
                <w:sz w:val="15"/>
                <w:szCs w:val="15"/>
                <w:highlight w:val="none"/>
                <w:lang w:val="en-US" w:eastAsia="zh-CN"/>
              </w:rPr>
              <w:t>5-6</w:t>
            </w:r>
            <w:r>
              <w:rPr>
                <w:rFonts w:hint="eastAsia" w:ascii="宋体" w:hAnsi="宋体"/>
                <w:b w:val="0"/>
                <w:bCs w:val="0"/>
                <w:color w:val="auto"/>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continue"/>
            <w:noWrap w:val="0"/>
            <w:vAlign w:val="center"/>
          </w:tcPr>
          <w:p w14:paraId="74B49526">
            <w:pPr>
              <w:spacing w:line="232" w:lineRule="exact"/>
              <w:rPr>
                <w:rFonts w:ascii="宋体" w:hAnsi="宋体" w:eastAsia="宋体" w:cs="宋体"/>
                <w:color w:val="auto"/>
                <w:kern w:val="0"/>
                <w:sz w:val="15"/>
                <w:szCs w:val="15"/>
                <w:highlight w:val="none"/>
              </w:rPr>
            </w:pPr>
          </w:p>
        </w:tc>
        <w:tc>
          <w:tcPr>
            <w:tcW w:w="2020" w:type="dxa"/>
            <w:gridSpan w:val="2"/>
            <w:vMerge w:val="continue"/>
            <w:noWrap w:val="0"/>
            <w:vAlign w:val="center"/>
          </w:tcPr>
          <w:p w14:paraId="3863B0B7">
            <w:pPr>
              <w:spacing w:line="232" w:lineRule="exact"/>
              <w:rPr>
                <w:rFonts w:ascii="宋体" w:hAnsi="宋体" w:eastAsia="宋体" w:cs="宋体"/>
                <w:b w:val="0"/>
                <w:bCs w:val="0"/>
                <w:color w:val="auto"/>
                <w:kern w:val="0"/>
                <w:sz w:val="15"/>
                <w:szCs w:val="15"/>
                <w:highlight w:val="none"/>
              </w:rPr>
            </w:pPr>
          </w:p>
        </w:tc>
        <w:tc>
          <w:tcPr>
            <w:tcW w:w="1304" w:type="dxa"/>
            <w:gridSpan w:val="2"/>
            <w:noWrap w:val="0"/>
            <w:vAlign w:val="center"/>
          </w:tcPr>
          <w:p w14:paraId="424A8E5A">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249CA55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2D3CC183">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C4641400</w:t>
            </w:r>
          </w:p>
        </w:tc>
      </w:tr>
      <w:tr w14:paraId="4999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04" w:hRule="atLeast"/>
        </w:trPr>
        <w:tc>
          <w:tcPr>
            <w:tcW w:w="714" w:type="dxa"/>
            <w:noWrap w:val="0"/>
            <w:vAlign w:val="center"/>
          </w:tcPr>
          <w:p w14:paraId="06D2B14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626" w:type="dxa"/>
            <w:gridSpan w:val="2"/>
            <w:noWrap w:val="0"/>
            <w:vAlign w:val="center"/>
          </w:tcPr>
          <w:p w14:paraId="73E54F3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收集、运输单位随意倾倒、丢弃、遗撒、堆放生活垃圾</w:t>
            </w:r>
          </w:p>
        </w:tc>
        <w:tc>
          <w:tcPr>
            <w:tcW w:w="2981" w:type="dxa"/>
            <w:noWrap w:val="0"/>
            <w:vAlign w:val="center"/>
          </w:tcPr>
          <w:p w14:paraId="4C9C014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noWrap w:val="0"/>
            <w:vAlign w:val="center"/>
          </w:tcPr>
          <w:p w14:paraId="0BEF87C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14:paraId="318FED1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154FEB2">
            <w:pPr>
              <w:widowControl w:val="0"/>
              <w:numPr>
                <w:ilvl w:val="0"/>
                <w:numId w:val="0"/>
              </w:numPr>
              <w:jc w:val="both"/>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2.垃圾占地面积在5㎡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color w:val="auto"/>
                <w:kern w:val="0"/>
                <w:sz w:val="15"/>
                <w:szCs w:val="15"/>
                <w:highlight w:val="none"/>
              </w:rPr>
              <w:t>0；6－10㎡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随意倾倒、丢弃、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耕地、公厕、河道、铁路、轨道交通、桥下空间等公共场所及周边</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w:t>
            </w:r>
            <w:r>
              <w:rPr>
                <w:rFonts w:hint="eastAsia" w:ascii="宋体" w:hAnsi="宋体" w:eastAsia="宋体" w:cs="宋体"/>
                <w:color w:val="auto"/>
                <w:kern w:val="0"/>
                <w:sz w:val="15"/>
                <w:szCs w:val="15"/>
                <w:highlight w:val="none"/>
                <w:lang w:eastAsia="zh-CN"/>
              </w:rPr>
              <w:t>、石油长输管道、供水、排水、电力、通信</w:t>
            </w:r>
            <w:r>
              <w:rPr>
                <w:rFonts w:hint="eastAsia" w:ascii="宋体" w:hAnsi="宋体" w:eastAsia="宋体" w:cs="宋体"/>
                <w:color w:val="auto"/>
                <w:kern w:val="0"/>
                <w:sz w:val="15"/>
                <w:szCs w:val="15"/>
                <w:highlight w:val="none"/>
              </w:rPr>
              <w:t>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color w:val="auto"/>
                <w:sz w:val="15"/>
                <w:szCs w:val="15"/>
                <w:highlight w:val="none"/>
                <w:lang w:val="en-US" w:eastAsia="zh-CN"/>
              </w:rPr>
              <w:t xml:space="preserve"> 5</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.对环境造成较严重影响的，系数</w:t>
            </w:r>
            <w:r>
              <w:rPr>
                <w:rFonts w:hint="eastAsia" w:ascii="宋体" w:hAnsi="宋体"/>
                <w:b w:val="0"/>
                <w:bCs w:val="0"/>
                <w:strike w:val="0"/>
                <w:dstrike w:val="0"/>
                <w:color w:val="auto"/>
                <w:sz w:val="15"/>
                <w:szCs w:val="15"/>
                <w:highlight w:val="none"/>
                <w:lang w:val="en-US" w:eastAsia="zh-CN"/>
              </w:rPr>
              <w:t>5-6</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存在基准2.1.3规定情形的，系数按照相关规定确定。</w:t>
            </w:r>
          </w:p>
        </w:tc>
        <w:tc>
          <w:tcPr>
            <w:tcW w:w="1875" w:type="dxa"/>
            <w:gridSpan w:val="2"/>
            <w:noWrap w:val="0"/>
            <w:vAlign w:val="center"/>
          </w:tcPr>
          <w:p w14:paraId="1641B33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14:paraId="718396FF">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1C128C5F">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14:paraId="55C145D2">
            <w:pPr>
              <w:spacing w:line="232" w:lineRule="exac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14:paraId="6A9900EE">
            <w:pPr>
              <w:pStyle w:val="8"/>
              <w:rPr>
                <w:color w:val="auto"/>
                <w:highlight w:val="none"/>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倾倒、丢弃、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w:t>
            </w:r>
            <w:r>
              <w:rPr>
                <w:rFonts w:hint="eastAsia" w:ascii="宋体" w:hAnsi="宋体" w:eastAsia="宋体" w:cs="宋体"/>
                <w:color w:val="auto"/>
                <w:kern w:val="0"/>
                <w:sz w:val="15"/>
                <w:szCs w:val="15"/>
                <w:highlight w:val="none"/>
                <w:lang w:val="en-US" w:eastAsia="zh-CN"/>
              </w:rPr>
              <w:t>不</w:t>
            </w:r>
            <w:r>
              <w:rPr>
                <w:rFonts w:hint="eastAsia" w:ascii="宋体" w:hAnsi="宋体" w:eastAsia="宋体" w:cs="宋体"/>
                <w:color w:val="auto"/>
                <w:kern w:val="0"/>
                <w:sz w:val="15"/>
                <w:szCs w:val="15"/>
                <w:highlight w:val="none"/>
                <w:lang w:eastAsia="zh-CN"/>
              </w:rPr>
              <w:t>适用区域台账。</w:t>
            </w:r>
          </w:p>
        </w:tc>
        <w:tc>
          <w:tcPr>
            <w:tcW w:w="1304" w:type="dxa"/>
            <w:gridSpan w:val="2"/>
            <w:noWrap w:val="0"/>
            <w:vAlign w:val="center"/>
          </w:tcPr>
          <w:p w14:paraId="0292077F">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22EE0F1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5C813744">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C4641400</w:t>
            </w:r>
          </w:p>
        </w:tc>
      </w:tr>
      <w:tr w14:paraId="70A1B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414" w:hRule="atLeast"/>
        </w:trPr>
        <w:tc>
          <w:tcPr>
            <w:tcW w:w="714" w:type="dxa"/>
            <w:noWrap w:val="0"/>
            <w:vAlign w:val="center"/>
          </w:tcPr>
          <w:p w14:paraId="5BCE4FD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626" w:type="dxa"/>
            <w:gridSpan w:val="2"/>
            <w:noWrap w:val="0"/>
            <w:vAlign w:val="center"/>
          </w:tcPr>
          <w:p w14:paraId="510585A0">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收集、运输单位未落实生活垃圾管理</w:t>
            </w:r>
            <w:r>
              <w:rPr>
                <w:rFonts w:hint="eastAsia" w:ascii="宋体" w:hAnsi="宋体" w:eastAsia="宋体"/>
                <w:color w:val="auto"/>
                <w:sz w:val="15"/>
                <w:szCs w:val="15"/>
                <w:highlight w:val="none"/>
                <w:shd w:val="clear" w:color="auto" w:fill="auto"/>
              </w:rPr>
              <w:t>台</w:t>
            </w:r>
            <w:r>
              <w:rPr>
                <w:rFonts w:hint="eastAsia" w:ascii="宋体" w:hAnsi="宋体" w:eastAsia="宋体"/>
                <w:color w:val="auto"/>
                <w:sz w:val="15"/>
                <w:szCs w:val="15"/>
                <w:highlight w:val="none"/>
                <w:shd w:val="clear" w:color="auto" w:fill="auto"/>
                <w:lang w:eastAsia="zh-CN"/>
              </w:rPr>
              <w:t>账</w:t>
            </w:r>
            <w:r>
              <w:rPr>
                <w:rFonts w:hint="eastAsia" w:ascii="宋体" w:hAnsi="宋体" w:eastAsia="宋体"/>
                <w:color w:val="auto"/>
                <w:sz w:val="15"/>
                <w:szCs w:val="15"/>
                <w:highlight w:val="none"/>
              </w:rPr>
              <w:t>制度</w:t>
            </w:r>
          </w:p>
        </w:tc>
        <w:tc>
          <w:tcPr>
            <w:tcW w:w="2981" w:type="dxa"/>
            <w:noWrap w:val="0"/>
            <w:vAlign w:val="center"/>
          </w:tcPr>
          <w:p w14:paraId="2006C4D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noWrap w:val="0"/>
            <w:vAlign w:val="center"/>
          </w:tcPr>
          <w:p w14:paraId="1E69448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5D392B8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D00123D">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1.已建立</w:t>
            </w:r>
            <w:r>
              <w:rPr>
                <w:rFonts w:hint="eastAsia" w:ascii="宋体" w:hAnsi="宋体" w:eastAsia="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rPr>
              <w:t>而记录内容不完整的，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；2.未建立</w:t>
            </w:r>
            <w:r>
              <w:rPr>
                <w:rFonts w:hint="eastAsia" w:ascii="宋体" w:hAnsi="宋体" w:eastAsia="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rPr>
              <w:t>的</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3-</w:t>
            </w:r>
            <w:r>
              <w:rPr>
                <w:rFonts w:ascii="宋体" w:hAnsi="宋体" w:eastAsia="宋体" w:cs="仿宋_GB2312"/>
                <w:color w:val="auto"/>
                <w:kern w:val="0"/>
                <w:sz w:val="15"/>
                <w:szCs w:val="15"/>
                <w:highlight w:val="none"/>
              </w:rPr>
              <w:t>6</w:t>
            </w:r>
            <w:r>
              <w:rPr>
                <w:rFonts w:hint="eastAsia" w:ascii="宋体" w:hAnsi="宋体" w:eastAsia="宋体" w:cs="宋体"/>
                <w:color w:val="auto"/>
                <w:kern w:val="0"/>
                <w:sz w:val="15"/>
                <w:szCs w:val="15"/>
                <w:highlight w:val="none"/>
              </w:rPr>
              <w:t>；3.台账记录存在弄虚作假或</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较严重影响的情形，系数7-9</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7DF635A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restart"/>
            <w:noWrap w:val="0"/>
            <w:vAlign w:val="center"/>
          </w:tcPr>
          <w:p w14:paraId="15C581E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14:paraId="1131994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1304" w:type="dxa"/>
            <w:gridSpan w:val="2"/>
            <w:noWrap w:val="0"/>
            <w:vAlign w:val="center"/>
          </w:tcPr>
          <w:p w14:paraId="6A0C62CD">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7C6CC0F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4F6676C6">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C4642000</w:t>
            </w:r>
          </w:p>
        </w:tc>
      </w:tr>
      <w:tr w14:paraId="1B909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35" w:hRule="atLeast"/>
        </w:trPr>
        <w:tc>
          <w:tcPr>
            <w:tcW w:w="714" w:type="dxa"/>
            <w:noWrap w:val="0"/>
            <w:vAlign w:val="center"/>
          </w:tcPr>
          <w:p w14:paraId="5386330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626" w:type="dxa"/>
            <w:gridSpan w:val="2"/>
            <w:noWrap w:val="0"/>
            <w:vAlign w:val="center"/>
          </w:tcPr>
          <w:p w14:paraId="63FD2EE2">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未按规定接收、分类处理生活垃圾</w:t>
            </w:r>
          </w:p>
        </w:tc>
        <w:tc>
          <w:tcPr>
            <w:tcW w:w="2981" w:type="dxa"/>
            <w:noWrap w:val="0"/>
            <w:vAlign w:val="center"/>
          </w:tcPr>
          <w:p w14:paraId="2990896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noWrap w:val="0"/>
            <w:vAlign w:val="center"/>
          </w:tcPr>
          <w:p w14:paraId="625C590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14:paraId="37CD410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210C26B">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w:t>
            </w:r>
            <w:r>
              <w:rPr>
                <w:rFonts w:hint="eastAsia" w:ascii="宋体" w:hAnsi="宋体" w:eastAsia="宋体" w:cs="宋体"/>
                <w:color w:val="auto"/>
                <w:kern w:val="0"/>
                <w:sz w:val="15"/>
                <w:szCs w:val="15"/>
                <w:highlight w:val="none"/>
                <w:lang w:val="en-US" w:eastAsia="zh-CN"/>
              </w:rPr>
              <w:t>的，系数1；</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3C80AA6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noWrap w:val="0"/>
            <w:vAlign w:val="center"/>
          </w:tcPr>
          <w:p w14:paraId="7FE78A92">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7747B83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334459AA">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C4643400</w:t>
            </w:r>
          </w:p>
        </w:tc>
      </w:tr>
      <w:tr w14:paraId="62BA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30" w:hRule="atLeast"/>
        </w:trPr>
        <w:tc>
          <w:tcPr>
            <w:tcW w:w="714" w:type="dxa"/>
            <w:noWrap w:val="0"/>
            <w:vAlign w:val="center"/>
          </w:tcPr>
          <w:p w14:paraId="7843A5D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626" w:type="dxa"/>
            <w:gridSpan w:val="2"/>
            <w:noWrap w:val="0"/>
            <w:vAlign w:val="center"/>
          </w:tcPr>
          <w:p w14:paraId="2B6B4052">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未按规定交运、处理建筑垃圾</w:t>
            </w:r>
          </w:p>
        </w:tc>
        <w:tc>
          <w:tcPr>
            <w:tcW w:w="2981" w:type="dxa"/>
            <w:noWrap w:val="0"/>
            <w:vAlign w:val="center"/>
          </w:tcPr>
          <w:p w14:paraId="590097E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违反条款：第四十七条第一款；处罚条款：第七十三条 责令限期改正，处一万元以上十万元以下罚款。</w:t>
            </w:r>
          </w:p>
        </w:tc>
        <w:tc>
          <w:tcPr>
            <w:tcW w:w="851" w:type="dxa"/>
            <w:noWrap w:val="0"/>
            <w:vAlign w:val="center"/>
          </w:tcPr>
          <w:p w14:paraId="3202466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4E0921D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CF17C2B">
            <w:pPr>
              <w:spacing w:line="232" w:lineRule="exact"/>
              <w:rPr>
                <w:rFonts w:ascii="宋体" w:hAnsi="宋体" w:eastAsia="宋体"/>
                <w:color w:val="auto"/>
                <w:sz w:val="15"/>
                <w:szCs w:val="15"/>
                <w:highlight w:val="none"/>
              </w:rPr>
            </w:pP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建筑垃圾产生量较大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造成环境较严重影响的，系数4-9。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23501C7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176B734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b w:val="0"/>
                <w:bCs w:val="0"/>
                <w:color w:val="auto"/>
                <w:kern w:val="0"/>
                <w:sz w:val="15"/>
                <w:szCs w:val="15"/>
                <w:highlight w:val="none"/>
                <w:lang w:eastAsia="zh-CN"/>
              </w:rPr>
              <w:t>本案由适用于建设工程的建设单位、拆除工程的承担单位；涉及施工单位</w:t>
            </w:r>
            <w:r>
              <w:rPr>
                <w:rFonts w:hint="eastAsia" w:ascii="宋体" w:hAnsi="宋体" w:eastAsia="宋体"/>
                <w:color w:val="auto"/>
                <w:sz w:val="15"/>
                <w:szCs w:val="15"/>
                <w:highlight w:val="none"/>
              </w:rPr>
              <w:t>未按规定交运、处理建筑垃圾</w:t>
            </w:r>
            <w:r>
              <w:rPr>
                <w:rFonts w:hint="eastAsia" w:ascii="宋体" w:hAnsi="宋体" w:eastAsia="宋体" w:cs="宋体"/>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c>
          <w:tcPr>
            <w:tcW w:w="1304" w:type="dxa"/>
            <w:gridSpan w:val="2"/>
            <w:noWrap w:val="0"/>
            <w:vAlign w:val="center"/>
          </w:tcPr>
          <w:p w14:paraId="1AA4F0A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3E5F02D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77DD7E36">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C4608900</w:t>
            </w:r>
          </w:p>
        </w:tc>
      </w:tr>
      <w:tr w14:paraId="78A0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31" w:hRule="atLeast"/>
        </w:trPr>
        <w:tc>
          <w:tcPr>
            <w:tcW w:w="714" w:type="dxa"/>
            <w:noWrap w:val="0"/>
            <w:vAlign w:val="center"/>
          </w:tcPr>
          <w:p w14:paraId="78D1799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626" w:type="dxa"/>
            <w:gridSpan w:val="2"/>
            <w:noWrap w:val="0"/>
            <w:vAlign w:val="center"/>
          </w:tcPr>
          <w:p w14:paraId="5467194E">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餐饮服务单位未按规定收集、处理厨余垃圾</w:t>
            </w:r>
          </w:p>
        </w:tc>
        <w:tc>
          <w:tcPr>
            <w:tcW w:w="2981" w:type="dxa"/>
            <w:noWrap w:val="0"/>
            <w:vAlign w:val="center"/>
          </w:tcPr>
          <w:p w14:paraId="14E4B86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违反条款：第四十八条第二款；处罚条款：第七十四条第一款 处十万元以上一百万元以下罚款，没收违法所得。</w:t>
            </w:r>
          </w:p>
        </w:tc>
        <w:tc>
          <w:tcPr>
            <w:tcW w:w="851" w:type="dxa"/>
            <w:noWrap w:val="0"/>
            <w:vAlign w:val="center"/>
          </w:tcPr>
          <w:p w14:paraId="4296BB8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noWrap w:val="0"/>
            <w:vAlign w:val="center"/>
          </w:tcPr>
          <w:p w14:paraId="3A419E0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E3C7B22">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1.将厨余垃圾随意倾倒、丢弃、堆放</w:t>
            </w:r>
            <w:r>
              <w:rPr>
                <w:rFonts w:hint="eastAsia" w:ascii="宋体" w:hAnsi="宋体" w:eastAsia="宋体" w:cs="宋体"/>
                <w:strike w:val="0"/>
                <w:dstrike w:val="0"/>
                <w:color w:val="auto"/>
                <w:kern w:val="0"/>
                <w:sz w:val="15"/>
                <w:szCs w:val="15"/>
                <w:highlight w:val="none"/>
              </w:rPr>
              <w:t>至</w:t>
            </w:r>
            <w:r>
              <w:rPr>
                <w:rFonts w:hint="eastAsia" w:ascii="宋体" w:hAnsi="宋体" w:eastAsia="宋体" w:cs="宋体"/>
                <w:color w:val="auto"/>
                <w:kern w:val="0"/>
                <w:sz w:val="15"/>
                <w:szCs w:val="15"/>
                <w:highlight w:val="none"/>
              </w:rPr>
              <w:t>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w:t>
            </w:r>
            <w:r>
              <w:rPr>
                <w:rFonts w:hint="eastAsia" w:ascii="宋体" w:hAnsi="宋体" w:eastAsia="宋体" w:cs="宋体"/>
                <w:color w:val="auto"/>
                <w:kern w:val="0"/>
                <w:sz w:val="15"/>
                <w:szCs w:val="15"/>
                <w:highlight w:val="none"/>
                <w:shd w:val="clear" w:color="auto" w:fill="auto"/>
              </w:rPr>
              <w:t>、通信等公用管道和设施保护（管理）范围的，</w:t>
            </w:r>
            <w:r>
              <w:rPr>
                <w:rFonts w:hint="eastAsia" w:ascii="宋体" w:hAnsi="宋体" w:eastAsia="宋体" w:cs="宋体"/>
                <w:color w:val="auto"/>
                <w:kern w:val="0"/>
                <w:sz w:val="15"/>
                <w:szCs w:val="15"/>
                <w:highlight w:val="none"/>
                <w:shd w:val="clear" w:color="auto" w:fill="auto"/>
                <w:lang w:eastAsia="zh-CN"/>
              </w:rPr>
              <w:t>系数</w:t>
            </w:r>
            <w:r>
              <w:rPr>
                <w:rFonts w:hint="eastAsia" w:ascii="宋体" w:hAnsi="宋体" w:eastAsia="宋体" w:cs="宋体"/>
                <w:color w:val="auto"/>
                <w:kern w:val="0"/>
                <w:sz w:val="15"/>
                <w:szCs w:val="15"/>
                <w:highlight w:val="none"/>
                <w:shd w:val="clear" w:color="auto" w:fill="auto"/>
                <w:lang w:val="en-US" w:eastAsia="zh-CN"/>
              </w:rPr>
              <w:t>1-2。</w:t>
            </w:r>
            <w:r>
              <w:rPr>
                <w:rFonts w:hint="eastAsia" w:ascii="宋体" w:hAnsi="宋体" w:cs="宋体"/>
                <w:color w:val="auto"/>
                <w:kern w:val="0"/>
                <w:sz w:val="15"/>
                <w:szCs w:val="15"/>
                <w:highlight w:val="none"/>
                <w:shd w:val="clear" w:color="auto" w:fill="auto"/>
                <w:lang w:val="en-US" w:eastAsia="zh-CN"/>
              </w:rPr>
              <w:t>2</w:t>
            </w:r>
            <w:r>
              <w:rPr>
                <w:rFonts w:hint="eastAsia" w:ascii="宋体" w:hAnsi="宋体" w:eastAsia="宋体" w:cs="宋体"/>
                <w:color w:val="auto"/>
                <w:kern w:val="0"/>
                <w:sz w:val="15"/>
                <w:szCs w:val="15"/>
                <w:highlight w:val="none"/>
                <w:shd w:val="clear" w:color="auto" w:fill="auto"/>
              </w:rPr>
              <w:t>.</w:t>
            </w:r>
            <w:r>
              <w:rPr>
                <w:rFonts w:hint="eastAsia" w:ascii="宋体" w:hAnsi="宋体" w:eastAsia="宋体" w:cs="宋体"/>
                <w:color w:val="auto"/>
                <w:spacing w:val="-4"/>
                <w:kern w:val="0"/>
                <w:sz w:val="15"/>
                <w:szCs w:val="15"/>
                <w:highlight w:val="none"/>
                <w:shd w:val="clear" w:color="auto" w:fill="auto"/>
              </w:rPr>
              <w:t>厨余垃圾总量较大</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s="宋体"/>
                <w:color w:val="auto"/>
                <w:spacing w:val="-4"/>
                <w:kern w:val="0"/>
                <w:sz w:val="15"/>
                <w:szCs w:val="15"/>
                <w:highlight w:val="none"/>
                <w:shd w:val="clear" w:color="auto" w:fill="auto"/>
                <w:lang w:val="en-US" w:eastAsia="zh-CN"/>
              </w:rPr>
              <w:t>5吨及以上</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olor w:val="auto"/>
                <w:sz w:val="15"/>
                <w:szCs w:val="15"/>
                <w:highlight w:val="none"/>
                <w:shd w:val="clear" w:color="auto" w:fill="auto"/>
                <w:lang w:eastAsia="zh-CN"/>
              </w:rPr>
              <w:t>或</w:t>
            </w:r>
            <w:r>
              <w:rPr>
                <w:rFonts w:hint="eastAsia" w:ascii="宋体" w:hAnsi="宋体" w:eastAsia="宋体" w:cs="宋体"/>
                <w:color w:val="auto"/>
                <w:spacing w:val="-4"/>
                <w:kern w:val="0"/>
                <w:sz w:val="15"/>
                <w:szCs w:val="15"/>
                <w:highlight w:val="none"/>
                <w:shd w:val="clear" w:color="auto" w:fill="auto"/>
              </w:rPr>
              <w:t>持续时间较长</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s="宋体"/>
                <w:color w:val="auto"/>
                <w:spacing w:val="-4"/>
                <w:kern w:val="0"/>
                <w:sz w:val="15"/>
                <w:szCs w:val="15"/>
                <w:highlight w:val="none"/>
                <w:shd w:val="clear" w:color="auto" w:fill="auto"/>
                <w:lang w:val="en-US" w:eastAsia="zh-CN"/>
              </w:rPr>
              <w:t>5天及以上</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olor w:val="auto"/>
                <w:sz w:val="15"/>
                <w:szCs w:val="15"/>
                <w:highlight w:val="none"/>
                <w:shd w:val="clear" w:color="auto" w:fill="auto"/>
                <w:lang w:eastAsia="zh-CN"/>
              </w:rPr>
              <w:t>或</w:t>
            </w:r>
            <w:r>
              <w:rPr>
                <w:rFonts w:hint="eastAsia" w:ascii="宋体" w:hAnsi="宋体" w:eastAsia="宋体" w:cs="宋体"/>
                <w:color w:val="auto"/>
                <w:spacing w:val="-4"/>
                <w:kern w:val="0"/>
                <w:sz w:val="15"/>
                <w:szCs w:val="15"/>
                <w:highlight w:val="none"/>
                <w:shd w:val="clear" w:color="auto" w:fill="auto"/>
              </w:rPr>
              <w:t>对环境造成较严重影</w:t>
            </w:r>
            <w:r>
              <w:rPr>
                <w:rFonts w:hint="eastAsia" w:ascii="宋体" w:hAnsi="宋体" w:eastAsia="宋体" w:cs="宋体"/>
                <w:color w:val="auto"/>
                <w:spacing w:val="-4"/>
                <w:kern w:val="0"/>
                <w:sz w:val="15"/>
                <w:szCs w:val="15"/>
                <w:highlight w:val="none"/>
              </w:rPr>
              <w:t>响的，系数</w:t>
            </w:r>
            <w:r>
              <w:rPr>
                <w:rFonts w:hint="eastAsia" w:ascii="宋体" w:hAnsi="宋体" w:cs="宋体"/>
                <w:color w:val="auto"/>
                <w:spacing w:val="-4"/>
                <w:kern w:val="0"/>
                <w:sz w:val="15"/>
                <w:szCs w:val="15"/>
                <w:highlight w:val="none"/>
                <w:lang w:val="en-US" w:eastAsia="zh-CN"/>
              </w:rPr>
              <w:t>5</w:t>
            </w:r>
            <w:r>
              <w:rPr>
                <w:rFonts w:hint="eastAsia" w:ascii="宋体" w:hAnsi="宋体" w:eastAsia="宋体" w:cs="宋体"/>
                <w:color w:val="auto"/>
                <w:spacing w:val="-4"/>
                <w:kern w:val="0"/>
                <w:sz w:val="15"/>
                <w:szCs w:val="15"/>
                <w:highlight w:val="none"/>
              </w:rPr>
              <w:t>-</w:t>
            </w:r>
            <w:r>
              <w:rPr>
                <w:rFonts w:hint="eastAsia" w:ascii="宋体" w:hAnsi="宋体" w:cs="宋体"/>
                <w:color w:val="auto"/>
                <w:spacing w:val="-4"/>
                <w:kern w:val="0"/>
                <w:sz w:val="15"/>
                <w:szCs w:val="15"/>
                <w:highlight w:val="none"/>
                <w:lang w:val="en-US" w:eastAsia="zh-CN"/>
              </w:rPr>
              <w:t>6。</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2B01536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477A4E54">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6995126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76DB256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2C4845F0">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C4609000</w:t>
            </w:r>
          </w:p>
        </w:tc>
      </w:tr>
      <w:tr w14:paraId="30E2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7E92CC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626" w:type="dxa"/>
            <w:gridSpan w:val="2"/>
            <w:noWrap w:val="0"/>
            <w:vAlign w:val="center"/>
          </w:tcPr>
          <w:p w14:paraId="6AD180A5">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无资质单位和个人擅自收集、运输厨余垃圾</w:t>
            </w:r>
          </w:p>
        </w:tc>
        <w:tc>
          <w:tcPr>
            <w:tcW w:w="2981" w:type="dxa"/>
            <w:noWrap w:val="0"/>
            <w:vAlign w:val="center"/>
          </w:tcPr>
          <w:p w14:paraId="39C37E6B">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noWrap w:val="0"/>
            <w:vAlign w:val="center"/>
          </w:tcPr>
          <w:p w14:paraId="4AC85A63">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342BE579">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92AC1B0">
            <w:pPr>
              <w:spacing w:line="193" w:lineRule="exact"/>
              <w:rPr>
                <w:rFonts w:hint="default" w:ascii="宋体" w:hAnsi="宋体" w:eastAsia="宋体" w:cs="宋体"/>
                <w:b w:val="0"/>
                <w:bCs w:val="0"/>
                <w:color w:val="auto"/>
                <w:kern w:val="0"/>
                <w:sz w:val="15"/>
                <w:szCs w:val="15"/>
                <w:highlight w:val="none"/>
                <w:lang w:val="en-US" w:eastAsia="zh-CN"/>
              </w:rPr>
            </w:pPr>
            <w:r>
              <w:rPr>
                <w:rFonts w:hint="eastAsia" w:ascii="宋体" w:hAnsi="宋体" w:eastAsia="宋体" w:cs="宋体"/>
                <w:b w:val="0"/>
                <w:bCs w:val="0"/>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4099B1A5">
            <w:pPr>
              <w:spacing w:line="193"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690FE03B">
            <w:pPr>
              <w:spacing w:line="193" w:lineRule="exact"/>
              <w:rPr>
                <w:rFonts w:ascii="宋体" w:hAnsi="宋体" w:eastAsia="宋体" w:cs="宋体"/>
                <w:color w:val="auto"/>
                <w:kern w:val="0"/>
                <w:sz w:val="14"/>
                <w:szCs w:val="14"/>
                <w:highlight w:val="none"/>
              </w:rPr>
            </w:pPr>
          </w:p>
        </w:tc>
        <w:tc>
          <w:tcPr>
            <w:tcW w:w="1304" w:type="dxa"/>
            <w:gridSpan w:val="2"/>
            <w:noWrap w:val="0"/>
            <w:vAlign w:val="center"/>
          </w:tcPr>
          <w:p w14:paraId="62CB4E55">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3FFDF6B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2DA6E7BE">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C4609100</w:t>
            </w:r>
          </w:p>
        </w:tc>
      </w:tr>
      <w:tr w14:paraId="0EFAF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tcBorders>
              <w:top w:val="single" w:color="auto" w:sz="4" w:space="0"/>
              <w:left w:val="single" w:color="auto" w:sz="4" w:space="0"/>
              <w:bottom w:val="single" w:color="auto" w:sz="4" w:space="0"/>
              <w:right w:val="single" w:color="auto" w:sz="4" w:space="0"/>
            </w:tcBorders>
            <w:noWrap w:val="0"/>
            <w:vAlign w:val="center"/>
          </w:tcPr>
          <w:p w14:paraId="4B02AC9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0D731C1B">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集中转运、处理设施的运行管理单位未按规定和标准处理生活垃圾</w:t>
            </w:r>
          </w:p>
        </w:tc>
        <w:tc>
          <w:tcPr>
            <w:tcW w:w="2981" w:type="dxa"/>
            <w:tcBorders>
              <w:top w:val="single" w:color="auto" w:sz="4" w:space="0"/>
              <w:left w:val="single" w:color="auto" w:sz="4" w:space="0"/>
              <w:bottom w:val="single" w:color="auto" w:sz="4" w:space="0"/>
              <w:right w:val="single" w:color="auto" w:sz="4" w:space="0"/>
            </w:tcBorders>
            <w:noWrap w:val="0"/>
            <w:vAlign w:val="center"/>
          </w:tcPr>
          <w:p w14:paraId="7487E683">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0960FC31">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DC53002">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14:paraId="6912FA70">
            <w:pPr>
              <w:numPr>
                <w:ilvl w:val="0"/>
                <w:numId w:val="0"/>
              </w:numPr>
              <w:spacing w:line="232" w:lineRule="exact"/>
              <w:rPr>
                <w:rFonts w:hint="default" w:ascii="宋体" w:hAnsi="宋体" w:eastAsia="宋体"/>
                <w:b w:val="0"/>
                <w:bCs w:val="0"/>
                <w:color w:val="auto"/>
                <w:sz w:val="15"/>
                <w:szCs w:val="15"/>
                <w:highlight w:val="none"/>
                <w:lang w:val="en-US" w:eastAsia="zh-CN"/>
              </w:rPr>
            </w:pPr>
            <w:r>
              <w:rPr>
                <w:rFonts w:hint="eastAsia" w:ascii="宋体" w:hAnsi="宋体" w:eastAsia="宋体"/>
                <w:b w:val="0"/>
                <w:bCs w:val="0"/>
                <w:strike w:val="0"/>
                <w:dstrike w:val="0"/>
                <w:color w:val="auto"/>
                <w:sz w:val="15"/>
                <w:szCs w:val="15"/>
                <w:highlight w:val="none"/>
                <w:lang w:val="en-US" w:eastAsia="zh-CN"/>
              </w:rPr>
              <w:t>1.未按照要求处理</w:t>
            </w:r>
            <w:r>
              <w:rPr>
                <w:rFonts w:hint="eastAsia" w:ascii="宋体" w:hAnsi="宋体"/>
                <w:b w:val="0"/>
                <w:bCs w:val="0"/>
                <w:strike w:val="0"/>
                <w:dstrike w:val="0"/>
                <w:color w:val="auto"/>
                <w:sz w:val="15"/>
                <w:szCs w:val="15"/>
                <w:highlight w:val="none"/>
                <w:lang w:val="en-US" w:eastAsia="zh-CN"/>
              </w:rPr>
              <w:t>垃圾</w:t>
            </w:r>
            <w:r>
              <w:rPr>
                <w:rFonts w:hint="eastAsia" w:ascii="宋体" w:hAnsi="宋体" w:eastAsia="宋体"/>
                <w:b w:val="0"/>
                <w:bCs w:val="0"/>
                <w:color w:val="auto"/>
                <w:sz w:val="15"/>
                <w:szCs w:val="15"/>
                <w:highlight w:val="none"/>
                <w:lang w:val="en-US" w:eastAsia="zh-CN"/>
              </w:rPr>
              <w:t>2车次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5吨以上10吨以的，系数1</w:t>
            </w:r>
            <w:r>
              <w:rPr>
                <w:rFonts w:hint="eastAsia" w:ascii="宋体" w:hAnsi="宋体"/>
                <w:b w:val="0"/>
                <w:bCs w:val="0"/>
                <w:color w:val="auto"/>
                <w:sz w:val="15"/>
                <w:szCs w:val="15"/>
                <w:highlight w:val="none"/>
                <w:lang w:val="en-US" w:eastAsia="zh-CN"/>
              </w:rPr>
              <w:t>；3</w:t>
            </w:r>
            <w:r>
              <w:rPr>
                <w:rFonts w:hint="eastAsia" w:ascii="宋体" w:hAnsi="宋体" w:eastAsia="宋体"/>
                <w:b w:val="0"/>
                <w:bCs w:val="0"/>
                <w:color w:val="auto"/>
                <w:sz w:val="15"/>
                <w:szCs w:val="15"/>
                <w:highlight w:val="none"/>
                <w:lang w:val="en-US" w:eastAsia="zh-CN"/>
              </w:rPr>
              <w:t>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10吨及</w:t>
            </w:r>
            <w:r>
              <w:rPr>
                <w:rFonts w:hint="eastAsia" w:ascii="宋体" w:hAnsi="宋体"/>
                <w:b w:val="0"/>
                <w:bCs w:val="0"/>
                <w:color w:val="auto"/>
                <w:sz w:val="15"/>
                <w:szCs w:val="15"/>
                <w:highlight w:val="none"/>
                <w:lang w:val="en-US" w:eastAsia="zh-CN"/>
              </w:rPr>
              <w:t>以上20吨以下的</w:t>
            </w:r>
            <w:r>
              <w:rPr>
                <w:rFonts w:hint="eastAsia" w:ascii="宋体" w:hAnsi="宋体" w:eastAsia="宋体"/>
                <w:b w:val="0"/>
                <w:bCs w:val="0"/>
                <w:color w:val="auto"/>
                <w:sz w:val="15"/>
                <w:szCs w:val="15"/>
                <w:highlight w:val="none"/>
                <w:lang w:val="en-US" w:eastAsia="zh-CN"/>
              </w:rPr>
              <w:t>，系数</w:t>
            </w:r>
            <w:r>
              <w:rPr>
                <w:rFonts w:hint="eastAsia" w:ascii="宋体" w:hAnsi="宋体"/>
                <w:b w:val="0"/>
                <w:bCs w:val="0"/>
                <w:color w:val="auto"/>
                <w:sz w:val="15"/>
                <w:szCs w:val="15"/>
                <w:highlight w:val="none"/>
                <w:lang w:val="en-US" w:eastAsia="zh-CN"/>
              </w:rPr>
              <w:t>2；4车次及以上或者2</w:t>
            </w:r>
            <w:r>
              <w:rPr>
                <w:rFonts w:hint="eastAsia" w:ascii="宋体" w:hAnsi="宋体" w:eastAsia="宋体"/>
                <w:b w:val="0"/>
                <w:bCs w:val="0"/>
                <w:color w:val="auto"/>
                <w:sz w:val="15"/>
                <w:szCs w:val="15"/>
                <w:highlight w:val="none"/>
                <w:lang w:val="en-US" w:eastAsia="zh-CN"/>
              </w:rPr>
              <w:t>0吨及以上</w:t>
            </w:r>
            <w:r>
              <w:rPr>
                <w:rFonts w:hint="eastAsia" w:ascii="宋体" w:hAnsi="宋体"/>
                <w:b w:val="0"/>
                <w:bCs w:val="0"/>
                <w:color w:val="auto"/>
                <w:sz w:val="15"/>
                <w:szCs w:val="15"/>
                <w:highlight w:val="none"/>
                <w:lang w:val="en-US" w:eastAsia="zh-CN"/>
              </w:rPr>
              <w:t>的，系数3。2</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rPr>
              <w:t>造成环境较严重影响的，系数</w:t>
            </w:r>
            <w:r>
              <w:rPr>
                <w:rFonts w:hint="eastAsia" w:ascii="宋体" w:hAnsi="宋体" w:eastAsia="宋体"/>
                <w:b w:val="0"/>
                <w:bCs w:val="0"/>
                <w:color w:val="auto"/>
                <w:sz w:val="15"/>
                <w:szCs w:val="15"/>
                <w:highlight w:val="none"/>
                <w:lang w:val="en-US" w:eastAsia="zh-CN"/>
              </w:rPr>
              <w:t>2-3</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p w14:paraId="53392D47">
            <w:pPr>
              <w:spacing w:line="193" w:lineRule="exact"/>
              <w:rPr>
                <w:rFonts w:ascii="宋体" w:hAnsi="宋体" w:eastAsia="宋体" w:cs="宋体"/>
                <w:b w:val="0"/>
                <w:bCs w:val="0"/>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70E8EA15">
            <w:pPr>
              <w:spacing w:line="193"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0F4F8A2E">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14:paraId="3102B6B8">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4"/>
                <w:szCs w:val="14"/>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14:paraId="2E2E0E15">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695CDC3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tcBorders>
              <w:top w:val="single" w:color="auto" w:sz="4" w:space="0"/>
              <w:left w:val="single" w:color="auto" w:sz="4" w:space="0"/>
              <w:bottom w:val="single" w:color="auto" w:sz="4" w:space="0"/>
              <w:right w:val="single" w:color="auto" w:sz="4" w:space="0"/>
            </w:tcBorders>
            <w:noWrap w:val="0"/>
            <w:vAlign w:val="center"/>
          </w:tcPr>
          <w:p w14:paraId="6AB4D428">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C4643300</w:t>
            </w:r>
          </w:p>
        </w:tc>
      </w:tr>
      <w:tr w14:paraId="0E05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694"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14:paraId="7BDB188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58D432C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生活垃圾集中转运、处理设施排放未达标</w:t>
            </w:r>
          </w:p>
        </w:tc>
        <w:tc>
          <w:tcPr>
            <w:tcW w:w="2981" w:type="dxa"/>
            <w:tcBorders>
              <w:top w:val="single" w:color="auto" w:sz="4" w:space="0"/>
              <w:left w:val="single" w:color="auto" w:sz="4" w:space="0"/>
              <w:bottom w:val="single" w:color="auto" w:sz="4" w:space="0"/>
              <w:right w:val="single" w:color="auto" w:sz="4" w:space="0"/>
            </w:tcBorders>
            <w:noWrap w:val="0"/>
            <w:vAlign w:val="center"/>
          </w:tcPr>
          <w:p w14:paraId="5C218F9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3E5649C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B5C3C0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14:paraId="3BCF0BF4">
            <w:pPr>
              <w:numPr>
                <w:ilvl w:val="0"/>
                <w:numId w:val="0"/>
              </w:numPr>
              <w:spacing w:line="232" w:lineRule="exact"/>
              <w:rPr>
                <w:rFonts w:hint="default" w:ascii="宋体" w:hAnsi="宋体" w:eastAsia="宋体"/>
                <w:b/>
                <w:bCs/>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处理生活垃圾</w:t>
            </w:r>
            <w:r>
              <w:rPr>
                <w:rFonts w:hint="eastAsia" w:ascii="宋体" w:hAnsi="宋体" w:eastAsia="宋体" w:cs="宋体"/>
                <w:b w:val="0"/>
                <w:bCs w:val="0"/>
                <w:color w:val="auto"/>
                <w:kern w:val="0"/>
                <w:sz w:val="15"/>
                <w:szCs w:val="15"/>
                <w:highlight w:val="none"/>
              </w:rPr>
              <w:t>总量较大、持续时间较长，系数2-3；</w:t>
            </w:r>
            <w:r>
              <w:rPr>
                <w:rFonts w:hint="eastAsia" w:ascii="宋体" w:hAnsi="宋体" w:eastAsia="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.对环境造成较严重</w:t>
            </w:r>
            <w:r>
              <w:rPr>
                <w:rFonts w:hint="eastAsia" w:ascii="宋体" w:hAnsi="宋体" w:cs="宋体"/>
                <w:b w:val="0"/>
                <w:bCs w:val="0"/>
                <w:color w:val="auto"/>
                <w:kern w:val="0"/>
                <w:sz w:val="15"/>
                <w:szCs w:val="15"/>
                <w:highlight w:val="none"/>
                <w:lang w:eastAsia="zh-CN"/>
              </w:rPr>
              <w:t>影响</w:t>
            </w:r>
            <w:r>
              <w:rPr>
                <w:rFonts w:hint="eastAsia" w:ascii="宋体" w:hAnsi="宋体" w:eastAsia="宋体" w:cs="宋体"/>
                <w:b w:val="0"/>
                <w:bCs w:val="0"/>
                <w:color w:val="auto"/>
                <w:kern w:val="0"/>
                <w:sz w:val="15"/>
                <w:szCs w:val="15"/>
                <w:highlight w:val="none"/>
              </w:rPr>
              <w:t>的，</w:t>
            </w:r>
            <w:r>
              <w:rPr>
                <w:rFonts w:hint="eastAsia" w:ascii="宋体" w:hAnsi="宋体" w:eastAsia="宋体" w:cs="宋体"/>
                <w:color w:val="auto"/>
                <w:kern w:val="0"/>
                <w:sz w:val="15"/>
                <w:szCs w:val="15"/>
                <w:highlight w:val="none"/>
              </w:rPr>
              <w:t>系数2-3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14:paraId="591C2786">
            <w:pPr>
              <w:spacing w:line="232" w:lineRule="exact"/>
              <w:rPr>
                <w:rFonts w:hint="eastAsia" w:ascii="宋体" w:hAnsi="宋体" w:eastAsia="宋体" w:cs="宋体"/>
                <w:color w:val="auto"/>
                <w:kern w:val="0"/>
                <w:sz w:val="15"/>
                <w:szCs w:val="15"/>
                <w:highlight w:val="none"/>
                <w:lang w:eastAsia="zh-CN"/>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20B82F8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275C29A4">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14:paraId="47E75AD8">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14:paraId="3BCBEE9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tcBorders>
              <w:top w:val="single" w:color="auto" w:sz="4" w:space="0"/>
              <w:left w:val="single" w:color="auto" w:sz="4" w:space="0"/>
              <w:bottom w:val="single" w:color="auto" w:sz="4" w:space="0"/>
              <w:right w:val="single" w:color="auto" w:sz="4" w:space="0"/>
            </w:tcBorders>
            <w:noWrap w:val="0"/>
            <w:vAlign w:val="center"/>
          </w:tcPr>
          <w:p w14:paraId="5FCDC4CC">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C4643600</w:t>
            </w:r>
          </w:p>
        </w:tc>
      </w:tr>
      <w:tr w14:paraId="7DBA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14:paraId="1A8C981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10AFDE48">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未按要求对生活垃圾等处理过程中常规参数进行检测</w:t>
            </w:r>
          </w:p>
        </w:tc>
        <w:tc>
          <w:tcPr>
            <w:tcW w:w="2981" w:type="dxa"/>
            <w:tcBorders>
              <w:top w:val="single" w:color="auto" w:sz="4" w:space="0"/>
              <w:left w:val="single" w:color="auto" w:sz="4" w:space="0"/>
              <w:bottom w:val="single" w:color="auto" w:sz="4" w:space="0"/>
              <w:right w:val="single" w:color="auto" w:sz="4" w:space="0"/>
            </w:tcBorders>
            <w:noWrap w:val="0"/>
            <w:vAlign w:val="center"/>
          </w:tcPr>
          <w:p w14:paraId="2F7A3F1E">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D50BCB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B71CA6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14:paraId="2D82FF47">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1.未建立检测档案，</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 xml:space="preserve">； </w:t>
            </w:r>
          </w:p>
          <w:p w14:paraId="2D73B390">
            <w:pPr>
              <w:numPr>
                <w:ilvl w:val="0"/>
                <w:numId w:val="0"/>
              </w:num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2.未设置化验室或者委托专业化验机构，对生活垃圾、渗沥液等处理过程中常规参数进行检测，</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strike w:val="0"/>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b w:val="0"/>
                <w:bCs w:val="0"/>
                <w:color w:val="auto"/>
                <w:kern w:val="0"/>
                <w:sz w:val="15"/>
                <w:szCs w:val="15"/>
                <w:highlight w:val="none"/>
              </w:rPr>
              <w:t>3.对环境造成较严重</w:t>
            </w:r>
            <w:r>
              <w:rPr>
                <w:rFonts w:hint="eastAsia" w:ascii="宋体" w:hAnsi="宋体" w:cs="宋体"/>
                <w:b w:val="0"/>
                <w:bCs w:val="0"/>
                <w:color w:val="auto"/>
                <w:kern w:val="0"/>
                <w:sz w:val="15"/>
                <w:szCs w:val="15"/>
                <w:highlight w:val="none"/>
                <w:lang w:eastAsia="zh-CN"/>
              </w:rPr>
              <w:t>影响</w:t>
            </w:r>
            <w:r>
              <w:rPr>
                <w:rFonts w:hint="eastAsia" w:ascii="宋体" w:hAnsi="宋体" w:eastAsia="宋体" w:cs="宋体"/>
                <w:b w:val="0"/>
                <w:bCs w:val="0"/>
                <w:color w:val="auto"/>
                <w:kern w:val="0"/>
                <w:sz w:val="15"/>
                <w:szCs w:val="15"/>
                <w:highlight w:val="none"/>
              </w:rPr>
              <w:t>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2E7887FB">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75A43119">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14:paraId="5E926AA3">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23D808A">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c>
          <w:tcPr>
            <w:tcW w:w="1869" w:type="dxa"/>
            <w:tcBorders>
              <w:top w:val="single" w:color="auto" w:sz="4" w:space="0"/>
              <w:left w:val="single" w:color="auto" w:sz="4" w:space="0"/>
              <w:bottom w:val="single" w:color="auto" w:sz="4" w:space="0"/>
              <w:right w:val="single" w:color="auto" w:sz="4" w:space="0"/>
            </w:tcBorders>
            <w:noWrap w:val="0"/>
            <w:vAlign w:val="center"/>
          </w:tcPr>
          <w:p w14:paraId="1E9FF537">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C4609400</w:t>
            </w:r>
          </w:p>
        </w:tc>
      </w:tr>
      <w:tr w14:paraId="3AB5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16"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14:paraId="60D4278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31</w:t>
            </w: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0969A880">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未按要求对生活垃圾处理设施相关指标进行检测</w:t>
            </w:r>
          </w:p>
        </w:tc>
        <w:tc>
          <w:tcPr>
            <w:tcW w:w="2981" w:type="dxa"/>
            <w:tcBorders>
              <w:top w:val="single" w:color="auto" w:sz="4" w:space="0"/>
              <w:left w:val="single" w:color="auto" w:sz="4" w:space="0"/>
              <w:bottom w:val="single" w:color="auto" w:sz="4" w:space="0"/>
              <w:right w:val="single" w:color="auto" w:sz="4" w:space="0"/>
            </w:tcBorders>
            <w:noWrap w:val="0"/>
            <w:vAlign w:val="center"/>
          </w:tcPr>
          <w:p w14:paraId="3FAF33E2">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23DFB8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52C4625">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14:paraId="43EFBA60">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1.未对生活垃圾处理设施相关指标进行检测，</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 2.未按照要求建设在线监管系统，</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b w:val="0"/>
                <w:bCs w:val="0"/>
                <w:color w:val="auto"/>
                <w:kern w:val="0"/>
                <w:sz w:val="15"/>
                <w:szCs w:val="15"/>
                <w:highlight w:val="none"/>
              </w:rPr>
              <w:t>3.对环境造成较严重影响的，系数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682677C3">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262F4E8D">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14:paraId="6F0B3483">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0C4890DF">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c>
          <w:tcPr>
            <w:tcW w:w="1869" w:type="dxa"/>
            <w:tcBorders>
              <w:top w:val="single" w:color="auto" w:sz="4" w:space="0"/>
              <w:left w:val="single" w:color="auto" w:sz="4" w:space="0"/>
              <w:bottom w:val="single" w:color="auto" w:sz="4" w:space="0"/>
              <w:right w:val="single" w:color="auto" w:sz="4" w:space="0"/>
            </w:tcBorders>
            <w:noWrap w:val="0"/>
            <w:vAlign w:val="center"/>
          </w:tcPr>
          <w:p w14:paraId="4EEC0D76">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C4609500</w:t>
            </w:r>
          </w:p>
        </w:tc>
      </w:tr>
      <w:tr w14:paraId="41C3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866"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14:paraId="59928D8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32</w:t>
            </w: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41D97468">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未按要求传送生活垃圾处理设施相关检测指标</w:t>
            </w:r>
          </w:p>
        </w:tc>
        <w:tc>
          <w:tcPr>
            <w:tcW w:w="2981" w:type="dxa"/>
            <w:tcBorders>
              <w:top w:val="single" w:color="auto" w:sz="4" w:space="0"/>
              <w:left w:val="single" w:color="auto" w:sz="4" w:space="0"/>
              <w:bottom w:val="single" w:color="auto" w:sz="4" w:space="0"/>
              <w:right w:val="single" w:color="auto" w:sz="4" w:space="0"/>
            </w:tcBorders>
            <w:noWrap w:val="0"/>
            <w:vAlign w:val="center"/>
          </w:tcPr>
          <w:p w14:paraId="3AAF2175">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75A23DA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876969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eastAsia="宋体" w:cs="宋体"/>
                <w:color w:val="auto"/>
                <w:kern w:val="0"/>
                <w:sz w:val="15"/>
                <w:szCs w:val="15"/>
                <w:highlight w:val="none"/>
              </w:rPr>
            </w:pPr>
          </w:p>
        </w:tc>
        <w:tc>
          <w:tcPr>
            <w:tcW w:w="2376" w:type="dxa"/>
            <w:tcBorders>
              <w:top w:val="single" w:color="auto" w:sz="4" w:space="0"/>
              <w:left w:val="single" w:color="auto" w:sz="4" w:space="0"/>
              <w:bottom w:val="single" w:color="auto" w:sz="4" w:space="0"/>
              <w:right w:val="single" w:color="auto" w:sz="4" w:space="0"/>
            </w:tcBorders>
            <w:noWrap w:val="0"/>
            <w:vAlign w:val="center"/>
          </w:tcPr>
          <w:p w14:paraId="463A4B5F">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pacing w:val="-4"/>
                <w:sz w:val="15"/>
                <w:szCs w:val="15"/>
                <w:highlight w:val="none"/>
              </w:rPr>
              <w:t>1.未将检测数据传送至生活垃圾管理信息系统，</w:t>
            </w:r>
            <w:r>
              <w:rPr>
                <w:rFonts w:hint="eastAsia" w:ascii="宋体" w:hAnsi="宋体"/>
                <w:color w:val="auto"/>
                <w:spacing w:val="-4"/>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pacing w:val="-4"/>
                <w:sz w:val="15"/>
                <w:szCs w:val="15"/>
                <w:highlight w:val="none"/>
              </w:rPr>
              <w:t>；</w:t>
            </w:r>
            <w:r>
              <w:rPr>
                <w:rFonts w:hint="eastAsia" w:ascii="宋体" w:hAnsi="宋体" w:eastAsia="宋体" w:cs="宋体"/>
                <w:color w:val="auto"/>
                <w:kern w:val="0"/>
                <w:sz w:val="15"/>
                <w:szCs w:val="15"/>
                <w:highlight w:val="none"/>
              </w:rPr>
              <w:t>2.长期未按要求传送，未如实传送数据的，系数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.对环境造成较严重影响的，系数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72F2A7B8">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7BFA1751">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14:paraId="1C17E507">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BE979C7">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c>
          <w:tcPr>
            <w:tcW w:w="1869" w:type="dxa"/>
            <w:tcBorders>
              <w:top w:val="single" w:color="auto" w:sz="4" w:space="0"/>
              <w:left w:val="single" w:color="auto" w:sz="4" w:space="0"/>
              <w:bottom w:val="single" w:color="auto" w:sz="4" w:space="0"/>
              <w:right w:val="single" w:color="auto" w:sz="4" w:space="0"/>
            </w:tcBorders>
            <w:noWrap w:val="0"/>
            <w:vAlign w:val="center"/>
          </w:tcPr>
          <w:p w14:paraId="47352973">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C4609500</w:t>
            </w:r>
          </w:p>
        </w:tc>
      </w:tr>
      <w:tr w14:paraId="4991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691"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14:paraId="796451A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33</w:t>
            </w: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67C4FE5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未落实生活垃圾处理台</w:t>
            </w:r>
            <w:r>
              <w:rPr>
                <w:rFonts w:hint="eastAsia" w:ascii="宋体" w:hAnsi="宋体" w:eastAsia="宋体"/>
                <w:color w:val="auto"/>
                <w:sz w:val="15"/>
                <w:szCs w:val="15"/>
                <w:highlight w:val="none"/>
                <w:lang w:eastAsia="zh-CN"/>
              </w:rPr>
              <w:t>账</w:t>
            </w:r>
            <w:r>
              <w:rPr>
                <w:rFonts w:hint="eastAsia" w:ascii="宋体" w:hAnsi="宋体" w:eastAsia="宋体"/>
                <w:color w:val="auto"/>
                <w:sz w:val="15"/>
                <w:szCs w:val="15"/>
                <w:highlight w:val="none"/>
              </w:rPr>
              <w:t>制度</w:t>
            </w:r>
          </w:p>
        </w:tc>
        <w:tc>
          <w:tcPr>
            <w:tcW w:w="2981" w:type="dxa"/>
            <w:tcBorders>
              <w:top w:val="single" w:color="auto" w:sz="4" w:space="0"/>
              <w:left w:val="single" w:color="auto" w:sz="4" w:space="0"/>
              <w:bottom w:val="single" w:color="auto" w:sz="4" w:space="0"/>
              <w:right w:val="single" w:color="auto" w:sz="4" w:space="0"/>
            </w:tcBorders>
            <w:noWrap w:val="0"/>
            <w:vAlign w:val="center"/>
          </w:tcPr>
          <w:p w14:paraId="1A767F5A">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5FFA8FB">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5CD0B6C9">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14:paraId="42402050">
            <w:pPr>
              <w:spacing w:line="200"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rPr>
              <w:t>1.未按照要求向相关管理部门报送数据、报表以及相关情况，</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0-2； 2.未建立生活垃圾处理台账，</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3-6；</w:t>
            </w:r>
            <w:r>
              <w:rPr>
                <w:rFonts w:hint="eastAsia" w:ascii="宋体" w:hAnsi="宋体" w:eastAsia="宋体"/>
                <w:b w:val="0"/>
                <w:bCs w:val="0"/>
                <w:color w:val="auto"/>
                <w:sz w:val="15"/>
                <w:szCs w:val="15"/>
                <w:highlight w:val="none"/>
              </w:rPr>
              <w:t xml:space="preserve"> </w:t>
            </w:r>
            <w:r>
              <w:rPr>
                <w:rFonts w:hint="eastAsia" w:ascii="宋体" w:hAnsi="宋体" w:eastAsia="宋体" w:cs="宋体"/>
                <w:b w:val="0"/>
                <w:bCs w:val="0"/>
                <w:color w:val="auto"/>
                <w:kern w:val="0"/>
                <w:sz w:val="15"/>
                <w:szCs w:val="15"/>
                <w:highlight w:val="none"/>
              </w:rPr>
              <w:t>3.对环境造成较严重影响的，系数7-9</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14:paraId="1DBE03F7">
            <w:pPr>
              <w:spacing w:line="200" w:lineRule="exact"/>
              <w:rPr>
                <w:rFonts w:ascii="宋体" w:hAnsi="宋体" w:eastAsia="宋体" w:cs="宋体"/>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1C2D0584">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1FFCC06F">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14:paraId="25CDD125">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14:paraId="2B4F43A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tcBorders>
              <w:top w:val="single" w:color="auto" w:sz="4" w:space="0"/>
              <w:left w:val="single" w:color="auto" w:sz="4" w:space="0"/>
              <w:bottom w:val="single" w:color="auto" w:sz="4" w:space="0"/>
              <w:right w:val="single" w:color="auto" w:sz="4" w:space="0"/>
            </w:tcBorders>
            <w:noWrap w:val="0"/>
            <w:vAlign w:val="center"/>
          </w:tcPr>
          <w:p w14:paraId="53139D99">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C4642400</w:t>
            </w:r>
          </w:p>
        </w:tc>
      </w:tr>
      <w:tr w14:paraId="08895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70" w:hRule="atLeast"/>
        </w:trPr>
        <w:tc>
          <w:tcPr>
            <w:tcW w:w="714" w:type="dxa"/>
            <w:tcBorders>
              <w:top w:val="single" w:color="auto" w:sz="4" w:space="0"/>
              <w:left w:val="single" w:color="auto" w:sz="4" w:space="0"/>
              <w:right w:val="single" w:color="auto" w:sz="4" w:space="0"/>
            </w:tcBorders>
            <w:noWrap w:val="0"/>
            <w:vAlign w:val="center"/>
          </w:tcPr>
          <w:p w14:paraId="2FDA94E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34</w:t>
            </w:r>
          </w:p>
        </w:tc>
        <w:tc>
          <w:tcPr>
            <w:tcW w:w="1626" w:type="dxa"/>
            <w:gridSpan w:val="2"/>
            <w:tcBorders>
              <w:top w:val="single" w:color="auto" w:sz="4" w:space="0"/>
              <w:left w:val="single" w:color="auto" w:sz="4" w:space="0"/>
              <w:right w:val="single" w:color="auto" w:sz="4" w:space="0"/>
            </w:tcBorders>
            <w:noWrap w:val="0"/>
            <w:vAlign w:val="center"/>
          </w:tcPr>
          <w:p w14:paraId="2AFAFAAD">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未按要求公开设施污染控制监测指标和处理设施运行数据</w:t>
            </w:r>
          </w:p>
        </w:tc>
        <w:tc>
          <w:tcPr>
            <w:tcW w:w="2981" w:type="dxa"/>
            <w:tcBorders>
              <w:top w:val="single" w:color="auto" w:sz="4" w:space="0"/>
              <w:left w:val="single" w:color="auto" w:sz="4" w:space="0"/>
              <w:right w:val="single" w:color="auto" w:sz="4" w:space="0"/>
            </w:tcBorders>
            <w:noWrap w:val="0"/>
            <w:vAlign w:val="center"/>
          </w:tcPr>
          <w:p w14:paraId="14D47A0D">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E9F00F3">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D1E21B9">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14:paraId="762D5B76">
            <w:pPr>
              <w:spacing w:line="21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1.未按要求公开数据的，系数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 xml:space="preserve"> 1</w:t>
            </w:r>
            <w:r>
              <w:rPr>
                <w:rFonts w:hint="eastAsia" w:ascii="宋体" w:hAnsi="宋体" w:eastAsia="宋体" w:cs="宋体"/>
                <w:color w:val="auto"/>
                <w:kern w:val="0"/>
                <w:sz w:val="15"/>
                <w:szCs w:val="15"/>
                <w:highlight w:val="none"/>
              </w:rPr>
              <w:t>；2.长期未公开数据，系数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s="宋体"/>
                <w:color w:val="auto"/>
                <w:kern w:val="0"/>
                <w:sz w:val="15"/>
                <w:szCs w:val="15"/>
                <w:highlight w:val="none"/>
              </w:rPr>
              <w:t>；3.造成较严重后果的，系数</w:t>
            </w:r>
            <w:r>
              <w:rPr>
                <w:rFonts w:hint="eastAsia" w:ascii="宋体" w:hAnsi="宋体" w:cs="宋体"/>
                <w:b w:val="0"/>
                <w:bCs w:val="0"/>
                <w:color w:val="auto"/>
                <w:kern w:val="0"/>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12285730">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21A3FD61">
            <w:pPr>
              <w:spacing w:line="21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14:paraId="2A760F24">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18157318">
            <w:pPr>
              <w:spacing w:line="21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c>
          <w:tcPr>
            <w:tcW w:w="1869" w:type="dxa"/>
            <w:tcBorders>
              <w:top w:val="single" w:color="auto" w:sz="4" w:space="0"/>
              <w:left w:val="single" w:color="auto" w:sz="4" w:space="0"/>
              <w:bottom w:val="single" w:color="auto" w:sz="4" w:space="0"/>
              <w:right w:val="single" w:color="auto" w:sz="4" w:space="0"/>
            </w:tcBorders>
            <w:noWrap w:val="0"/>
            <w:vAlign w:val="center"/>
          </w:tcPr>
          <w:p w14:paraId="07787B69">
            <w:pPr>
              <w:spacing w:line="21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C4609700</w:t>
            </w:r>
          </w:p>
        </w:tc>
      </w:tr>
      <w:tr w14:paraId="6962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57" w:hRule="atLeast"/>
        </w:trPr>
        <w:tc>
          <w:tcPr>
            <w:tcW w:w="714" w:type="dxa"/>
            <w:vMerge w:val="restart"/>
            <w:tcBorders>
              <w:top w:val="single" w:color="auto" w:sz="4" w:space="0"/>
              <w:left w:val="single" w:color="auto" w:sz="4" w:space="0"/>
              <w:right w:val="single" w:color="auto" w:sz="4" w:space="0"/>
            </w:tcBorders>
            <w:noWrap w:val="0"/>
            <w:vAlign w:val="center"/>
          </w:tcPr>
          <w:p w14:paraId="5D32696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35</w:t>
            </w:r>
          </w:p>
        </w:tc>
        <w:tc>
          <w:tcPr>
            <w:tcW w:w="1626" w:type="dxa"/>
            <w:gridSpan w:val="2"/>
            <w:vMerge w:val="restart"/>
            <w:tcBorders>
              <w:top w:val="single" w:color="auto" w:sz="4" w:space="0"/>
              <w:left w:val="single" w:color="auto" w:sz="4" w:space="0"/>
              <w:right w:val="single" w:color="auto" w:sz="4" w:space="0"/>
            </w:tcBorders>
            <w:noWrap w:val="0"/>
            <w:vAlign w:val="center"/>
          </w:tcPr>
          <w:p w14:paraId="60526C8E">
            <w:pPr>
              <w:spacing w:line="210" w:lineRule="exact"/>
              <w:rPr>
                <w:rFonts w:ascii="宋体" w:hAnsi="宋体" w:eastAsia="宋体"/>
                <w:color w:val="auto"/>
                <w:sz w:val="15"/>
                <w:szCs w:val="15"/>
                <w:highlight w:val="none"/>
              </w:rPr>
            </w:pPr>
            <w:r>
              <w:rPr>
                <w:rFonts w:ascii="宋体" w:hAnsi="宋体" w:eastAsia="宋体" w:cs="宋体"/>
                <w:color w:val="auto"/>
                <w:kern w:val="0"/>
                <w:sz w:val="15"/>
                <w:szCs w:val="15"/>
                <w:highlight w:val="none"/>
              </w:rPr>
              <w:t>生活垃圾集中转运、处理设施的运行管理单位</w:t>
            </w:r>
            <w:r>
              <w:rPr>
                <w:rFonts w:hint="eastAsia" w:ascii="宋体" w:hAnsi="宋体" w:eastAsia="宋体"/>
                <w:color w:val="auto"/>
                <w:sz w:val="15"/>
                <w:szCs w:val="15"/>
                <w:highlight w:val="none"/>
              </w:rPr>
              <w:t>未按要求</w:t>
            </w:r>
            <w:r>
              <w:rPr>
                <w:rFonts w:ascii="宋体" w:hAnsi="宋体" w:eastAsia="宋体" w:cs="宋体"/>
                <w:color w:val="auto"/>
                <w:kern w:val="0"/>
                <w:sz w:val="15"/>
                <w:szCs w:val="15"/>
                <w:highlight w:val="none"/>
              </w:rPr>
              <w:t>配套建设相应的参观、宣传设施</w:t>
            </w:r>
            <w:r>
              <w:rPr>
                <w:rFonts w:hint="eastAsia" w:ascii="宋体" w:hAnsi="宋体" w:eastAsia="宋体" w:cs="宋体"/>
                <w:color w:val="auto"/>
                <w:kern w:val="0"/>
                <w:sz w:val="15"/>
                <w:szCs w:val="15"/>
                <w:highlight w:val="none"/>
              </w:rPr>
              <w:t>或者未</w:t>
            </w:r>
            <w:r>
              <w:rPr>
                <w:rFonts w:ascii="宋体" w:hAnsi="宋体" w:eastAsia="宋体" w:cs="宋体"/>
                <w:color w:val="auto"/>
                <w:kern w:val="0"/>
                <w:sz w:val="15"/>
                <w:szCs w:val="15"/>
                <w:highlight w:val="none"/>
              </w:rPr>
              <w:t>在规定的公众开放日接待社会公众</w:t>
            </w:r>
          </w:p>
        </w:tc>
        <w:tc>
          <w:tcPr>
            <w:tcW w:w="2981" w:type="dxa"/>
            <w:vMerge w:val="restart"/>
            <w:tcBorders>
              <w:top w:val="single" w:color="auto" w:sz="4" w:space="0"/>
              <w:left w:val="single" w:color="auto" w:sz="4" w:space="0"/>
              <w:right w:val="single" w:color="auto" w:sz="4" w:space="0"/>
            </w:tcBorders>
            <w:noWrap w:val="0"/>
            <w:vAlign w:val="center"/>
          </w:tcPr>
          <w:p w14:paraId="009F7842">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08748E17">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00C29B10">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14:paraId="3ACF6C38">
            <w:pPr>
              <w:spacing w:line="210" w:lineRule="exact"/>
              <w:rPr>
                <w:rFonts w:ascii="宋体" w:hAnsi="宋体" w:eastAsia="宋体" w:cs="宋体"/>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615A1E9B">
            <w:pPr>
              <w:spacing w:line="210" w:lineRule="exact"/>
              <w:rPr>
                <w:rFonts w:ascii="宋体" w:hAnsi="宋体" w:eastAsia="宋体" w:cs="宋体"/>
                <w:color w:val="auto"/>
                <w:kern w:val="0"/>
                <w:sz w:val="15"/>
                <w:szCs w:val="15"/>
                <w:highlight w:val="none"/>
              </w:rPr>
            </w:pP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6BB07F90">
            <w:pPr>
              <w:spacing w:line="210" w:lineRule="exact"/>
              <w:rPr>
                <w:rFonts w:ascii="宋体" w:hAnsi="宋体" w:eastAsia="宋体" w:cs="宋体"/>
                <w:color w:val="auto"/>
                <w:kern w:val="0"/>
                <w:sz w:val="15"/>
                <w:szCs w:val="15"/>
                <w:highlight w:val="none"/>
              </w:rPr>
            </w:pPr>
          </w:p>
        </w:tc>
        <w:tc>
          <w:tcPr>
            <w:tcW w:w="1304" w:type="dxa"/>
            <w:gridSpan w:val="2"/>
            <w:vMerge w:val="restart"/>
            <w:tcBorders>
              <w:top w:val="single" w:color="auto" w:sz="4" w:space="0"/>
              <w:left w:val="single" w:color="auto" w:sz="4" w:space="0"/>
              <w:right w:val="single" w:color="auto" w:sz="4" w:space="0"/>
            </w:tcBorders>
            <w:noWrap w:val="0"/>
            <w:vAlign w:val="center"/>
          </w:tcPr>
          <w:p w14:paraId="0DE823EB">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1202871B">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restart"/>
            <w:tcBorders>
              <w:top w:val="single" w:color="auto" w:sz="4" w:space="0"/>
              <w:left w:val="single" w:color="auto" w:sz="4" w:space="0"/>
              <w:right w:val="single" w:color="auto" w:sz="4" w:space="0"/>
            </w:tcBorders>
            <w:noWrap w:val="0"/>
            <w:vAlign w:val="center"/>
          </w:tcPr>
          <w:p w14:paraId="5F204FBE">
            <w:pPr>
              <w:spacing w:line="21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C4609800</w:t>
            </w:r>
          </w:p>
        </w:tc>
      </w:tr>
      <w:tr w14:paraId="09E39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11" w:hRule="atLeast"/>
        </w:trPr>
        <w:tc>
          <w:tcPr>
            <w:tcW w:w="714" w:type="dxa"/>
            <w:vMerge w:val="continue"/>
            <w:tcBorders>
              <w:left w:val="single" w:color="auto" w:sz="4" w:space="0"/>
              <w:bottom w:val="single" w:color="auto" w:sz="4" w:space="0"/>
              <w:right w:val="single" w:color="auto" w:sz="4" w:space="0"/>
            </w:tcBorders>
            <w:noWrap w:val="0"/>
            <w:vAlign w:val="center"/>
          </w:tcPr>
          <w:p w14:paraId="789C0760">
            <w:pPr>
              <w:spacing w:line="232" w:lineRule="exact"/>
              <w:jc w:val="center"/>
              <w:rPr>
                <w:rFonts w:ascii="宋体" w:hAnsi="宋体" w:eastAsia="宋体" w:cs="宋体"/>
                <w:color w:val="auto"/>
                <w:kern w:val="0"/>
                <w:sz w:val="15"/>
                <w:szCs w:val="15"/>
                <w:highlight w:val="none"/>
              </w:rPr>
            </w:pPr>
          </w:p>
        </w:tc>
        <w:tc>
          <w:tcPr>
            <w:tcW w:w="1626" w:type="dxa"/>
            <w:gridSpan w:val="2"/>
            <w:vMerge w:val="continue"/>
            <w:tcBorders>
              <w:left w:val="single" w:color="auto" w:sz="4" w:space="0"/>
              <w:bottom w:val="single" w:color="auto" w:sz="4" w:space="0"/>
              <w:right w:val="single" w:color="auto" w:sz="4" w:space="0"/>
            </w:tcBorders>
            <w:noWrap w:val="0"/>
            <w:vAlign w:val="center"/>
          </w:tcPr>
          <w:p w14:paraId="3D108354">
            <w:pPr>
              <w:spacing w:line="210" w:lineRule="exact"/>
              <w:rPr>
                <w:rFonts w:ascii="宋体" w:hAnsi="宋体" w:eastAsia="宋体"/>
                <w:color w:val="auto"/>
                <w:sz w:val="15"/>
                <w:szCs w:val="15"/>
                <w:highlight w:val="none"/>
              </w:rPr>
            </w:pPr>
          </w:p>
        </w:tc>
        <w:tc>
          <w:tcPr>
            <w:tcW w:w="2981" w:type="dxa"/>
            <w:vMerge w:val="continue"/>
            <w:tcBorders>
              <w:left w:val="single" w:color="auto" w:sz="4" w:space="0"/>
              <w:bottom w:val="single" w:color="auto" w:sz="4" w:space="0"/>
              <w:right w:val="single" w:color="auto" w:sz="4" w:space="0"/>
            </w:tcBorders>
            <w:noWrap w:val="0"/>
            <w:vAlign w:val="center"/>
          </w:tcPr>
          <w:p w14:paraId="616F827E">
            <w:pPr>
              <w:spacing w:line="210"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654C56E8">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2F913964">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（拒不改正的）</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89960A0">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14:paraId="2636C627">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012F109D">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2443A590">
            <w:pPr>
              <w:spacing w:line="210" w:lineRule="exact"/>
              <w:rPr>
                <w:rFonts w:ascii="宋体" w:hAnsi="宋体" w:eastAsia="宋体" w:cs="宋体"/>
                <w:color w:val="auto"/>
                <w:kern w:val="0"/>
                <w:sz w:val="15"/>
                <w:szCs w:val="15"/>
                <w:highlight w:val="none"/>
              </w:rPr>
            </w:pPr>
          </w:p>
        </w:tc>
        <w:tc>
          <w:tcPr>
            <w:tcW w:w="1304" w:type="dxa"/>
            <w:gridSpan w:val="2"/>
            <w:vMerge w:val="continue"/>
            <w:tcBorders>
              <w:left w:val="single" w:color="auto" w:sz="4" w:space="0"/>
              <w:bottom w:val="single" w:color="auto" w:sz="4" w:space="0"/>
              <w:right w:val="single" w:color="auto" w:sz="4" w:space="0"/>
            </w:tcBorders>
            <w:noWrap w:val="0"/>
            <w:vAlign w:val="center"/>
          </w:tcPr>
          <w:p w14:paraId="5F2E944F">
            <w:pPr>
              <w:spacing w:line="210" w:lineRule="exact"/>
              <w:jc w:val="center"/>
              <w:rPr>
                <w:rFonts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22D86E89">
            <w:pPr>
              <w:spacing w:line="210" w:lineRule="exact"/>
              <w:jc w:val="center"/>
              <w:rPr>
                <w:rFonts w:ascii="宋体" w:hAnsi="宋体" w:eastAsia="宋体" w:cs="宋体"/>
                <w:color w:val="auto"/>
                <w:kern w:val="0"/>
                <w:sz w:val="15"/>
                <w:szCs w:val="15"/>
                <w:highlight w:val="none"/>
              </w:rPr>
            </w:pPr>
          </w:p>
        </w:tc>
      </w:tr>
      <w:tr w14:paraId="49240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49" w:hRule="atLeast"/>
        </w:trPr>
        <w:tc>
          <w:tcPr>
            <w:tcW w:w="714" w:type="dxa"/>
            <w:vMerge w:val="restart"/>
            <w:tcBorders>
              <w:top w:val="single" w:color="auto" w:sz="4" w:space="0"/>
              <w:left w:val="single" w:color="auto" w:sz="4" w:space="0"/>
              <w:right w:val="single" w:color="auto" w:sz="4" w:space="0"/>
            </w:tcBorders>
            <w:noWrap w:val="0"/>
            <w:vAlign w:val="center"/>
          </w:tcPr>
          <w:p w14:paraId="75A49C0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36</w:t>
            </w:r>
          </w:p>
        </w:tc>
        <w:tc>
          <w:tcPr>
            <w:tcW w:w="1626" w:type="dxa"/>
            <w:gridSpan w:val="2"/>
            <w:vMerge w:val="restart"/>
            <w:tcBorders>
              <w:top w:val="single" w:color="auto" w:sz="4" w:space="0"/>
              <w:left w:val="single" w:color="auto" w:sz="4" w:space="0"/>
              <w:right w:val="single" w:color="auto" w:sz="4" w:space="0"/>
            </w:tcBorders>
            <w:noWrap w:val="0"/>
            <w:vAlign w:val="center"/>
          </w:tcPr>
          <w:p w14:paraId="269B4E83">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再生资源回收经营者未分类贮存物品</w:t>
            </w:r>
          </w:p>
        </w:tc>
        <w:tc>
          <w:tcPr>
            <w:tcW w:w="2981" w:type="dxa"/>
            <w:vMerge w:val="restart"/>
            <w:tcBorders>
              <w:top w:val="single" w:color="auto" w:sz="4" w:space="0"/>
              <w:left w:val="single" w:color="auto" w:sz="4" w:space="0"/>
              <w:right w:val="single" w:color="auto" w:sz="4" w:space="0"/>
            </w:tcBorders>
            <w:noWrap w:val="0"/>
            <w:vAlign w:val="center"/>
          </w:tcPr>
          <w:p w14:paraId="28CEAF6F">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020B909">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p w14:paraId="69496F66">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75FFEF6">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14:paraId="4F096419">
            <w:pPr>
              <w:widowControl w:val="0"/>
              <w:numPr>
                <w:ilvl w:val="0"/>
                <w:numId w:val="0"/>
              </w:numPr>
              <w:jc w:val="both"/>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占地面积10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11－15</w:t>
            </w:r>
            <w:r>
              <w:rPr>
                <w:rFonts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16－20</w:t>
            </w:r>
            <w:r>
              <w:rPr>
                <w:rFonts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26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4；2.存在基准2.1.3规定情形的，系数按照相关规定确定。</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1C07EE5F">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31F8E069">
            <w:pPr>
              <w:spacing w:line="210" w:lineRule="exact"/>
              <w:rPr>
                <w:rFonts w:ascii="宋体" w:hAnsi="宋体" w:eastAsia="宋体" w:cs="宋体"/>
                <w:color w:val="auto"/>
                <w:kern w:val="0"/>
                <w:sz w:val="15"/>
                <w:szCs w:val="15"/>
                <w:highlight w:val="none"/>
              </w:rPr>
            </w:pP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14:paraId="0A16F1FE">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262396F9">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vMerge w:val="restart"/>
            <w:tcBorders>
              <w:top w:val="single" w:color="auto" w:sz="4" w:space="0"/>
              <w:left w:val="single" w:color="auto" w:sz="4" w:space="0"/>
              <w:right w:val="single" w:color="auto" w:sz="4" w:space="0"/>
            </w:tcBorders>
            <w:noWrap w:val="0"/>
            <w:vAlign w:val="center"/>
          </w:tcPr>
          <w:p w14:paraId="7E8DF9D1">
            <w:pPr>
              <w:spacing w:line="21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C2513000</w:t>
            </w:r>
          </w:p>
        </w:tc>
      </w:tr>
      <w:tr w14:paraId="4989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85" w:hRule="atLeast"/>
        </w:trPr>
        <w:tc>
          <w:tcPr>
            <w:tcW w:w="714" w:type="dxa"/>
            <w:vMerge w:val="continue"/>
            <w:tcBorders>
              <w:left w:val="single" w:color="auto" w:sz="4" w:space="0"/>
              <w:bottom w:val="single" w:color="auto" w:sz="4" w:space="0"/>
              <w:right w:val="single" w:color="auto" w:sz="4" w:space="0"/>
            </w:tcBorders>
            <w:noWrap w:val="0"/>
            <w:vAlign w:val="center"/>
          </w:tcPr>
          <w:p w14:paraId="2DDBF5B9">
            <w:pPr>
              <w:spacing w:line="232" w:lineRule="exact"/>
              <w:jc w:val="center"/>
              <w:rPr>
                <w:rFonts w:ascii="宋体" w:hAnsi="宋体" w:eastAsia="宋体" w:cs="宋体"/>
                <w:color w:val="auto"/>
                <w:kern w:val="0"/>
                <w:sz w:val="15"/>
                <w:szCs w:val="15"/>
                <w:highlight w:val="none"/>
              </w:rPr>
            </w:pPr>
          </w:p>
        </w:tc>
        <w:tc>
          <w:tcPr>
            <w:tcW w:w="1626" w:type="dxa"/>
            <w:gridSpan w:val="2"/>
            <w:vMerge w:val="continue"/>
            <w:tcBorders>
              <w:left w:val="single" w:color="auto" w:sz="4" w:space="0"/>
              <w:bottom w:val="single" w:color="auto" w:sz="4" w:space="0"/>
              <w:right w:val="single" w:color="auto" w:sz="4" w:space="0"/>
            </w:tcBorders>
            <w:noWrap w:val="0"/>
            <w:vAlign w:val="center"/>
          </w:tcPr>
          <w:p w14:paraId="3CEE3ADE">
            <w:pPr>
              <w:spacing w:line="210" w:lineRule="exact"/>
              <w:rPr>
                <w:rFonts w:ascii="宋体" w:hAnsi="宋体" w:eastAsia="宋体"/>
                <w:color w:val="auto"/>
                <w:sz w:val="15"/>
                <w:szCs w:val="15"/>
                <w:highlight w:val="none"/>
              </w:rPr>
            </w:pPr>
          </w:p>
        </w:tc>
        <w:tc>
          <w:tcPr>
            <w:tcW w:w="2981" w:type="dxa"/>
            <w:vMerge w:val="continue"/>
            <w:tcBorders>
              <w:left w:val="single" w:color="auto" w:sz="4" w:space="0"/>
              <w:bottom w:val="single" w:color="auto" w:sz="4" w:space="0"/>
              <w:right w:val="single" w:color="auto" w:sz="4" w:space="0"/>
            </w:tcBorders>
            <w:noWrap w:val="0"/>
            <w:vAlign w:val="center"/>
          </w:tcPr>
          <w:p w14:paraId="05CC7C56">
            <w:pPr>
              <w:spacing w:line="210"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65B7924D">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3F88A101">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9ECD504">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14:paraId="2BC14AFB">
            <w:pPr>
              <w:spacing w:line="210" w:lineRule="exact"/>
              <w:rPr>
                <w:rFonts w:ascii="宋体" w:hAnsi="宋体" w:eastAsia="宋体" w:cs="宋体"/>
                <w:color w:val="auto"/>
                <w:kern w:val="0"/>
                <w:sz w:val="15"/>
                <w:szCs w:val="15"/>
                <w:highlight w:val="none"/>
              </w:rPr>
            </w:pP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5F52CC7F">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40F01C15">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曾因此违法行为受到过行政处罚，再次违反的适用此情形。</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14:paraId="46CCBC34">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668DC435">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vMerge w:val="continue"/>
            <w:tcBorders>
              <w:left w:val="single" w:color="auto" w:sz="4" w:space="0"/>
              <w:bottom w:val="single" w:color="auto" w:sz="4" w:space="0"/>
              <w:right w:val="single" w:color="auto" w:sz="4" w:space="0"/>
            </w:tcBorders>
            <w:noWrap w:val="0"/>
            <w:vAlign w:val="center"/>
          </w:tcPr>
          <w:p w14:paraId="70F8291F">
            <w:pPr>
              <w:spacing w:line="210" w:lineRule="exact"/>
              <w:jc w:val="center"/>
              <w:rPr>
                <w:rFonts w:hint="eastAsia" w:ascii="宋体" w:hAnsi="宋体" w:eastAsia="宋体" w:cs="宋体"/>
                <w:color w:val="auto"/>
                <w:kern w:val="0"/>
                <w:sz w:val="15"/>
                <w:szCs w:val="15"/>
                <w:highlight w:val="none"/>
              </w:rPr>
            </w:pPr>
          </w:p>
        </w:tc>
      </w:tr>
      <w:tr w14:paraId="1258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83" w:hRule="atLeast"/>
        </w:trPr>
        <w:tc>
          <w:tcPr>
            <w:tcW w:w="16456" w:type="dxa"/>
            <w:gridSpan w:val="14"/>
            <w:noWrap w:val="0"/>
            <w:vAlign w:val="center"/>
          </w:tcPr>
          <w:p w14:paraId="188963D5">
            <w:pPr>
              <w:pStyle w:val="3"/>
              <w:widowControl w:val="0"/>
              <w:spacing w:line="232" w:lineRule="exact"/>
              <w:jc w:val="center"/>
              <w:rPr>
                <w:rFonts w:hint="eastAsia" w:ascii="宋体" w:hAnsi="宋体" w:eastAsia="宋体"/>
                <w:color w:val="auto"/>
                <w:sz w:val="21"/>
                <w:szCs w:val="21"/>
                <w:highlight w:val="none"/>
              </w:rPr>
            </w:pPr>
            <w:bookmarkStart w:id="10" w:name="_Toc726075658"/>
            <w:bookmarkStart w:id="11" w:name="_Toc110851438"/>
            <w:bookmarkStart w:id="12" w:name="_Toc1765670272"/>
            <w:r>
              <w:rPr>
                <w:rFonts w:hint="eastAsia" w:ascii="宋体" w:hAnsi="宋体" w:eastAsia="宋体"/>
                <w:color w:val="auto"/>
                <w:sz w:val="21"/>
                <w:szCs w:val="21"/>
                <w:highlight w:val="none"/>
              </w:rPr>
              <w:t>《城市生活垃圾管理办法》案由11项</w:t>
            </w:r>
            <w:bookmarkEnd w:id="10"/>
            <w:bookmarkEnd w:id="11"/>
            <w:bookmarkEnd w:id="12"/>
          </w:p>
        </w:tc>
      </w:tr>
      <w:tr w14:paraId="4FE8B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15" w:hRule="atLeast"/>
        </w:trPr>
        <w:tc>
          <w:tcPr>
            <w:tcW w:w="714" w:type="dxa"/>
            <w:noWrap w:val="0"/>
            <w:vAlign w:val="center"/>
          </w:tcPr>
          <w:p w14:paraId="38C1519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111E6266">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未按规定缴纳城市生活垃圾处理费</w:t>
            </w:r>
          </w:p>
        </w:tc>
        <w:tc>
          <w:tcPr>
            <w:tcW w:w="2981" w:type="dxa"/>
            <w:noWrap w:val="0"/>
            <w:vAlign w:val="center"/>
          </w:tcPr>
          <w:p w14:paraId="1C3D5663">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noWrap w:val="0"/>
            <w:vAlign w:val="center"/>
          </w:tcPr>
          <w:p w14:paraId="46C02EAD">
            <w:pPr>
              <w:spacing w:line="200" w:lineRule="exact"/>
              <w:jc w:val="center"/>
              <w:rPr>
                <w:rFonts w:ascii="宋体" w:hAnsi="宋体" w:eastAsia="宋体" w:cs="宋体"/>
                <w:color w:val="auto"/>
                <w:kern w:val="0"/>
                <w:sz w:val="15"/>
                <w:szCs w:val="15"/>
                <w:highlight w:val="none"/>
              </w:rPr>
            </w:pPr>
          </w:p>
        </w:tc>
        <w:tc>
          <w:tcPr>
            <w:tcW w:w="840" w:type="dxa"/>
            <w:noWrap w:val="0"/>
            <w:vAlign w:val="center"/>
          </w:tcPr>
          <w:p w14:paraId="7DBCB0BD">
            <w:pPr>
              <w:spacing w:line="200" w:lineRule="exact"/>
              <w:jc w:val="center"/>
              <w:rPr>
                <w:rFonts w:ascii="宋体" w:hAnsi="宋体" w:eastAsia="宋体" w:cs="宋体"/>
                <w:color w:val="auto"/>
                <w:kern w:val="0"/>
                <w:sz w:val="15"/>
                <w:szCs w:val="15"/>
                <w:highlight w:val="none"/>
              </w:rPr>
            </w:pPr>
          </w:p>
        </w:tc>
        <w:tc>
          <w:tcPr>
            <w:tcW w:w="2376" w:type="dxa"/>
            <w:noWrap w:val="0"/>
            <w:vAlign w:val="center"/>
          </w:tcPr>
          <w:p w14:paraId="0EAF0E81">
            <w:pPr>
              <w:spacing w:line="200" w:lineRule="exact"/>
              <w:rPr>
                <w:rFonts w:ascii="宋体" w:hAnsi="宋体" w:eastAsia="宋体" w:cs="宋体"/>
                <w:color w:val="auto"/>
                <w:kern w:val="0"/>
                <w:sz w:val="15"/>
                <w:szCs w:val="15"/>
                <w:highlight w:val="none"/>
              </w:rPr>
            </w:pPr>
          </w:p>
        </w:tc>
        <w:tc>
          <w:tcPr>
            <w:tcW w:w="1875" w:type="dxa"/>
            <w:gridSpan w:val="2"/>
            <w:noWrap w:val="0"/>
            <w:vAlign w:val="center"/>
          </w:tcPr>
          <w:p w14:paraId="1E6F83CA">
            <w:pPr>
              <w:spacing w:line="200" w:lineRule="exact"/>
              <w:rPr>
                <w:rFonts w:ascii="宋体" w:hAnsi="宋体" w:eastAsia="宋体" w:cs="宋体"/>
                <w:color w:val="auto"/>
                <w:kern w:val="0"/>
                <w:sz w:val="15"/>
                <w:szCs w:val="15"/>
                <w:highlight w:val="none"/>
              </w:rPr>
            </w:pPr>
          </w:p>
        </w:tc>
        <w:tc>
          <w:tcPr>
            <w:tcW w:w="2020" w:type="dxa"/>
            <w:gridSpan w:val="2"/>
            <w:noWrap w:val="0"/>
            <w:vAlign w:val="center"/>
          </w:tcPr>
          <w:p w14:paraId="23B5FA0D">
            <w:pPr>
              <w:spacing w:line="20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1304" w:type="dxa"/>
            <w:gridSpan w:val="2"/>
            <w:noWrap w:val="0"/>
            <w:vAlign w:val="center"/>
          </w:tcPr>
          <w:p w14:paraId="3D4FFAC9">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3D8AC18E">
            <w:pPr>
              <w:spacing w:line="20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45DEF0CA">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C4614100</w:t>
            </w:r>
          </w:p>
        </w:tc>
      </w:tr>
      <w:tr w14:paraId="5C5F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975" w:hRule="atLeast"/>
        </w:trPr>
        <w:tc>
          <w:tcPr>
            <w:tcW w:w="714" w:type="dxa"/>
            <w:noWrap w:val="0"/>
            <w:vAlign w:val="center"/>
          </w:tcPr>
          <w:p w14:paraId="100B72D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14:paraId="3E35EB4D">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未按规定配套建设城市生活垃圾收集设施</w:t>
            </w:r>
          </w:p>
        </w:tc>
        <w:tc>
          <w:tcPr>
            <w:tcW w:w="2981" w:type="dxa"/>
            <w:noWrap w:val="0"/>
            <w:vAlign w:val="center"/>
          </w:tcPr>
          <w:p w14:paraId="20A4B3AB">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违反条款：第十条；处罚条款：第三十九条，责令限期改正，并可处以1万元以下的罚款。</w:t>
            </w:r>
          </w:p>
        </w:tc>
        <w:tc>
          <w:tcPr>
            <w:tcW w:w="851" w:type="dxa"/>
            <w:noWrap w:val="0"/>
            <w:vAlign w:val="center"/>
          </w:tcPr>
          <w:p w14:paraId="74C496F4">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16A6331A">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23FB908">
            <w:pPr>
              <w:numPr>
                <w:ilvl w:val="0"/>
                <w:numId w:val="0"/>
              </w:numPr>
              <w:spacing w:line="20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lang w:val="en-US" w:eastAsia="zh-CN"/>
              </w:rPr>
              <w:t>1.发生在</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造成较大社会影响或者严重后果的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情形，系数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5BA1CB86">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35601B0A">
            <w:pPr>
              <w:spacing w:line="20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拟作出1000元以下罚款，说明理由并报案审会决定。</w:t>
            </w:r>
          </w:p>
          <w:p w14:paraId="22246C26">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5A780BCC">
            <w:pPr>
              <w:spacing w:line="200" w:lineRule="exact"/>
              <w:rPr>
                <w:rFonts w:hint="eastAsia" w:ascii="宋体" w:hAnsi="宋体" w:eastAsia="宋体"/>
                <w:color w:val="auto"/>
                <w:sz w:val="15"/>
                <w:szCs w:val="15"/>
                <w:highlight w:val="none"/>
              </w:rPr>
            </w:pPr>
          </w:p>
        </w:tc>
        <w:tc>
          <w:tcPr>
            <w:tcW w:w="1304" w:type="dxa"/>
            <w:gridSpan w:val="2"/>
            <w:noWrap w:val="0"/>
            <w:vAlign w:val="center"/>
          </w:tcPr>
          <w:p w14:paraId="7A36FAD0">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593F1177">
            <w:pPr>
              <w:spacing w:line="20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205FFD58">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C4614200</w:t>
            </w:r>
          </w:p>
        </w:tc>
      </w:tr>
      <w:tr w14:paraId="2465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458" w:hRule="atLeast"/>
        </w:trPr>
        <w:tc>
          <w:tcPr>
            <w:tcW w:w="714" w:type="dxa"/>
            <w:noWrap w:val="0"/>
            <w:vAlign w:val="center"/>
          </w:tcPr>
          <w:p w14:paraId="1B5533E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14:paraId="1D8B127D">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擅自关闭、闲置或者拆除城市生活垃圾处置设施、场所</w:t>
            </w:r>
          </w:p>
        </w:tc>
        <w:tc>
          <w:tcPr>
            <w:tcW w:w="2981" w:type="dxa"/>
            <w:noWrap w:val="0"/>
            <w:vAlign w:val="center"/>
          </w:tcPr>
          <w:p w14:paraId="68F1A623">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违反条款：第十三条；处罚条款：第四十一条，责令停止违法行为，限期改正，处以1万元以上10万元以下的罚款。</w:t>
            </w:r>
          </w:p>
        </w:tc>
        <w:tc>
          <w:tcPr>
            <w:tcW w:w="851" w:type="dxa"/>
            <w:noWrap w:val="0"/>
            <w:vAlign w:val="center"/>
          </w:tcPr>
          <w:p w14:paraId="15025AED">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6E3F1D54">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4A5F33AC">
            <w:pPr>
              <w:numPr>
                <w:ilvl w:val="0"/>
                <w:numId w:val="0"/>
              </w:numPr>
              <w:spacing w:line="20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lang w:val="en-US" w:eastAsia="zh-CN"/>
              </w:rPr>
              <w:t>1.位于</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3-5；2.涉及</w:t>
            </w:r>
            <w:r>
              <w:rPr>
                <w:rFonts w:hint="eastAsia" w:ascii="宋体" w:hAnsi="宋体" w:eastAsia="宋体"/>
                <w:color w:val="auto"/>
                <w:sz w:val="15"/>
                <w:szCs w:val="15"/>
                <w:highlight w:val="none"/>
              </w:rPr>
              <w:t>集中处理设施和场所</w:t>
            </w:r>
            <w:r>
              <w:rPr>
                <w:rFonts w:hint="eastAsia" w:ascii="宋体" w:hAnsi="宋体" w:eastAsia="宋体"/>
                <w:color w:val="auto"/>
                <w:sz w:val="15"/>
                <w:szCs w:val="15"/>
                <w:highlight w:val="none"/>
                <w:lang w:eastAsia="zh-CN"/>
              </w:rPr>
              <w:t>，或者</w:t>
            </w:r>
            <w:r>
              <w:rPr>
                <w:rFonts w:hint="eastAsia" w:ascii="宋体" w:hAnsi="宋体" w:eastAsia="宋体"/>
                <w:color w:val="auto"/>
                <w:sz w:val="15"/>
                <w:szCs w:val="15"/>
                <w:highlight w:val="none"/>
              </w:rPr>
              <w:t>较大餐饮服务单位</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大型蔬菜果品批发市场、物流配送中心</w:t>
            </w:r>
            <w:r>
              <w:rPr>
                <w:rFonts w:hint="eastAsia" w:ascii="宋体" w:hAnsi="宋体" w:eastAsia="宋体"/>
                <w:color w:val="auto"/>
                <w:sz w:val="15"/>
                <w:szCs w:val="15"/>
                <w:highlight w:val="none"/>
                <w:lang w:eastAsia="zh-CN"/>
              </w:rPr>
              <w:t>等</w:t>
            </w:r>
            <w:r>
              <w:rPr>
                <w:rFonts w:hint="eastAsia" w:ascii="宋体" w:hAnsi="宋体" w:eastAsia="宋体"/>
                <w:color w:val="auto"/>
                <w:sz w:val="15"/>
                <w:szCs w:val="15"/>
                <w:highlight w:val="none"/>
              </w:rPr>
              <w:t>违法</w:t>
            </w:r>
            <w:r>
              <w:rPr>
                <w:rFonts w:hint="eastAsia" w:ascii="宋体" w:hAnsi="宋体" w:eastAsia="宋体"/>
                <w:color w:val="auto"/>
                <w:sz w:val="15"/>
                <w:szCs w:val="15"/>
                <w:highlight w:val="none"/>
                <w:lang w:eastAsia="zh-CN"/>
              </w:rPr>
              <w:t>的，</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.造成较大社会影响或者严重后果的</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情形，系数</w:t>
            </w:r>
            <w:r>
              <w:rPr>
                <w:rFonts w:hint="eastAsia" w:ascii="宋体" w:hAnsi="宋体" w:eastAsia="宋体"/>
                <w:strike w:val="0"/>
                <w:dstrike w:val="0"/>
                <w:color w:val="auto"/>
                <w:sz w:val="15"/>
                <w:szCs w:val="15"/>
                <w:highlight w:val="none"/>
                <w:lang w:val="en-US" w:eastAsia="zh-CN"/>
              </w:rPr>
              <w:t>6</w:t>
            </w:r>
            <w:r>
              <w:rPr>
                <w:rFonts w:hint="eastAsia" w:ascii="宋体" w:hAnsi="宋体" w:eastAsia="宋体"/>
                <w:strike w:val="0"/>
                <w:dstrike w:val="0"/>
                <w:color w:val="auto"/>
                <w:sz w:val="15"/>
                <w:szCs w:val="15"/>
                <w:highlight w:val="none"/>
              </w:rPr>
              <w:t>-9</w:t>
            </w:r>
            <w:r>
              <w:rPr>
                <w:rFonts w:hint="eastAsia" w:ascii="宋体" w:hAnsi="宋体" w:eastAsia="宋体"/>
                <w:strike w:val="0"/>
                <w:dstrike w:val="0"/>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3BF364E7">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37A66587">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7B08EAFB">
            <w:pPr>
              <w:spacing w:line="200" w:lineRule="exact"/>
              <w:rPr>
                <w:rFonts w:hint="eastAsia" w:ascii="宋体" w:hAnsi="宋体" w:eastAsia="宋体" w:cs="宋体"/>
                <w:strike/>
                <w:dstrike w:val="0"/>
                <w:color w:val="auto"/>
                <w:kern w:val="0"/>
                <w:sz w:val="15"/>
                <w:szCs w:val="15"/>
                <w:highlight w:val="none"/>
                <w:lang w:eastAsia="zh-CN"/>
              </w:rPr>
            </w:pPr>
          </w:p>
        </w:tc>
        <w:tc>
          <w:tcPr>
            <w:tcW w:w="1304" w:type="dxa"/>
            <w:gridSpan w:val="2"/>
            <w:noWrap w:val="0"/>
            <w:vAlign w:val="center"/>
          </w:tcPr>
          <w:p w14:paraId="3FCE07EB">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区级</w:t>
            </w:r>
          </w:p>
        </w:tc>
        <w:tc>
          <w:tcPr>
            <w:tcW w:w="1869" w:type="dxa"/>
            <w:noWrap w:val="0"/>
            <w:vAlign w:val="center"/>
          </w:tcPr>
          <w:p w14:paraId="2F66C9C2">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C4600200</w:t>
            </w:r>
          </w:p>
        </w:tc>
      </w:tr>
      <w:tr w14:paraId="12D5E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698" w:hRule="atLeast"/>
        </w:trPr>
        <w:tc>
          <w:tcPr>
            <w:tcW w:w="714" w:type="dxa"/>
            <w:vMerge w:val="restart"/>
            <w:noWrap w:val="0"/>
            <w:vAlign w:val="center"/>
          </w:tcPr>
          <w:p w14:paraId="6B12E5DB">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4</w:t>
            </w:r>
          </w:p>
        </w:tc>
        <w:tc>
          <w:tcPr>
            <w:tcW w:w="1626" w:type="dxa"/>
            <w:gridSpan w:val="2"/>
            <w:vMerge w:val="restart"/>
            <w:noWrap w:val="0"/>
            <w:vAlign w:val="center"/>
          </w:tcPr>
          <w:p w14:paraId="5398A020">
            <w:pPr>
              <w:spacing w:line="200" w:lineRule="exact"/>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随意倾倒、抛洒、堆放城市生活垃圾</w:t>
            </w:r>
          </w:p>
        </w:tc>
        <w:tc>
          <w:tcPr>
            <w:tcW w:w="2981" w:type="dxa"/>
            <w:vMerge w:val="restart"/>
            <w:noWrap w:val="0"/>
            <w:vAlign w:val="center"/>
          </w:tcPr>
          <w:p w14:paraId="6B2D9EA0">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noWrap w:val="0"/>
            <w:vAlign w:val="center"/>
          </w:tcPr>
          <w:p w14:paraId="032BC96E">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14:paraId="51EF4FFA">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14:paraId="4026F857">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709D887F">
            <w:pPr>
              <w:widowControl w:val="0"/>
              <w:numPr>
                <w:ilvl w:val="0"/>
                <w:numId w:val="0"/>
              </w:numPr>
              <w:jc w:val="both"/>
              <w:rPr>
                <w:rFonts w:hint="eastAsia" w:ascii="宋体" w:hAnsi="宋体" w:eastAsia="宋体" w:cs="宋体"/>
                <w:color w:val="auto"/>
                <w:kern w:val="0"/>
                <w:sz w:val="15"/>
                <w:szCs w:val="15"/>
                <w:highlight w:val="none"/>
                <w:lang w:eastAsia="zh-CN"/>
              </w:rPr>
            </w:pPr>
            <w:r>
              <w:rPr>
                <w:rFonts w:hint="eastAsia" w:ascii="宋体" w:hAnsi="宋体" w:eastAsia="宋体" w:cs="Batang"/>
                <w:color w:val="auto"/>
                <w:sz w:val="15"/>
                <w:szCs w:val="15"/>
                <w:highlight w:val="none"/>
                <w:lang w:val="en-US" w:eastAsia="zh-CN"/>
              </w:rPr>
              <w:t>1.污染道路</w:t>
            </w:r>
            <w:r>
              <w:rPr>
                <w:rFonts w:hint="eastAsia" w:ascii="宋体" w:hAnsi="宋体" w:eastAsia="宋体" w:cs="宋体"/>
                <w:color w:val="auto"/>
                <w:kern w:val="0"/>
                <w:sz w:val="15"/>
                <w:szCs w:val="15"/>
                <w:highlight w:val="none"/>
                <w:lang w:eastAsia="zh-CN"/>
              </w:rPr>
              <w:t>长度</w:t>
            </w:r>
            <w:r>
              <w:rPr>
                <w:rFonts w:hint="eastAsia" w:ascii="宋体" w:hAnsi="宋体" w:eastAsia="宋体" w:cs="宋体"/>
                <w:color w:val="auto"/>
                <w:kern w:val="0"/>
                <w:sz w:val="15"/>
                <w:szCs w:val="15"/>
                <w:highlight w:val="none"/>
              </w:rPr>
              <w:t>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米及以上的，系数</w:t>
            </w:r>
            <w:r>
              <w:rPr>
                <w:rFonts w:hint="eastAsia" w:ascii="宋体" w:hAnsi="宋体" w:eastAsia="宋体" w:cs="Batang"/>
                <w:color w:val="auto"/>
                <w:sz w:val="15"/>
                <w:szCs w:val="15"/>
                <w:highlight w:val="none"/>
                <w:lang w:val="en-US" w:eastAsia="zh-CN"/>
              </w:rPr>
              <w:t>9。2</w:t>
            </w:r>
            <w:r>
              <w:rPr>
                <w:rFonts w:hint="eastAsia" w:ascii="宋体" w:hAnsi="宋体" w:eastAsia="宋体" w:cs="宋体"/>
                <w:color w:val="auto"/>
                <w:kern w:val="0"/>
                <w:sz w:val="15"/>
                <w:szCs w:val="15"/>
                <w:highlight w:val="none"/>
              </w:rPr>
              <w:t>垃圾占地面积在5㎡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color w:val="auto"/>
                <w:kern w:val="0"/>
                <w:sz w:val="15"/>
                <w:szCs w:val="15"/>
                <w:highlight w:val="none"/>
              </w:rPr>
              <w:t>0；6－10㎡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随意倾倒、</w:t>
            </w:r>
            <w:r>
              <w:rPr>
                <w:rFonts w:hint="eastAsia" w:ascii="宋体" w:hAnsi="宋体" w:eastAsia="宋体"/>
                <w:b w:val="0"/>
                <w:bCs w:val="0"/>
                <w:color w:val="auto"/>
                <w:sz w:val="15"/>
                <w:szCs w:val="15"/>
                <w:highlight w:val="none"/>
              </w:rPr>
              <w:t>抛洒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.对环境造成较严重影响的，系数6-9</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4B25B5AE">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697F5698">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w:t>
            </w:r>
            <w:r>
              <w:rPr>
                <w:rFonts w:hint="eastAsia" w:ascii="宋体" w:hAnsi="宋体" w:eastAsia="宋体" w:cs="宋体"/>
                <w:color w:val="auto"/>
                <w:kern w:val="0"/>
                <w:sz w:val="15"/>
                <w:szCs w:val="15"/>
                <w:highlight w:val="none"/>
              </w:rPr>
              <w:t>倾倒、</w:t>
            </w:r>
            <w:r>
              <w:rPr>
                <w:rFonts w:hint="eastAsia" w:ascii="宋体" w:hAnsi="宋体" w:eastAsia="宋体"/>
                <w:b w:val="0"/>
                <w:bCs w:val="0"/>
                <w:color w:val="auto"/>
                <w:sz w:val="15"/>
                <w:szCs w:val="15"/>
                <w:highlight w:val="none"/>
              </w:rPr>
              <w:t>抛洒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1304" w:type="dxa"/>
            <w:gridSpan w:val="2"/>
            <w:vMerge w:val="restart"/>
            <w:noWrap w:val="0"/>
            <w:vAlign w:val="center"/>
          </w:tcPr>
          <w:p w14:paraId="2A4ABDF2">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3AAF44CC">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vMerge w:val="restart"/>
            <w:noWrap w:val="0"/>
            <w:vAlign w:val="center"/>
          </w:tcPr>
          <w:p w14:paraId="1D5595F8">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C4614400</w:t>
            </w:r>
          </w:p>
        </w:tc>
      </w:tr>
      <w:tr w14:paraId="12A3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38" w:hRule="atLeast"/>
        </w:trPr>
        <w:tc>
          <w:tcPr>
            <w:tcW w:w="714" w:type="dxa"/>
            <w:vMerge w:val="continue"/>
            <w:noWrap w:val="0"/>
            <w:vAlign w:val="center"/>
          </w:tcPr>
          <w:p w14:paraId="3E077A60">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426486AD">
            <w:pPr>
              <w:spacing w:line="232" w:lineRule="exact"/>
              <w:rPr>
                <w:rFonts w:ascii="宋体" w:hAnsi="宋体" w:eastAsia="宋体" w:cs="宋体"/>
                <w:color w:val="auto"/>
                <w:sz w:val="15"/>
                <w:szCs w:val="15"/>
                <w:highlight w:val="none"/>
              </w:rPr>
            </w:pPr>
          </w:p>
        </w:tc>
        <w:tc>
          <w:tcPr>
            <w:tcW w:w="2981" w:type="dxa"/>
            <w:vMerge w:val="continue"/>
            <w:noWrap w:val="0"/>
            <w:vAlign w:val="center"/>
          </w:tcPr>
          <w:p w14:paraId="2FB60747">
            <w:pPr>
              <w:spacing w:line="232" w:lineRule="exact"/>
              <w:rPr>
                <w:rFonts w:ascii="宋体" w:hAnsi="宋体" w:eastAsia="宋体" w:cs="宋体"/>
                <w:color w:val="auto"/>
                <w:sz w:val="15"/>
                <w:szCs w:val="15"/>
                <w:highlight w:val="none"/>
              </w:rPr>
            </w:pPr>
          </w:p>
        </w:tc>
        <w:tc>
          <w:tcPr>
            <w:tcW w:w="851" w:type="dxa"/>
            <w:noWrap w:val="0"/>
            <w:vAlign w:val="center"/>
          </w:tcPr>
          <w:p w14:paraId="53354C5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14:paraId="48A53A7D">
            <w:pPr>
              <w:spacing w:line="232" w:lineRule="exact"/>
              <w:jc w:val="center"/>
              <w:rPr>
                <w:rFonts w:ascii="宋体" w:hAnsi="宋体" w:eastAsia="宋体"/>
                <w:color w:val="auto"/>
                <w:sz w:val="15"/>
                <w:szCs w:val="15"/>
                <w:highlight w:val="none"/>
              </w:rPr>
            </w:pPr>
          </w:p>
        </w:tc>
        <w:tc>
          <w:tcPr>
            <w:tcW w:w="2376" w:type="dxa"/>
            <w:noWrap w:val="0"/>
            <w:vAlign w:val="center"/>
          </w:tcPr>
          <w:p w14:paraId="617E7D5A">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7D89CB89">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4AACB10B">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根据实际情况处罚</w:t>
            </w:r>
            <w:r>
              <w:rPr>
                <w:rFonts w:hint="eastAsia" w:ascii="宋体" w:hAnsi="宋体" w:eastAsia="宋体"/>
                <w:color w:val="auto"/>
                <w:sz w:val="15"/>
                <w:szCs w:val="15"/>
                <w:highlight w:val="none"/>
                <w:lang w:eastAsia="zh-CN"/>
              </w:rPr>
              <w:t>。</w:t>
            </w:r>
          </w:p>
        </w:tc>
        <w:tc>
          <w:tcPr>
            <w:tcW w:w="1304" w:type="dxa"/>
            <w:gridSpan w:val="2"/>
            <w:vMerge w:val="continue"/>
            <w:noWrap w:val="0"/>
            <w:vAlign w:val="center"/>
          </w:tcPr>
          <w:p w14:paraId="23FC107F">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14:paraId="03085668">
            <w:pPr>
              <w:spacing w:line="232" w:lineRule="exact"/>
              <w:jc w:val="center"/>
              <w:rPr>
                <w:rFonts w:ascii="宋体" w:hAnsi="宋体" w:eastAsia="宋体"/>
                <w:color w:val="auto"/>
                <w:sz w:val="15"/>
                <w:szCs w:val="15"/>
                <w:highlight w:val="none"/>
              </w:rPr>
            </w:pPr>
          </w:p>
        </w:tc>
      </w:tr>
      <w:tr w14:paraId="79FC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60" w:hRule="atLeast"/>
        </w:trPr>
        <w:tc>
          <w:tcPr>
            <w:tcW w:w="714" w:type="dxa"/>
            <w:noWrap w:val="0"/>
            <w:vAlign w:val="center"/>
          </w:tcPr>
          <w:p w14:paraId="2D2A15C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14:paraId="6FEC7388">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未经批准从事城市生活垃圾经营性清扫、收集、运输活动</w:t>
            </w:r>
          </w:p>
        </w:tc>
        <w:tc>
          <w:tcPr>
            <w:tcW w:w="2981" w:type="dxa"/>
            <w:noWrap w:val="0"/>
            <w:vAlign w:val="center"/>
          </w:tcPr>
          <w:p w14:paraId="66F1CB69">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违反条款：第十七条；处罚条款：第四十三条，责令停止违法行为，并处以3万元的罚款。</w:t>
            </w:r>
          </w:p>
        </w:tc>
        <w:tc>
          <w:tcPr>
            <w:tcW w:w="851" w:type="dxa"/>
            <w:noWrap w:val="0"/>
            <w:vAlign w:val="center"/>
          </w:tcPr>
          <w:p w14:paraId="6EC50DB1">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363C136D">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267AC0CC">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1D9A458C">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08313C2D">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1304" w:type="dxa"/>
            <w:gridSpan w:val="2"/>
            <w:noWrap w:val="0"/>
            <w:vAlign w:val="center"/>
          </w:tcPr>
          <w:p w14:paraId="2721FA1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7E47808A">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0B1EC568">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C4614500</w:t>
            </w:r>
          </w:p>
        </w:tc>
      </w:tr>
      <w:tr w14:paraId="01D9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66" w:hRule="atLeast"/>
        </w:trPr>
        <w:tc>
          <w:tcPr>
            <w:tcW w:w="714" w:type="dxa"/>
            <w:noWrap w:val="0"/>
            <w:vAlign w:val="center"/>
          </w:tcPr>
          <w:p w14:paraId="7B2B55F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14:paraId="1B3DF674">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未经批准从事城市生活垃圾经营性处置活动</w:t>
            </w:r>
          </w:p>
        </w:tc>
        <w:tc>
          <w:tcPr>
            <w:tcW w:w="2981" w:type="dxa"/>
            <w:noWrap w:val="0"/>
            <w:vAlign w:val="center"/>
          </w:tcPr>
          <w:p w14:paraId="17554869">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违反条款：第二十五条；处罚条款：第四十三条，责令停止违法行为，并处以3万元的罚款。</w:t>
            </w:r>
          </w:p>
        </w:tc>
        <w:tc>
          <w:tcPr>
            <w:tcW w:w="851" w:type="dxa"/>
            <w:noWrap w:val="0"/>
            <w:vAlign w:val="center"/>
          </w:tcPr>
          <w:p w14:paraId="53B916D4">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3E313011">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4922DBEC">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49EB99B2">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189226CB">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1304" w:type="dxa"/>
            <w:gridSpan w:val="2"/>
            <w:noWrap w:val="0"/>
            <w:vAlign w:val="center"/>
          </w:tcPr>
          <w:p w14:paraId="60CB395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4361499E">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7582ED1D">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C4614600</w:t>
            </w:r>
          </w:p>
        </w:tc>
      </w:tr>
      <w:tr w14:paraId="15C4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56" w:hRule="atLeast"/>
        </w:trPr>
        <w:tc>
          <w:tcPr>
            <w:tcW w:w="714" w:type="dxa"/>
            <w:noWrap w:val="0"/>
            <w:vAlign w:val="center"/>
          </w:tcPr>
          <w:p w14:paraId="48D24DA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14:paraId="69DBA085">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从事城市生活垃圾经营性清扫、收集、运输的企业在运输过程中沿途丢弃、遗撒生活垃圾</w:t>
            </w:r>
          </w:p>
        </w:tc>
        <w:tc>
          <w:tcPr>
            <w:tcW w:w="2981" w:type="dxa"/>
            <w:noWrap w:val="0"/>
            <w:vAlign w:val="center"/>
          </w:tcPr>
          <w:p w14:paraId="720301A3">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违反条款：第二十一条第（三）项；处罚条款：第四十四条，责令停止违法行为，限期改正，处以5000元以上5万元以下的罚款。</w:t>
            </w:r>
          </w:p>
        </w:tc>
        <w:tc>
          <w:tcPr>
            <w:tcW w:w="851" w:type="dxa"/>
            <w:noWrap w:val="0"/>
            <w:vAlign w:val="center"/>
          </w:tcPr>
          <w:p w14:paraId="68EF15E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14:paraId="7B2EBE9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56041935">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2.随意丢弃、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.对环境造成较严重影响的，系数6-9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6F1EFF3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07B19794">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w:t>
            </w:r>
            <w:r>
              <w:rPr>
                <w:rFonts w:hint="eastAsia" w:ascii="宋体" w:hAnsi="宋体" w:eastAsia="宋体" w:cs="宋体"/>
                <w:color w:val="auto"/>
                <w:kern w:val="0"/>
                <w:sz w:val="15"/>
                <w:szCs w:val="15"/>
                <w:highlight w:val="none"/>
              </w:rPr>
              <w:t>丢弃、</w:t>
            </w:r>
            <w:r>
              <w:rPr>
                <w:rFonts w:hint="eastAsia" w:ascii="宋体" w:hAnsi="宋体" w:eastAsia="宋体" w:cs="宋体"/>
                <w:color w:val="auto"/>
                <w:kern w:val="0"/>
                <w:sz w:val="15"/>
                <w:szCs w:val="15"/>
                <w:highlight w:val="none"/>
                <w:lang w:eastAsia="zh-CN"/>
              </w:rPr>
              <w:t>遗撒点位重叠时，不适用区域台账。</w:t>
            </w:r>
          </w:p>
        </w:tc>
        <w:tc>
          <w:tcPr>
            <w:tcW w:w="1304" w:type="dxa"/>
            <w:gridSpan w:val="2"/>
            <w:noWrap w:val="0"/>
            <w:vAlign w:val="center"/>
          </w:tcPr>
          <w:p w14:paraId="5C90C8A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5DCA2FA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0F00136E">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C4614700</w:t>
            </w:r>
          </w:p>
        </w:tc>
      </w:tr>
      <w:tr w14:paraId="2747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72" w:hRule="atLeast"/>
        </w:trPr>
        <w:tc>
          <w:tcPr>
            <w:tcW w:w="714" w:type="dxa"/>
            <w:noWrap w:val="0"/>
            <w:vAlign w:val="center"/>
          </w:tcPr>
          <w:p w14:paraId="49FEFAF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14:paraId="64CCDEF1">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从事城市生活垃圾经营性清扫、收集、运输的企业未履行规定义务</w:t>
            </w:r>
          </w:p>
        </w:tc>
        <w:tc>
          <w:tcPr>
            <w:tcW w:w="2981" w:type="dxa"/>
            <w:noWrap w:val="0"/>
            <w:vAlign w:val="center"/>
          </w:tcPr>
          <w:p w14:paraId="2AD0175C">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违反条款：第二十条；处罚条款：第四十五条，责令限期改正，并可处以5000元以上3万元以下的罚款。</w:t>
            </w:r>
          </w:p>
        </w:tc>
        <w:tc>
          <w:tcPr>
            <w:tcW w:w="851" w:type="dxa"/>
            <w:noWrap w:val="0"/>
            <w:vAlign w:val="center"/>
          </w:tcPr>
          <w:p w14:paraId="2B5E06A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14:paraId="064BEE0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2C67CEE2">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同时存在本条规定的</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种违法情形的，系数</w:t>
            </w:r>
            <w:r>
              <w:rPr>
                <w:rFonts w:hint="eastAsia" w:ascii="宋体" w:hAnsi="宋体" w:eastAsia="宋体" w:cs="宋体"/>
                <w:color w:val="auto"/>
                <w:kern w:val="0"/>
                <w:sz w:val="15"/>
                <w:szCs w:val="15"/>
                <w:highlight w:val="none"/>
                <w:lang w:val="en-US" w:eastAsia="zh-CN"/>
              </w:rPr>
              <w:t>2-3，存在3种及以上情形的，系数4-5；2.</w:t>
            </w:r>
            <w:r>
              <w:rPr>
                <w:rFonts w:hint="eastAsia" w:ascii="宋体" w:hAnsi="宋体" w:eastAsia="宋体"/>
                <w:color w:val="auto"/>
                <w:sz w:val="15"/>
                <w:szCs w:val="15"/>
                <w:highlight w:val="none"/>
              </w:rPr>
              <w:t>对环境造成较严重影响的，系数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6F4A3BA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661471B9">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07F44C3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4A05EC0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1F302EDB">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C4614800</w:t>
            </w:r>
          </w:p>
        </w:tc>
      </w:tr>
      <w:tr w14:paraId="57806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92" w:hRule="atLeast"/>
        </w:trPr>
        <w:tc>
          <w:tcPr>
            <w:tcW w:w="714" w:type="dxa"/>
            <w:noWrap w:val="0"/>
            <w:vAlign w:val="center"/>
          </w:tcPr>
          <w:p w14:paraId="56A7C3B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14:paraId="4BDFA2EF">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从事城市生活垃圾经营性处置的企业未履行规定义务</w:t>
            </w:r>
          </w:p>
        </w:tc>
        <w:tc>
          <w:tcPr>
            <w:tcW w:w="2981" w:type="dxa"/>
            <w:noWrap w:val="0"/>
            <w:vAlign w:val="center"/>
          </w:tcPr>
          <w:p w14:paraId="67A77C56">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违反条款：第二十八条；处罚条款：第四十五条，责令限期改正，并可处以3万元以上10万元以下的罚款。</w:t>
            </w:r>
          </w:p>
        </w:tc>
        <w:tc>
          <w:tcPr>
            <w:tcW w:w="851" w:type="dxa"/>
            <w:noWrap w:val="0"/>
            <w:vAlign w:val="center"/>
          </w:tcPr>
          <w:p w14:paraId="0B71DDF1">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noWrap w:val="0"/>
            <w:vAlign w:val="center"/>
          </w:tcPr>
          <w:p w14:paraId="6D8C6877">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6511A5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同时存在本条规定的</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种违法情形的，系数</w:t>
            </w:r>
            <w:r>
              <w:rPr>
                <w:rFonts w:hint="eastAsia" w:ascii="宋体" w:hAnsi="宋体" w:eastAsia="宋体" w:cs="宋体"/>
                <w:color w:val="auto"/>
                <w:kern w:val="0"/>
                <w:sz w:val="15"/>
                <w:szCs w:val="15"/>
                <w:highlight w:val="none"/>
                <w:lang w:val="en-US" w:eastAsia="zh-CN"/>
              </w:rPr>
              <w:t>1，存在3种及以上情形的，系数2-3；</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造成较严重影响的，系数</w:t>
            </w:r>
            <w:r>
              <w:rPr>
                <w:rFonts w:hint="eastAsia" w:ascii="宋体" w:hAnsi="宋体" w:eastAsia="宋体"/>
                <w:color w:val="auto"/>
                <w:sz w:val="15"/>
                <w:szCs w:val="15"/>
                <w:highlight w:val="none"/>
                <w:lang w:val="en-US" w:eastAsia="zh-CN"/>
              </w:rPr>
              <w:t>2-3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14:paraId="054DCFFD">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13B9DEA4">
            <w:pPr>
              <w:spacing w:line="220" w:lineRule="exact"/>
              <w:rPr>
                <w:rFonts w:ascii="宋体" w:hAnsi="宋体" w:eastAsia="宋体"/>
                <w:color w:val="auto"/>
                <w:sz w:val="15"/>
                <w:szCs w:val="15"/>
                <w:highlight w:val="none"/>
              </w:rPr>
            </w:pPr>
          </w:p>
        </w:tc>
        <w:tc>
          <w:tcPr>
            <w:tcW w:w="1304" w:type="dxa"/>
            <w:gridSpan w:val="2"/>
            <w:noWrap w:val="0"/>
            <w:vAlign w:val="center"/>
          </w:tcPr>
          <w:p w14:paraId="6975853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1F33CF2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c>
          <w:tcPr>
            <w:tcW w:w="1869" w:type="dxa"/>
            <w:noWrap w:val="0"/>
            <w:vAlign w:val="center"/>
          </w:tcPr>
          <w:p w14:paraId="700A09F8">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C4614900</w:t>
            </w:r>
          </w:p>
        </w:tc>
      </w:tr>
      <w:tr w14:paraId="1B6F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68" w:hRule="atLeast"/>
        </w:trPr>
        <w:tc>
          <w:tcPr>
            <w:tcW w:w="714" w:type="dxa"/>
            <w:noWrap w:val="0"/>
            <w:vAlign w:val="center"/>
          </w:tcPr>
          <w:p w14:paraId="5E32384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14:paraId="04B90D0F">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从事城市生活垃圾经营性清扫、收集、运输的企业未经批准擅自停业、歇业的</w:t>
            </w:r>
          </w:p>
        </w:tc>
        <w:tc>
          <w:tcPr>
            <w:tcW w:w="2981" w:type="dxa"/>
            <w:noWrap w:val="0"/>
            <w:vAlign w:val="center"/>
          </w:tcPr>
          <w:p w14:paraId="3D72CEBC">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违反条款：第二十一条第（二）项</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第三十五条第一款；处罚条款：第四十六条，责令限期改正，并可处以1万元以上3万元以下罚款。</w:t>
            </w:r>
          </w:p>
        </w:tc>
        <w:tc>
          <w:tcPr>
            <w:tcW w:w="851" w:type="dxa"/>
            <w:noWrap w:val="0"/>
            <w:vAlign w:val="center"/>
          </w:tcPr>
          <w:p w14:paraId="531B7F9C">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381EAC5F">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D236601">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造成较严重影响的，系数1-2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14:paraId="7DDAF418">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005FF680">
            <w:pPr>
              <w:spacing w:line="220" w:lineRule="exact"/>
              <w:rPr>
                <w:rFonts w:ascii="宋体" w:hAnsi="宋体" w:eastAsia="宋体"/>
                <w:color w:val="auto"/>
                <w:sz w:val="15"/>
                <w:szCs w:val="15"/>
                <w:highlight w:val="none"/>
              </w:rPr>
            </w:pPr>
          </w:p>
        </w:tc>
        <w:tc>
          <w:tcPr>
            <w:tcW w:w="1304" w:type="dxa"/>
            <w:gridSpan w:val="2"/>
            <w:noWrap w:val="0"/>
            <w:vAlign w:val="center"/>
          </w:tcPr>
          <w:p w14:paraId="6B3FA66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622606B">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4164F90D">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C4615000</w:t>
            </w:r>
          </w:p>
        </w:tc>
      </w:tr>
      <w:tr w14:paraId="132F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960" w:hRule="atLeast"/>
        </w:trPr>
        <w:tc>
          <w:tcPr>
            <w:tcW w:w="714" w:type="dxa"/>
            <w:noWrap w:val="0"/>
            <w:vAlign w:val="center"/>
          </w:tcPr>
          <w:p w14:paraId="0B1026E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14:paraId="4C6BF265">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从事城市生活垃圾经营性处置的企业未经批准擅自停业、歇业的</w:t>
            </w:r>
          </w:p>
        </w:tc>
        <w:tc>
          <w:tcPr>
            <w:tcW w:w="2981" w:type="dxa"/>
            <w:noWrap w:val="0"/>
            <w:vAlign w:val="center"/>
          </w:tcPr>
          <w:p w14:paraId="6FEA1C58">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违反条款：第三十五条第一款；处罚条款：第四十六条，责令限期改正，并可处以5万元以上10万元以下罚款。</w:t>
            </w:r>
          </w:p>
        </w:tc>
        <w:tc>
          <w:tcPr>
            <w:tcW w:w="851" w:type="dxa"/>
            <w:noWrap w:val="0"/>
            <w:vAlign w:val="center"/>
          </w:tcPr>
          <w:p w14:paraId="5AC7A7F8">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14:paraId="02B9F84E">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97E655B">
            <w:pPr>
              <w:numPr>
                <w:ilvl w:val="0"/>
                <w:numId w:val="0"/>
              </w:numPr>
              <w:spacing w:line="220" w:lineRule="exact"/>
              <w:rPr>
                <w:rFonts w:ascii="宋体" w:hAnsi="宋体" w:eastAsia="宋体" w:cs="宋体"/>
                <w:color w:val="auto"/>
                <w:kern w:val="0"/>
                <w:sz w:val="15"/>
                <w:szCs w:val="15"/>
                <w:highlight w:val="none"/>
              </w:rPr>
            </w:pP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违法行为持续</w:t>
            </w:r>
            <w:r>
              <w:rPr>
                <w:rFonts w:hint="eastAsia" w:ascii="宋体" w:hAnsi="宋体" w:eastAsia="宋体" w:cs="宋体"/>
                <w:color w:val="auto"/>
                <w:kern w:val="0"/>
                <w:sz w:val="15"/>
                <w:szCs w:val="15"/>
                <w:highlight w:val="none"/>
                <w:lang w:val="en-US" w:eastAsia="zh-CN"/>
              </w:rPr>
              <w:t>2天的，系数0</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；3天的，系数0</w:t>
            </w:r>
            <w:r>
              <w:rPr>
                <w:rFonts w:hint="default"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；4天的，系数0</w:t>
            </w:r>
            <w:r>
              <w:rPr>
                <w:rFonts w:hint="default"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val="en-US" w:eastAsia="zh-CN"/>
              </w:rPr>
              <w:t>；5天的，系数0.8；6天及以上的，系数1。</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造成较严重影响的，系数1。3.存在基准2.1.3规定情形的，系数按照相关规定确定（基准2.1.3.5不适用）。</w:t>
            </w:r>
          </w:p>
        </w:tc>
        <w:tc>
          <w:tcPr>
            <w:tcW w:w="1875" w:type="dxa"/>
            <w:gridSpan w:val="2"/>
            <w:noWrap w:val="0"/>
            <w:vAlign w:val="center"/>
          </w:tcPr>
          <w:p w14:paraId="6508033A">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0465750F">
            <w:pPr>
              <w:spacing w:line="220" w:lineRule="exact"/>
              <w:rPr>
                <w:rFonts w:ascii="宋体" w:hAnsi="宋体" w:eastAsia="宋体"/>
                <w:color w:val="auto"/>
                <w:sz w:val="15"/>
                <w:szCs w:val="15"/>
                <w:highlight w:val="none"/>
              </w:rPr>
            </w:pPr>
          </w:p>
        </w:tc>
        <w:tc>
          <w:tcPr>
            <w:tcW w:w="1304" w:type="dxa"/>
            <w:gridSpan w:val="2"/>
            <w:noWrap w:val="0"/>
            <w:vAlign w:val="center"/>
          </w:tcPr>
          <w:p w14:paraId="7F46867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0E26445F">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2AFD4F04">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C4615100</w:t>
            </w:r>
          </w:p>
        </w:tc>
      </w:tr>
      <w:tr w14:paraId="67688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68" w:hRule="atLeast"/>
        </w:trPr>
        <w:tc>
          <w:tcPr>
            <w:tcW w:w="14587" w:type="dxa"/>
            <w:gridSpan w:val="13"/>
            <w:noWrap w:val="0"/>
            <w:vAlign w:val="center"/>
          </w:tcPr>
          <w:p w14:paraId="6BB216EB">
            <w:pPr>
              <w:pStyle w:val="3"/>
              <w:widowControl w:val="0"/>
              <w:spacing w:line="220" w:lineRule="exact"/>
              <w:jc w:val="center"/>
              <w:rPr>
                <w:rFonts w:ascii="宋体" w:hAnsi="宋体" w:eastAsia="宋体"/>
                <w:color w:val="auto"/>
                <w:sz w:val="15"/>
                <w:szCs w:val="15"/>
                <w:highlight w:val="none"/>
              </w:rPr>
            </w:pPr>
            <w:bookmarkStart w:id="13" w:name="_Toc110851439"/>
            <w:bookmarkStart w:id="14" w:name="_Toc1544417110"/>
            <w:bookmarkStart w:id="15" w:name="_Toc206588106"/>
            <w:r>
              <w:rPr>
                <w:rFonts w:hint="eastAsia" w:ascii="宋体" w:hAnsi="宋体" w:eastAsia="宋体"/>
                <w:color w:val="auto"/>
                <w:sz w:val="21"/>
                <w:szCs w:val="21"/>
                <w:highlight w:val="none"/>
              </w:rPr>
              <w:t>《城市建筑垃圾管理规定》案由11项</w:t>
            </w:r>
            <w:bookmarkEnd w:id="13"/>
            <w:bookmarkEnd w:id="14"/>
            <w:bookmarkEnd w:id="15"/>
          </w:p>
        </w:tc>
        <w:tc>
          <w:tcPr>
            <w:tcW w:w="1869" w:type="dxa"/>
            <w:noWrap w:val="0"/>
            <w:vAlign w:val="center"/>
          </w:tcPr>
          <w:p w14:paraId="3EA46891">
            <w:pPr>
              <w:pStyle w:val="3"/>
              <w:widowControl w:val="0"/>
              <w:spacing w:line="220" w:lineRule="exact"/>
              <w:jc w:val="center"/>
              <w:rPr>
                <w:rFonts w:hint="eastAsia" w:ascii="宋体" w:hAnsi="宋体" w:eastAsia="宋体"/>
                <w:color w:val="auto"/>
                <w:sz w:val="21"/>
                <w:szCs w:val="21"/>
                <w:highlight w:val="none"/>
              </w:rPr>
            </w:pPr>
          </w:p>
        </w:tc>
      </w:tr>
      <w:tr w14:paraId="1427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67E6CF6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5523683F">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将建筑垃圾混入生活垃圾</w:t>
            </w:r>
          </w:p>
        </w:tc>
        <w:tc>
          <w:tcPr>
            <w:tcW w:w="2981" w:type="dxa"/>
            <w:noWrap w:val="0"/>
            <w:vAlign w:val="center"/>
          </w:tcPr>
          <w:p w14:paraId="3BE3BDB9">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违反条款：第九条；处罚条款：第二十条第一款第（一）项及第二款，责令限期改正，予以警告；对单位处3000元以下罚款；对个人处200元以下罚款。</w:t>
            </w:r>
          </w:p>
        </w:tc>
        <w:tc>
          <w:tcPr>
            <w:tcW w:w="851" w:type="dxa"/>
            <w:noWrap w:val="0"/>
            <w:vAlign w:val="center"/>
          </w:tcPr>
          <w:p w14:paraId="10603481">
            <w:pPr>
              <w:spacing w:line="220" w:lineRule="exact"/>
              <w:jc w:val="center"/>
              <w:rPr>
                <w:rFonts w:ascii="宋体" w:hAnsi="宋体" w:eastAsia="宋体" w:cs="宋体"/>
                <w:color w:val="auto"/>
                <w:kern w:val="0"/>
                <w:sz w:val="15"/>
                <w:szCs w:val="15"/>
                <w:highlight w:val="none"/>
              </w:rPr>
            </w:pPr>
          </w:p>
        </w:tc>
        <w:tc>
          <w:tcPr>
            <w:tcW w:w="840" w:type="dxa"/>
            <w:noWrap w:val="0"/>
            <w:vAlign w:val="center"/>
          </w:tcPr>
          <w:p w14:paraId="63C74AEB">
            <w:pPr>
              <w:spacing w:line="220" w:lineRule="exact"/>
              <w:jc w:val="center"/>
              <w:rPr>
                <w:rFonts w:ascii="宋体" w:hAnsi="宋体" w:eastAsia="宋体" w:cs="宋体"/>
                <w:color w:val="auto"/>
                <w:kern w:val="0"/>
                <w:sz w:val="15"/>
                <w:szCs w:val="15"/>
                <w:highlight w:val="none"/>
              </w:rPr>
            </w:pPr>
          </w:p>
        </w:tc>
        <w:tc>
          <w:tcPr>
            <w:tcW w:w="2376" w:type="dxa"/>
            <w:noWrap w:val="0"/>
            <w:vAlign w:val="center"/>
          </w:tcPr>
          <w:p w14:paraId="4F0BE507">
            <w:pPr>
              <w:spacing w:line="220" w:lineRule="exact"/>
              <w:rPr>
                <w:rFonts w:ascii="宋体" w:hAnsi="宋体" w:eastAsia="宋体" w:cs="宋体"/>
                <w:color w:val="auto"/>
                <w:kern w:val="0"/>
                <w:sz w:val="15"/>
                <w:szCs w:val="15"/>
                <w:highlight w:val="none"/>
              </w:rPr>
            </w:pPr>
          </w:p>
        </w:tc>
        <w:tc>
          <w:tcPr>
            <w:tcW w:w="1875" w:type="dxa"/>
            <w:gridSpan w:val="2"/>
            <w:noWrap w:val="0"/>
            <w:vAlign w:val="center"/>
          </w:tcPr>
          <w:p w14:paraId="6B1C7C2A">
            <w:pPr>
              <w:spacing w:line="220" w:lineRule="exact"/>
              <w:rPr>
                <w:rFonts w:ascii="宋体" w:hAnsi="宋体" w:eastAsia="宋体" w:cs="宋体"/>
                <w:color w:val="auto"/>
                <w:kern w:val="0"/>
                <w:sz w:val="15"/>
                <w:szCs w:val="15"/>
                <w:highlight w:val="none"/>
              </w:rPr>
            </w:pPr>
          </w:p>
        </w:tc>
        <w:tc>
          <w:tcPr>
            <w:tcW w:w="2020" w:type="dxa"/>
            <w:gridSpan w:val="2"/>
            <w:noWrap w:val="0"/>
            <w:vAlign w:val="center"/>
          </w:tcPr>
          <w:p w14:paraId="176667AA">
            <w:pPr>
              <w:spacing w:line="22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根据实际情况酌定处罚</w:t>
            </w:r>
            <w:r>
              <w:rPr>
                <w:rFonts w:hint="eastAsia" w:ascii="宋体" w:hAnsi="宋体" w:eastAsia="宋体"/>
                <w:color w:val="auto"/>
                <w:sz w:val="15"/>
                <w:szCs w:val="15"/>
                <w:highlight w:val="none"/>
                <w:lang w:eastAsia="zh-CN"/>
              </w:rPr>
              <w:t>。</w:t>
            </w:r>
          </w:p>
        </w:tc>
        <w:tc>
          <w:tcPr>
            <w:tcW w:w="1304" w:type="dxa"/>
            <w:gridSpan w:val="2"/>
            <w:noWrap w:val="0"/>
            <w:vAlign w:val="center"/>
          </w:tcPr>
          <w:p w14:paraId="0375E6A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D2C6E8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F4FFEC3">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C4613000</w:t>
            </w:r>
          </w:p>
        </w:tc>
      </w:tr>
      <w:tr w14:paraId="0993B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04" w:hRule="atLeast"/>
        </w:trPr>
        <w:tc>
          <w:tcPr>
            <w:tcW w:w="714" w:type="dxa"/>
            <w:noWrap w:val="0"/>
            <w:vAlign w:val="center"/>
          </w:tcPr>
          <w:p w14:paraId="0DCA09B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14:paraId="09B7AD6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将危险废物混入建筑垃圾</w:t>
            </w:r>
          </w:p>
        </w:tc>
        <w:tc>
          <w:tcPr>
            <w:tcW w:w="2981" w:type="dxa"/>
            <w:noWrap w:val="0"/>
            <w:vAlign w:val="center"/>
          </w:tcPr>
          <w:p w14:paraId="4F403F2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违反条款：第九条；处罚条款：第二十条第一款第（二）项及第二款，责令限期改正，予以警告；对单位处3000元以下罚款；对个人处200元以下罚款。</w:t>
            </w:r>
          </w:p>
        </w:tc>
        <w:tc>
          <w:tcPr>
            <w:tcW w:w="851" w:type="dxa"/>
            <w:noWrap w:val="0"/>
            <w:vAlign w:val="center"/>
          </w:tcPr>
          <w:p w14:paraId="6D6715FF">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2BF957CA">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32F6CD56">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2397856F">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1BAFE416">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根据实际情况酌定处罚</w:t>
            </w:r>
            <w:r>
              <w:rPr>
                <w:rFonts w:hint="eastAsia" w:ascii="宋体" w:hAnsi="宋体" w:eastAsia="宋体"/>
                <w:color w:val="auto"/>
                <w:sz w:val="15"/>
                <w:szCs w:val="15"/>
                <w:highlight w:val="none"/>
                <w:lang w:eastAsia="zh-CN"/>
              </w:rPr>
              <w:t>。</w:t>
            </w:r>
          </w:p>
        </w:tc>
        <w:tc>
          <w:tcPr>
            <w:tcW w:w="1304" w:type="dxa"/>
            <w:gridSpan w:val="2"/>
            <w:noWrap w:val="0"/>
            <w:vAlign w:val="center"/>
          </w:tcPr>
          <w:p w14:paraId="7B5B451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5730F6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50CC3C8">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C4613100</w:t>
            </w:r>
          </w:p>
        </w:tc>
      </w:tr>
      <w:tr w14:paraId="305D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84" w:hRule="atLeast"/>
        </w:trPr>
        <w:tc>
          <w:tcPr>
            <w:tcW w:w="714" w:type="dxa"/>
            <w:vMerge w:val="restart"/>
            <w:noWrap w:val="0"/>
            <w:vAlign w:val="center"/>
          </w:tcPr>
          <w:p w14:paraId="54B36F1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vMerge w:val="restart"/>
            <w:noWrap w:val="0"/>
            <w:vAlign w:val="center"/>
          </w:tcPr>
          <w:p w14:paraId="4D9833E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擅自设立弃置场受纳建筑垃圾</w:t>
            </w:r>
          </w:p>
        </w:tc>
        <w:tc>
          <w:tcPr>
            <w:tcW w:w="2981" w:type="dxa"/>
            <w:vMerge w:val="restart"/>
            <w:noWrap w:val="0"/>
            <w:vAlign w:val="center"/>
          </w:tcPr>
          <w:p w14:paraId="5AC10D0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noWrap w:val="0"/>
            <w:vAlign w:val="center"/>
          </w:tcPr>
          <w:p w14:paraId="75CE6E2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2D09C6B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1C0FC72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05F75C2">
            <w:pPr>
              <w:numPr>
                <w:ilvl w:val="0"/>
                <w:numId w:val="0"/>
              </w:numPr>
              <w:spacing w:line="232" w:lineRule="exact"/>
              <w:rPr>
                <w:rFonts w:hint="default"/>
                <w:color w:val="auto"/>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2B7EA64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5219F76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接收、消纳建筑垃圾，污染环境、破坏生态的</w:t>
            </w:r>
            <w:r>
              <w:rPr>
                <w:rFonts w:hint="eastAsia" w:ascii="宋体" w:hAnsi="宋体" w:eastAsia="宋体"/>
                <w:color w:val="auto"/>
                <w:sz w:val="15"/>
                <w:szCs w:val="15"/>
                <w:highlight w:val="none"/>
                <w:lang w:eastAsia="zh-CN"/>
              </w:rPr>
              <w:t>，适用</w:t>
            </w:r>
            <w:r>
              <w:rPr>
                <w:rFonts w:hint="eastAsia" w:ascii="宋体" w:hAnsi="宋体" w:eastAsia="宋体"/>
                <w:color w:val="auto"/>
                <w:sz w:val="15"/>
                <w:szCs w:val="15"/>
                <w:highlight w:val="none"/>
              </w:rPr>
              <w:t>《北京市建筑垃圾处置管理规定》</w:t>
            </w:r>
            <w:r>
              <w:rPr>
                <w:rFonts w:hint="eastAsia" w:ascii="宋体" w:hAnsi="宋体" w:eastAsia="宋体"/>
                <w:color w:val="auto"/>
                <w:sz w:val="15"/>
                <w:szCs w:val="15"/>
                <w:highlight w:val="none"/>
                <w:lang w:eastAsia="zh-CN"/>
              </w:rPr>
              <w:t>。</w:t>
            </w:r>
          </w:p>
        </w:tc>
        <w:tc>
          <w:tcPr>
            <w:tcW w:w="1304" w:type="dxa"/>
            <w:gridSpan w:val="2"/>
            <w:vMerge w:val="restart"/>
            <w:noWrap w:val="0"/>
            <w:vAlign w:val="center"/>
          </w:tcPr>
          <w:p w14:paraId="1EE8C19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84FA080">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74945187">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C4613200</w:t>
            </w:r>
          </w:p>
        </w:tc>
      </w:tr>
      <w:tr w14:paraId="68EC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76" w:hRule="atLeast"/>
        </w:trPr>
        <w:tc>
          <w:tcPr>
            <w:tcW w:w="714" w:type="dxa"/>
            <w:vMerge w:val="continue"/>
            <w:noWrap w:val="0"/>
            <w:vAlign w:val="center"/>
          </w:tcPr>
          <w:p w14:paraId="11EFD78E">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5DD51A66">
            <w:pPr>
              <w:spacing w:line="232" w:lineRule="exact"/>
              <w:rPr>
                <w:rFonts w:ascii="宋体" w:hAnsi="宋体" w:eastAsia="宋体" w:cs="宋体"/>
                <w:color w:val="auto"/>
                <w:sz w:val="15"/>
                <w:szCs w:val="15"/>
                <w:highlight w:val="none"/>
              </w:rPr>
            </w:pPr>
          </w:p>
        </w:tc>
        <w:tc>
          <w:tcPr>
            <w:tcW w:w="2981" w:type="dxa"/>
            <w:vMerge w:val="continue"/>
            <w:noWrap w:val="0"/>
            <w:vAlign w:val="center"/>
          </w:tcPr>
          <w:p w14:paraId="253B631E">
            <w:pPr>
              <w:spacing w:line="232" w:lineRule="exact"/>
              <w:rPr>
                <w:rFonts w:ascii="宋体" w:hAnsi="宋体" w:eastAsia="宋体" w:cs="宋体"/>
                <w:b/>
                <w:color w:val="auto"/>
                <w:sz w:val="15"/>
                <w:szCs w:val="15"/>
                <w:highlight w:val="none"/>
              </w:rPr>
            </w:pPr>
          </w:p>
        </w:tc>
        <w:tc>
          <w:tcPr>
            <w:tcW w:w="851" w:type="dxa"/>
            <w:noWrap w:val="0"/>
            <w:vAlign w:val="center"/>
          </w:tcPr>
          <w:p w14:paraId="739BA9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strike w:val="0"/>
                <w:d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1500</w:t>
            </w:r>
          </w:p>
          <w:p w14:paraId="14C049E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14:paraId="3F9EBC66">
            <w:pPr>
              <w:spacing w:line="232" w:lineRule="exact"/>
              <w:jc w:val="center"/>
              <w:rPr>
                <w:rFonts w:ascii="宋体" w:hAnsi="宋体" w:eastAsia="宋体" w:cs="宋体"/>
                <w:b w:val="0"/>
                <w:bCs w:val="0"/>
                <w:color w:val="auto"/>
                <w:kern w:val="0"/>
                <w:sz w:val="15"/>
                <w:szCs w:val="15"/>
                <w:highlight w:val="none"/>
              </w:rPr>
            </w:pPr>
          </w:p>
        </w:tc>
        <w:tc>
          <w:tcPr>
            <w:tcW w:w="2376" w:type="dxa"/>
            <w:noWrap w:val="0"/>
            <w:vAlign w:val="center"/>
          </w:tcPr>
          <w:p w14:paraId="1D357109">
            <w:pPr>
              <w:numPr>
                <w:ilvl w:val="0"/>
                <w:numId w:val="0"/>
              </w:numPr>
              <w:spacing w:line="232" w:lineRule="exact"/>
              <w:rPr>
                <w:rFonts w:hint="default" w:ascii="宋体" w:hAnsi="宋体" w:eastAsia="宋体" w:cs="宋体"/>
                <w:b w:val="0"/>
                <w:bCs w:val="0"/>
                <w:color w:val="auto"/>
                <w:kern w:val="0"/>
                <w:sz w:val="15"/>
                <w:szCs w:val="15"/>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7C4E0177">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15</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51C6FE56">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接收、消纳建筑垃圾，污染环境、破坏生态的</w:t>
            </w:r>
            <w:r>
              <w:rPr>
                <w:rFonts w:hint="eastAsia" w:ascii="宋体" w:hAnsi="宋体" w:eastAsia="宋体"/>
                <w:color w:val="auto"/>
                <w:sz w:val="15"/>
                <w:szCs w:val="15"/>
                <w:highlight w:val="none"/>
                <w:lang w:eastAsia="zh-CN"/>
              </w:rPr>
              <w:t>，适用</w:t>
            </w:r>
            <w:r>
              <w:rPr>
                <w:rFonts w:hint="eastAsia" w:ascii="宋体" w:hAnsi="宋体" w:eastAsia="宋体"/>
                <w:color w:val="auto"/>
                <w:sz w:val="15"/>
                <w:szCs w:val="15"/>
                <w:highlight w:val="none"/>
              </w:rPr>
              <w:t>《北京市建筑垃圾处置管理规定》</w:t>
            </w:r>
            <w:r>
              <w:rPr>
                <w:rFonts w:hint="eastAsia" w:ascii="宋体" w:hAnsi="宋体" w:eastAsia="宋体"/>
                <w:color w:val="auto"/>
                <w:sz w:val="15"/>
                <w:szCs w:val="15"/>
                <w:highlight w:val="none"/>
                <w:lang w:eastAsia="zh-CN"/>
              </w:rPr>
              <w:t>。</w:t>
            </w:r>
          </w:p>
          <w:p w14:paraId="07861693">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eastAsia="zh-CN"/>
              </w:rPr>
              <w:t>拟作出</w:t>
            </w:r>
            <w:r>
              <w:rPr>
                <w:rFonts w:hint="eastAsia" w:ascii="宋体" w:hAnsi="宋体" w:eastAsia="宋体"/>
                <w:color w:val="auto"/>
                <w:sz w:val="15"/>
                <w:szCs w:val="15"/>
                <w:highlight w:val="none"/>
                <w:lang w:val="en-US" w:eastAsia="zh-CN"/>
              </w:rPr>
              <w:t>1500元以下罚款的，说明理由并报案审会决定。</w:t>
            </w:r>
          </w:p>
        </w:tc>
        <w:tc>
          <w:tcPr>
            <w:tcW w:w="1304" w:type="dxa"/>
            <w:gridSpan w:val="2"/>
            <w:vMerge w:val="continue"/>
            <w:noWrap w:val="0"/>
            <w:vAlign w:val="center"/>
          </w:tcPr>
          <w:p w14:paraId="45271BBE">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14:paraId="4A177A0D">
            <w:pPr>
              <w:spacing w:line="232" w:lineRule="exact"/>
              <w:jc w:val="both"/>
              <w:rPr>
                <w:rFonts w:hint="eastAsia" w:ascii="宋体" w:hAnsi="宋体" w:eastAsia="宋体"/>
                <w:color w:val="auto"/>
                <w:sz w:val="15"/>
                <w:szCs w:val="15"/>
                <w:highlight w:val="none"/>
                <w:lang w:eastAsia="zh"/>
              </w:rPr>
            </w:pPr>
          </w:p>
        </w:tc>
      </w:tr>
      <w:tr w14:paraId="68BB8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33" w:hRule="atLeast"/>
        </w:trPr>
        <w:tc>
          <w:tcPr>
            <w:tcW w:w="714" w:type="dxa"/>
            <w:noWrap w:val="0"/>
            <w:vAlign w:val="center"/>
          </w:tcPr>
          <w:p w14:paraId="22615F6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14:paraId="2BE19F04">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建筑垃圾储运消纳场受纳工业垃圾、生活垃圾和有毒有害垃圾</w:t>
            </w:r>
          </w:p>
        </w:tc>
        <w:tc>
          <w:tcPr>
            <w:tcW w:w="2981" w:type="dxa"/>
            <w:noWrap w:val="0"/>
            <w:vAlign w:val="center"/>
          </w:tcPr>
          <w:p w14:paraId="5B29A8BA">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违反条款：第十条；处罚条款：第二十一条，责令限期改正，给予警告，处5000元以上1万元以下罚款。 </w:t>
            </w:r>
          </w:p>
        </w:tc>
        <w:tc>
          <w:tcPr>
            <w:tcW w:w="851" w:type="dxa"/>
            <w:noWrap w:val="0"/>
            <w:vAlign w:val="center"/>
          </w:tcPr>
          <w:p w14:paraId="02A1B5A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3E9DAC7A">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w:t>
            </w:r>
          </w:p>
        </w:tc>
        <w:tc>
          <w:tcPr>
            <w:tcW w:w="2376" w:type="dxa"/>
            <w:noWrap w:val="0"/>
            <w:vAlign w:val="center"/>
          </w:tcPr>
          <w:p w14:paraId="6F5757E2">
            <w:pPr>
              <w:spacing w:line="232" w:lineRule="exact"/>
              <w:rPr>
                <w:rFonts w:ascii="宋体" w:hAnsi="宋体" w:eastAsia="宋体" w:cs="宋体"/>
                <w:b w:val="0"/>
                <w:bCs w:val="0"/>
                <w:color w:val="auto"/>
                <w:kern w:val="0"/>
                <w:sz w:val="15"/>
                <w:szCs w:val="15"/>
                <w:highlight w:val="none"/>
              </w:rPr>
            </w:pPr>
            <w:r>
              <w:rPr>
                <w:rFonts w:hint="eastAsia" w:ascii="宋体" w:hAnsi="宋体" w:eastAsia="宋体"/>
                <w:b w:val="0"/>
                <w:bCs w:val="0"/>
                <w:color w:val="auto"/>
                <w:sz w:val="15"/>
                <w:szCs w:val="15"/>
                <w:highlight w:val="none"/>
                <w:lang w:val="en-US" w:eastAsia="zh-CN"/>
              </w:rPr>
              <w:t>1.</w:t>
            </w:r>
            <w:r>
              <w:rPr>
                <w:rFonts w:hint="eastAsia" w:ascii="宋体" w:hAnsi="宋体" w:cs="宋体"/>
                <w:b w:val="0"/>
                <w:bCs w:val="0"/>
                <w:color w:val="auto"/>
                <w:kern w:val="0"/>
                <w:sz w:val="15"/>
                <w:szCs w:val="15"/>
                <w:highlight w:val="none"/>
                <w:lang w:eastAsia="zh-CN"/>
              </w:rPr>
              <w:t>受纳工业</w:t>
            </w:r>
            <w:r>
              <w:rPr>
                <w:rFonts w:hint="eastAsia" w:ascii="宋体" w:hAnsi="宋体" w:eastAsia="宋体" w:cs="宋体"/>
                <w:b w:val="0"/>
                <w:bCs w:val="0"/>
                <w:color w:val="auto"/>
                <w:sz w:val="15"/>
                <w:szCs w:val="15"/>
                <w:highlight w:val="none"/>
                <w:lang w:val="en-US" w:eastAsia="zh-CN"/>
              </w:rPr>
              <w:t>垃圾、生活垃圾重量在2吨及以上的，系数0.5；</w:t>
            </w:r>
            <w:r>
              <w:rPr>
                <w:rFonts w:hint="eastAsia" w:ascii="宋体" w:hAnsi="宋体" w:cs="宋体"/>
                <w:b w:val="0"/>
                <w:bCs w:val="0"/>
                <w:color w:val="auto"/>
                <w:kern w:val="0"/>
                <w:sz w:val="15"/>
                <w:szCs w:val="15"/>
                <w:highlight w:val="none"/>
                <w:lang w:eastAsia="zh-CN"/>
              </w:rPr>
              <w:t>受纳工业</w:t>
            </w:r>
            <w:r>
              <w:rPr>
                <w:rFonts w:hint="eastAsia" w:ascii="宋体" w:hAnsi="宋体" w:eastAsia="宋体" w:cs="宋体"/>
                <w:b w:val="0"/>
                <w:bCs w:val="0"/>
                <w:color w:val="auto"/>
                <w:sz w:val="15"/>
                <w:szCs w:val="15"/>
                <w:highlight w:val="none"/>
                <w:lang w:val="en-US" w:eastAsia="zh-CN"/>
              </w:rPr>
              <w:t>垃圾、生活垃圾重量在4吨及以上的，系数1；受纳有毒有害垃圾的，系数1</w:t>
            </w:r>
            <w:r>
              <w:rPr>
                <w:rFonts w:hint="eastAsia" w:ascii="宋体" w:hAnsi="宋体" w:cs="宋体"/>
                <w:b w:val="0"/>
                <w:bCs w:val="0"/>
                <w:color w:val="auto"/>
                <w:sz w:val="15"/>
                <w:szCs w:val="15"/>
                <w:highlight w:val="none"/>
                <w:lang w:val="en-US" w:eastAsia="zh-CN"/>
              </w:rPr>
              <w:t>；2</w:t>
            </w:r>
            <w:r>
              <w:rPr>
                <w:rFonts w:hint="eastAsia" w:ascii="宋体" w:hAnsi="宋体"/>
                <w:b w:val="0"/>
                <w:bCs w:val="0"/>
                <w:color w:val="auto"/>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0F59A88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2D06EAF0">
            <w:pPr>
              <w:spacing w:line="232" w:lineRule="exact"/>
              <w:rPr>
                <w:rFonts w:ascii="宋体" w:hAnsi="宋体" w:eastAsia="宋体"/>
                <w:color w:val="auto"/>
                <w:sz w:val="15"/>
                <w:szCs w:val="15"/>
                <w:highlight w:val="none"/>
              </w:rPr>
            </w:pPr>
          </w:p>
        </w:tc>
        <w:tc>
          <w:tcPr>
            <w:tcW w:w="1304" w:type="dxa"/>
            <w:gridSpan w:val="2"/>
            <w:noWrap w:val="0"/>
            <w:vAlign w:val="center"/>
          </w:tcPr>
          <w:p w14:paraId="3B6137A6">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c>
          <w:tcPr>
            <w:tcW w:w="1869" w:type="dxa"/>
            <w:noWrap w:val="0"/>
            <w:vAlign w:val="center"/>
          </w:tcPr>
          <w:p w14:paraId="5E6678BF">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C4613300</w:t>
            </w:r>
          </w:p>
        </w:tc>
      </w:tr>
      <w:tr w14:paraId="61E0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67" w:hRule="atLeast"/>
        </w:trPr>
        <w:tc>
          <w:tcPr>
            <w:tcW w:w="714" w:type="dxa"/>
            <w:noWrap w:val="0"/>
            <w:vAlign w:val="center"/>
          </w:tcPr>
          <w:p w14:paraId="3DEECF6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14:paraId="5781A7ED">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未及时清运工程施工过程中产生的建筑垃圾造成环境污染</w:t>
            </w:r>
          </w:p>
        </w:tc>
        <w:tc>
          <w:tcPr>
            <w:tcW w:w="2981" w:type="dxa"/>
            <w:noWrap w:val="0"/>
            <w:vAlign w:val="center"/>
          </w:tcPr>
          <w:p w14:paraId="19DA8C31">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违反条款：第十二条；处罚条款：第二十二条第一款，责令限期改正，给予警告，处5000元以上5万元以下罚款。 </w:t>
            </w:r>
          </w:p>
        </w:tc>
        <w:tc>
          <w:tcPr>
            <w:tcW w:w="851" w:type="dxa"/>
            <w:noWrap w:val="0"/>
            <w:vAlign w:val="center"/>
          </w:tcPr>
          <w:p w14:paraId="32C8D315">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023EF65A">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8DB8E03">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1.垃圾占地面积10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w:t>
            </w:r>
            <w:r>
              <w:rPr>
                <w:rFonts w:hint="eastAsia" w:ascii="宋体" w:hAnsi="宋体" w:eastAsia="宋体" w:cs="宋体"/>
                <w:color w:val="auto"/>
                <w:kern w:val="0"/>
                <w:sz w:val="15"/>
                <w:szCs w:val="15"/>
                <w:highlight w:val="none"/>
              </w:rPr>
              <w:t>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。2.逾期不清的，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rPr>
              <w:t>3.造成尘土飞扬，严重污染环境的，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6E1C437C">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0737315B">
            <w:pPr>
              <w:spacing w:line="240" w:lineRule="exact"/>
              <w:rPr>
                <w:rFonts w:ascii="宋体" w:hAnsi="宋体" w:eastAsia="宋体" w:cs="宋体"/>
                <w:strike/>
                <w:dstrike w:val="0"/>
                <w:color w:val="auto"/>
                <w:kern w:val="0"/>
                <w:sz w:val="15"/>
                <w:szCs w:val="15"/>
                <w:highlight w:val="none"/>
              </w:rPr>
            </w:pPr>
          </w:p>
        </w:tc>
        <w:tc>
          <w:tcPr>
            <w:tcW w:w="1304" w:type="dxa"/>
            <w:gridSpan w:val="2"/>
            <w:noWrap w:val="0"/>
            <w:vAlign w:val="center"/>
          </w:tcPr>
          <w:p w14:paraId="69289EE0">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260F55A">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56569F9">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C4613400</w:t>
            </w:r>
          </w:p>
        </w:tc>
      </w:tr>
      <w:tr w14:paraId="7006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49" w:hRule="atLeast"/>
        </w:trPr>
        <w:tc>
          <w:tcPr>
            <w:tcW w:w="714" w:type="dxa"/>
            <w:noWrap w:val="0"/>
            <w:vAlign w:val="center"/>
          </w:tcPr>
          <w:p w14:paraId="239E0DC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14:paraId="59AD9DFA">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施工单位将建筑垃圾交给个人或者未经核准从事建筑垃圾运输的单位处置</w:t>
            </w:r>
          </w:p>
        </w:tc>
        <w:tc>
          <w:tcPr>
            <w:tcW w:w="2981" w:type="dxa"/>
            <w:noWrap w:val="0"/>
            <w:vAlign w:val="center"/>
          </w:tcPr>
          <w:p w14:paraId="57462404">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违反条款：第十三条；处罚条款：第二十二条第二款，责令限期改正，给予警告，处1万元以上10万元以下罚款。 </w:t>
            </w:r>
          </w:p>
        </w:tc>
        <w:tc>
          <w:tcPr>
            <w:tcW w:w="851" w:type="dxa"/>
            <w:noWrap w:val="0"/>
            <w:vAlign w:val="center"/>
          </w:tcPr>
          <w:p w14:paraId="0E2094DC">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3B61478A">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F7D97B3">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hint="eastAsia" w:ascii="宋体" w:hAnsi="宋体" w:eastAsia="宋体"/>
                <w:color w:val="auto"/>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运输垃圾1车次或者建筑垃圾重量在4.5吨以下的</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cs="宋体"/>
                <w:b w:val="0"/>
                <w:bCs w:val="0"/>
                <w:color w:val="auto"/>
                <w:sz w:val="15"/>
                <w:szCs w:val="15"/>
                <w:highlight w:val="none"/>
                <w:lang w:val="en-US" w:eastAsia="zh-CN"/>
              </w:rPr>
              <w:t>2车次或者4.5-9吨的</w:t>
            </w:r>
            <w:r>
              <w:rPr>
                <w:rFonts w:hint="eastAsia"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3车次或者9-13.5吨的，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4车次或者13.5-18吨的，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5车次或者18-22.5吨的，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6车次或者22.5-27吨的，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10车次及以上火车40.5吨及以上</w:t>
            </w:r>
            <w:r>
              <w:rPr>
                <w:rFonts w:hint="eastAsia" w:ascii="宋体" w:hAnsi="宋体" w:eastAsia="宋体" w:cs="Batang"/>
                <w:color w:val="auto"/>
                <w:sz w:val="15"/>
                <w:szCs w:val="15"/>
                <w:highlight w:val="none"/>
                <w:lang w:eastAsia="zh-CN"/>
              </w:rPr>
              <w:t>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b w:val="0"/>
                <w:bCs w:val="0"/>
                <w:strike w:val="0"/>
                <w:dstrike w:val="0"/>
                <w:color w:val="auto"/>
                <w:sz w:val="15"/>
                <w:szCs w:val="15"/>
                <w:highlight w:val="none"/>
                <w:lang w:val="en-US" w:eastAsia="zh-CN"/>
              </w:rPr>
              <w:t>2.未按规定进行资源化利用或者处置建筑垃圾数量较大的、</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s="宋体"/>
                <w:strike w:val="0"/>
                <w:dstrike w:val="0"/>
                <w:color w:val="auto"/>
                <w:sz w:val="15"/>
                <w:szCs w:val="15"/>
                <w:highlight w:val="none"/>
                <w:lang w:val="en-US" w:eastAsia="zh-CN"/>
              </w:rPr>
              <w:t>。</w:t>
            </w:r>
            <w:r>
              <w:rPr>
                <w:rFonts w:hint="eastAsia" w:ascii="宋体" w:hAnsi="宋体" w:cs="宋体"/>
                <w:b w:val="0"/>
                <w:bCs w:val="0"/>
                <w:strike w:val="0"/>
                <w:dstrike w:val="0"/>
                <w:color w:val="auto"/>
                <w:sz w:val="15"/>
                <w:szCs w:val="15"/>
                <w:highlight w:val="none"/>
                <w:lang w:val="en-US" w:eastAsia="zh-CN"/>
              </w:rPr>
              <w:t>3</w:t>
            </w:r>
            <w:r>
              <w:rPr>
                <w:rFonts w:hint="eastAsia" w:ascii="宋体" w:hAnsi="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1B7EB218">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398BE016">
            <w:pPr>
              <w:spacing w:line="240" w:lineRule="exact"/>
              <w:rPr>
                <w:rFonts w:hint="default" w:ascii="宋体" w:hAnsi="宋体" w:eastAsia="宋体" w:cs="宋体"/>
                <w:strike/>
                <w:dstrike w:val="0"/>
                <w:color w:val="auto"/>
                <w:kern w:val="0"/>
                <w:sz w:val="15"/>
                <w:szCs w:val="15"/>
                <w:highlight w:val="none"/>
                <w:lang w:val="en-US" w:eastAsia="zh-CN" w:bidi="ar-SA"/>
              </w:rPr>
            </w:pPr>
          </w:p>
        </w:tc>
        <w:tc>
          <w:tcPr>
            <w:tcW w:w="1304" w:type="dxa"/>
            <w:gridSpan w:val="2"/>
            <w:noWrap w:val="0"/>
            <w:vAlign w:val="center"/>
          </w:tcPr>
          <w:p w14:paraId="507D319A">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39EC03E">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C43CEB3">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C4613500</w:t>
            </w:r>
          </w:p>
        </w:tc>
      </w:tr>
      <w:tr w14:paraId="6455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4ECFF60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14:paraId="33D483F0">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处置建筑垃圾的单位在运输建筑垃圾过程中沿途丢弃、遗撒建筑垃圾</w:t>
            </w:r>
          </w:p>
        </w:tc>
        <w:tc>
          <w:tcPr>
            <w:tcW w:w="2981" w:type="dxa"/>
            <w:noWrap w:val="0"/>
            <w:vAlign w:val="center"/>
          </w:tcPr>
          <w:p w14:paraId="70405B92">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违反条款：第十四条；处罚条款：第二十三条，责令限期改正，给予警告，处5000元以上5万元以下罚款。 </w:t>
            </w:r>
          </w:p>
        </w:tc>
        <w:tc>
          <w:tcPr>
            <w:tcW w:w="851" w:type="dxa"/>
            <w:noWrap w:val="0"/>
            <w:vAlign w:val="center"/>
          </w:tcPr>
          <w:p w14:paraId="07B4347A">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71B6AA44">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7650927">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建筑</w:t>
            </w:r>
            <w:r>
              <w:rPr>
                <w:rFonts w:ascii="宋体" w:hAnsi="宋体" w:eastAsia="宋体"/>
                <w:b w:val="0"/>
                <w:bCs w:val="0"/>
                <w:color w:val="auto"/>
                <w:sz w:val="15"/>
                <w:szCs w:val="15"/>
                <w:highlight w:val="none"/>
              </w:rPr>
              <w:t>垃圾占地面积</w:t>
            </w:r>
            <w:r>
              <w:rPr>
                <w:rFonts w:hint="eastAsia" w:ascii="宋体" w:hAnsi="宋体" w:eastAsia="宋体"/>
                <w:b w:val="0"/>
                <w:bCs w:val="0"/>
                <w:color w:val="auto"/>
                <w:sz w:val="15"/>
                <w:szCs w:val="15"/>
                <w:highlight w:val="none"/>
              </w:rPr>
              <w:t>10</w:t>
            </w:r>
            <w:r>
              <w:rPr>
                <w:rFonts w:hint="eastAsia" w:ascii="宋体" w:hAnsi="宋体" w:eastAsia="宋体" w:cs="Batang"/>
                <w:b w:val="0"/>
                <w:bCs w:val="0"/>
                <w:color w:val="auto"/>
                <w:sz w:val="15"/>
                <w:szCs w:val="15"/>
                <w:highlight w:val="none"/>
              </w:rPr>
              <w:t>㎡</w:t>
            </w:r>
            <w:r>
              <w:rPr>
                <w:rFonts w:hint="eastAsia" w:ascii="宋体" w:hAnsi="宋体" w:eastAsia="宋体"/>
                <w:b w:val="0"/>
                <w:bCs w:val="0"/>
                <w:color w:val="auto"/>
                <w:sz w:val="15"/>
                <w:szCs w:val="15"/>
                <w:highlight w:val="none"/>
              </w:rPr>
              <w:t>以下</w:t>
            </w:r>
            <w:r>
              <w:rPr>
                <w:rFonts w:ascii="宋体" w:hAnsi="宋体" w:eastAsia="宋体"/>
                <w:b w:val="0"/>
                <w:bCs w:val="0"/>
                <w:color w:val="auto"/>
                <w:sz w:val="15"/>
                <w:szCs w:val="15"/>
                <w:highlight w:val="none"/>
              </w:rPr>
              <w:t>的，系数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w:t>
            </w:r>
            <w:r>
              <w:rPr>
                <w:rFonts w:hint="eastAsia" w:ascii="宋体" w:hAnsi="宋体" w:eastAsia="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及以上的，系数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cs="宋体"/>
                <w:b w:val="0"/>
                <w:bCs w:val="0"/>
                <w:color w:val="auto"/>
                <w:sz w:val="15"/>
                <w:szCs w:val="15"/>
                <w:highlight w:val="none"/>
                <w:lang w:val="en-US" w:eastAsia="zh-CN"/>
              </w:rPr>
              <w:t>3.建筑垃圾重量在4.5吨以下的，系数0；4.5-9吨的，系数1；</w:t>
            </w:r>
            <w:r>
              <w:rPr>
                <w:rFonts w:hint="eastAsia" w:ascii="宋体" w:hAnsi="宋体" w:cs="宋体"/>
                <w:b w:val="0"/>
                <w:bCs w:val="0"/>
                <w:color w:val="auto"/>
                <w:sz w:val="15"/>
                <w:szCs w:val="15"/>
                <w:highlight w:val="none"/>
                <w:lang w:val="en-US" w:eastAsia="zh-CN"/>
              </w:rPr>
              <w:t>9-13.5吨的，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13.5-18吨的，</w:t>
            </w:r>
            <w:r>
              <w:rPr>
                <w:rFonts w:hint="eastAsia" w:ascii="宋体" w:hAnsi="宋体" w:eastAsia="宋体"/>
                <w:b w:val="0"/>
                <w:bCs w:val="0"/>
                <w:color w:val="auto"/>
                <w:sz w:val="15"/>
                <w:szCs w:val="15"/>
                <w:highlight w:val="none"/>
              </w:rPr>
              <w:t>系数</w:t>
            </w:r>
            <w:r>
              <w:rPr>
                <w:rFonts w:hint="eastAsia" w:ascii="宋体" w:hAnsi="宋体" w:eastAsia="宋体"/>
                <w:b w:val="0"/>
                <w:bCs w:val="0"/>
                <w:color w:val="auto"/>
                <w:sz w:val="15"/>
                <w:szCs w:val="15"/>
                <w:highlight w:val="none"/>
                <w:lang w:val="en-US" w:eastAsia="zh-CN"/>
              </w:rPr>
              <w:t>3；</w:t>
            </w:r>
            <w:r>
              <w:rPr>
                <w:rFonts w:hint="eastAsia" w:ascii="宋体" w:hAnsi="宋体" w:cs="宋体"/>
                <w:b w:val="0"/>
                <w:bCs w:val="0"/>
                <w:color w:val="auto"/>
                <w:sz w:val="15"/>
                <w:szCs w:val="15"/>
                <w:highlight w:val="none"/>
                <w:lang w:val="en-US" w:eastAsia="zh-CN"/>
              </w:rPr>
              <w:t>18-22.5吨的，</w:t>
            </w:r>
            <w:r>
              <w:rPr>
                <w:rFonts w:hint="eastAsia" w:ascii="宋体" w:hAnsi="宋体" w:eastAsia="宋体"/>
                <w:b w:val="0"/>
                <w:bCs w:val="0"/>
                <w:color w:val="auto"/>
                <w:sz w:val="15"/>
                <w:szCs w:val="15"/>
                <w:highlight w:val="none"/>
              </w:rPr>
              <w:t>系数</w:t>
            </w:r>
            <w:r>
              <w:rPr>
                <w:rFonts w:hint="eastAsia" w:ascii="宋体" w:hAnsi="宋体" w:eastAsia="宋体"/>
                <w:b w:val="0"/>
                <w:bCs w:val="0"/>
                <w:color w:val="auto"/>
                <w:sz w:val="15"/>
                <w:szCs w:val="15"/>
                <w:highlight w:val="none"/>
                <w:lang w:val="en-US" w:eastAsia="zh-CN"/>
              </w:rPr>
              <w:t>4；</w:t>
            </w:r>
            <w:r>
              <w:rPr>
                <w:rFonts w:hint="eastAsia" w:ascii="宋体" w:hAnsi="宋体" w:cs="宋体"/>
                <w:b w:val="0"/>
                <w:bCs w:val="0"/>
                <w:color w:val="auto"/>
                <w:sz w:val="15"/>
                <w:szCs w:val="15"/>
                <w:highlight w:val="none"/>
                <w:lang w:val="en-US" w:eastAsia="zh-CN"/>
              </w:rPr>
              <w:t>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lang w:val="en-US" w:eastAsia="zh-CN"/>
              </w:rPr>
              <w:t>以此类推，40.5吨及以上的，系数9；在面积和长度无法取证的情况下，可以适用此情形。4</w:t>
            </w:r>
            <w:r>
              <w:rPr>
                <w:rFonts w:hint="eastAsia" w:ascii="宋体" w:hAnsi="宋体" w:eastAsia="宋体" w:cs="宋体"/>
                <w:color w:val="auto"/>
                <w:kern w:val="0"/>
                <w:sz w:val="15"/>
                <w:szCs w:val="15"/>
                <w:highlight w:val="none"/>
              </w:rPr>
              <w:t>.随意丢弃、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default"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.违法行为持续时间较长、对环境秩序造成较严重影响的，系数</w:t>
            </w:r>
            <w:r>
              <w:rPr>
                <w:rFonts w:hint="default" w:ascii="宋体" w:hAnsi="宋体" w:eastAsia="宋体" w:cs="宋体"/>
                <w:strike w:val="0"/>
                <w:dstrike w:val="0"/>
                <w:color w:val="auto"/>
                <w:kern w:val="0"/>
                <w:sz w:val="15"/>
                <w:szCs w:val="15"/>
                <w:highlight w:val="none"/>
                <w:lang w:val="en-US" w:eastAsia="zh-CN"/>
              </w:rPr>
              <w:t xml:space="preserve"> </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0A043DC5">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6CAF5FFC">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丢弃、</w:t>
            </w:r>
            <w:r>
              <w:rPr>
                <w:rFonts w:hint="eastAsia" w:ascii="宋体" w:hAnsi="宋体" w:eastAsia="宋体" w:cs="宋体"/>
                <w:color w:val="auto"/>
                <w:kern w:val="0"/>
                <w:sz w:val="15"/>
                <w:szCs w:val="15"/>
                <w:highlight w:val="none"/>
                <w:lang w:eastAsia="zh-CN"/>
              </w:rPr>
              <w:t>遗撒点位重叠时，不适用区域台账。</w:t>
            </w:r>
          </w:p>
        </w:tc>
        <w:tc>
          <w:tcPr>
            <w:tcW w:w="1304" w:type="dxa"/>
            <w:gridSpan w:val="2"/>
            <w:noWrap w:val="0"/>
            <w:vAlign w:val="center"/>
          </w:tcPr>
          <w:p w14:paraId="426D4905">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5ECCFE8">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F7E72FC">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C4613600</w:t>
            </w:r>
          </w:p>
        </w:tc>
      </w:tr>
      <w:tr w14:paraId="12BB4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45" w:hRule="atLeast"/>
        </w:trPr>
        <w:tc>
          <w:tcPr>
            <w:tcW w:w="714" w:type="dxa"/>
            <w:noWrap w:val="0"/>
            <w:vAlign w:val="center"/>
          </w:tcPr>
          <w:p w14:paraId="7A2DB82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14:paraId="47F97C0B">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涂改、倒卖、出租、出借或者以</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形式非法转让城市建筑垃圾处置核准文件</w:t>
            </w:r>
          </w:p>
        </w:tc>
        <w:tc>
          <w:tcPr>
            <w:tcW w:w="2981" w:type="dxa"/>
            <w:noWrap w:val="0"/>
            <w:vAlign w:val="center"/>
          </w:tcPr>
          <w:p w14:paraId="47AE2C6A">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违反条款：第八条；处罚条款：第二十四条，责令限期改正，给予警告，处5000元以上2万元以下罚款。 </w:t>
            </w:r>
          </w:p>
        </w:tc>
        <w:tc>
          <w:tcPr>
            <w:tcW w:w="851" w:type="dxa"/>
            <w:noWrap w:val="0"/>
            <w:vAlign w:val="center"/>
          </w:tcPr>
          <w:p w14:paraId="2A59B21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3C1AE76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AE7D276">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cs="宋体"/>
                <w:b w:val="0"/>
                <w:bCs w:val="0"/>
                <w:color w:val="auto"/>
                <w:kern w:val="0"/>
                <w:sz w:val="15"/>
                <w:szCs w:val="15"/>
                <w:highlight w:val="none"/>
                <w:lang w:eastAsia="zh-CN"/>
              </w:rPr>
              <w:t>第</w:t>
            </w: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次发生，系数</w:t>
            </w:r>
            <w:r>
              <w:rPr>
                <w:rFonts w:hint="eastAsia" w:ascii="宋体" w:hAnsi="宋体" w:cs="宋体"/>
                <w:b w:val="0"/>
                <w:bCs w:val="0"/>
                <w:color w:val="auto"/>
                <w:kern w:val="0"/>
                <w:sz w:val="15"/>
                <w:szCs w:val="15"/>
                <w:highlight w:val="none"/>
                <w:lang w:val="en-US" w:eastAsia="zh-CN"/>
              </w:rPr>
              <w:t>0；第2次发生</w:t>
            </w:r>
            <w:r>
              <w:rPr>
                <w:rFonts w:hint="eastAsia" w:ascii="宋体" w:hAnsi="宋体" w:cs="宋体"/>
                <w:b w:val="0"/>
                <w:bCs w:val="0"/>
                <w:color w:val="auto"/>
                <w:kern w:val="0"/>
                <w:sz w:val="15"/>
                <w:szCs w:val="15"/>
                <w:highlight w:val="none"/>
                <w:lang w:eastAsia="zh-CN"/>
              </w:rPr>
              <w:t>，系</w:t>
            </w:r>
            <w:r>
              <w:rPr>
                <w:rFonts w:hint="eastAsia" w:ascii="宋体" w:hAnsi="宋体" w:eastAsia="宋体" w:cs="宋体"/>
                <w:b w:val="0"/>
                <w:bCs w:val="0"/>
                <w:color w:val="auto"/>
                <w:kern w:val="0"/>
                <w:sz w:val="15"/>
                <w:szCs w:val="15"/>
                <w:highlight w:val="none"/>
                <w:lang w:eastAsia="zh-CN"/>
              </w:rPr>
              <w:t>数</w:t>
            </w:r>
            <w:r>
              <w:rPr>
                <w:rFonts w:hint="eastAsia" w:ascii="宋体" w:hAnsi="宋体" w:eastAsia="宋体" w:cs="宋体"/>
                <w:b w:val="0"/>
                <w:bCs w:val="0"/>
                <w:color w:val="auto"/>
                <w:kern w:val="0"/>
                <w:sz w:val="15"/>
                <w:szCs w:val="15"/>
                <w:highlight w:val="none"/>
                <w:lang w:val="en-US" w:eastAsia="zh-CN"/>
              </w:rPr>
              <w:t>3。2.</w:t>
            </w:r>
            <w:r>
              <w:rPr>
                <w:rFonts w:hint="eastAsia" w:ascii="宋体" w:hAnsi="宋体" w:eastAsia="宋体"/>
                <w:color w:val="auto"/>
                <w:sz w:val="15"/>
                <w:szCs w:val="15"/>
                <w:highlight w:val="none"/>
              </w:rPr>
              <w:t>造成严重影响的，系数3</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17354B8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27566C53">
            <w:pPr>
              <w:spacing w:line="232" w:lineRule="exact"/>
              <w:rPr>
                <w:rFonts w:ascii="宋体" w:hAnsi="宋体" w:eastAsia="宋体"/>
                <w:color w:val="auto"/>
                <w:sz w:val="15"/>
                <w:szCs w:val="15"/>
                <w:highlight w:val="none"/>
              </w:rPr>
            </w:pPr>
          </w:p>
        </w:tc>
        <w:tc>
          <w:tcPr>
            <w:tcW w:w="1304" w:type="dxa"/>
            <w:gridSpan w:val="2"/>
            <w:noWrap w:val="0"/>
            <w:vAlign w:val="center"/>
          </w:tcPr>
          <w:p w14:paraId="6309BC3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93262D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8B1CE56">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C4613700</w:t>
            </w:r>
          </w:p>
        </w:tc>
      </w:tr>
      <w:tr w14:paraId="0BCD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29" w:hRule="atLeast"/>
        </w:trPr>
        <w:tc>
          <w:tcPr>
            <w:tcW w:w="714" w:type="dxa"/>
            <w:vMerge w:val="restart"/>
            <w:noWrap w:val="0"/>
            <w:vAlign w:val="center"/>
          </w:tcPr>
          <w:p w14:paraId="2CEC152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9</w:t>
            </w:r>
          </w:p>
        </w:tc>
        <w:tc>
          <w:tcPr>
            <w:tcW w:w="1626" w:type="dxa"/>
            <w:gridSpan w:val="2"/>
            <w:vMerge w:val="restart"/>
            <w:noWrap w:val="0"/>
            <w:vAlign w:val="center"/>
          </w:tcPr>
          <w:p w14:paraId="55AEBFB3">
            <w:pPr>
              <w:spacing w:line="232" w:lineRule="exact"/>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未经核准擅自处置建筑垃圾</w:t>
            </w:r>
          </w:p>
        </w:tc>
        <w:tc>
          <w:tcPr>
            <w:tcW w:w="2981" w:type="dxa"/>
            <w:vMerge w:val="restart"/>
            <w:noWrap w:val="0"/>
            <w:vAlign w:val="center"/>
          </w:tcPr>
          <w:p w14:paraId="20AAC37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noWrap w:val="0"/>
            <w:vAlign w:val="center"/>
          </w:tcPr>
          <w:p w14:paraId="335EDB7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0D3DE8F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w:t>
            </w:r>
          </w:p>
        </w:tc>
        <w:tc>
          <w:tcPr>
            <w:tcW w:w="840" w:type="dxa"/>
            <w:noWrap w:val="0"/>
            <w:vAlign w:val="center"/>
          </w:tcPr>
          <w:p w14:paraId="5D5C9F3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F99134F">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1.违法行为持续时间较长、处置建筑垃圾量较大，系数1-3；2.造成环境秩序较严重影响的，系数</w:t>
            </w:r>
            <w:r>
              <w:rPr>
                <w:rFonts w:ascii="宋体" w:hAnsi="宋体" w:eastAsia="宋体"/>
                <w:color w:val="auto"/>
                <w:sz w:val="15"/>
                <w:szCs w:val="15"/>
                <w:highlight w:val="none"/>
              </w:rPr>
              <w:t>4</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4FE60D8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restart"/>
            <w:noWrap w:val="0"/>
            <w:vAlign w:val="center"/>
          </w:tcPr>
          <w:p w14:paraId="109EB4B4">
            <w:pPr>
              <w:spacing w:line="232" w:lineRule="exact"/>
              <w:rPr>
                <w:rFonts w:ascii="宋体" w:hAnsi="宋体" w:eastAsia="宋体"/>
                <w:strike/>
                <w:color w:val="auto"/>
                <w:sz w:val="15"/>
                <w:szCs w:val="15"/>
                <w:highlight w:val="none"/>
              </w:rPr>
            </w:pPr>
          </w:p>
        </w:tc>
        <w:tc>
          <w:tcPr>
            <w:tcW w:w="1304" w:type="dxa"/>
            <w:gridSpan w:val="2"/>
            <w:vMerge w:val="restart"/>
            <w:noWrap w:val="0"/>
            <w:vAlign w:val="center"/>
          </w:tcPr>
          <w:p w14:paraId="59AAE26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2417FBB">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4D433C1E">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C4613800</w:t>
            </w:r>
          </w:p>
        </w:tc>
      </w:tr>
      <w:tr w14:paraId="1CA3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90" w:hRule="atLeast"/>
        </w:trPr>
        <w:tc>
          <w:tcPr>
            <w:tcW w:w="714" w:type="dxa"/>
            <w:vMerge w:val="continue"/>
            <w:noWrap w:val="0"/>
            <w:vAlign w:val="center"/>
          </w:tcPr>
          <w:p w14:paraId="0A8C72E5">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14:paraId="51AB66EB">
            <w:pPr>
              <w:spacing w:line="232" w:lineRule="exact"/>
              <w:rPr>
                <w:rFonts w:ascii="宋体" w:hAnsi="宋体" w:eastAsia="宋体"/>
                <w:b w:val="0"/>
                <w:bCs w:val="0"/>
                <w:color w:val="auto"/>
                <w:sz w:val="15"/>
                <w:szCs w:val="15"/>
                <w:highlight w:val="none"/>
              </w:rPr>
            </w:pPr>
          </w:p>
        </w:tc>
        <w:tc>
          <w:tcPr>
            <w:tcW w:w="2981" w:type="dxa"/>
            <w:vMerge w:val="continue"/>
            <w:noWrap w:val="0"/>
            <w:vAlign w:val="center"/>
          </w:tcPr>
          <w:p w14:paraId="61458706">
            <w:pPr>
              <w:spacing w:line="232" w:lineRule="exact"/>
              <w:rPr>
                <w:rFonts w:ascii="宋体" w:hAnsi="宋体" w:eastAsia="宋体"/>
                <w:color w:val="auto"/>
                <w:sz w:val="15"/>
                <w:szCs w:val="15"/>
                <w:highlight w:val="none"/>
              </w:rPr>
            </w:pPr>
          </w:p>
        </w:tc>
        <w:tc>
          <w:tcPr>
            <w:tcW w:w="851" w:type="dxa"/>
            <w:noWrap w:val="0"/>
            <w:vAlign w:val="center"/>
          </w:tcPr>
          <w:p w14:paraId="4DB8670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2221C6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（建设、运输单位）</w:t>
            </w:r>
          </w:p>
        </w:tc>
        <w:tc>
          <w:tcPr>
            <w:tcW w:w="840" w:type="dxa"/>
            <w:noWrap w:val="0"/>
            <w:vAlign w:val="center"/>
          </w:tcPr>
          <w:p w14:paraId="420D0D9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139DFC0">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1.违法行为持续时间较长、处置建筑垃圾量较大，系数1-3；2.造成环境秩序较严重影响的，系数4-5</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0A1ECF7F">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vMerge w:val="continue"/>
            <w:noWrap w:val="0"/>
            <w:vAlign w:val="center"/>
          </w:tcPr>
          <w:p w14:paraId="0B6B28C1">
            <w:pPr>
              <w:spacing w:line="232"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14:paraId="4F864999">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08F1897E">
            <w:pPr>
              <w:spacing w:line="232" w:lineRule="exact"/>
              <w:jc w:val="center"/>
              <w:rPr>
                <w:rFonts w:hint="eastAsia" w:ascii="宋体" w:hAnsi="宋体" w:eastAsia="宋体" w:cs="宋体"/>
                <w:color w:val="auto"/>
                <w:kern w:val="0"/>
                <w:sz w:val="15"/>
                <w:szCs w:val="15"/>
                <w:highlight w:val="none"/>
                <w:lang w:eastAsia="zh"/>
              </w:rPr>
            </w:pPr>
          </w:p>
        </w:tc>
      </w:tr>
      <w:tr w14:paraId="4340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76" w:hRule="atLeast"/>
        </w:trPr>
        <w:tc>
          <w:tcPr>
            <w:tcW w:w="714" w:type="dxa"/>
            <w:vMerge w:val="restart"/>
            <w:noWrap w:val="0"/>
            <w:vAlign w:val="center"/>
          </w:tcPr>
          <w:p w14:paraId="7824008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626" w:type="dxa"/>
            <w:gridSpan w:val="2"/>
            <w:vMerge w:val="restart"/>
            <w:noWrap w:val="0"/>
            <w:vAlign w:val="center"/>
          </w:tcPr>
          <w:p w14:paraId="4437BE7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处置超出核准范围的建筑垃圾</w:t>
            </w:r>
          </w:p>
        </w:tc>
        <w:tc>
          <w:tcPr>
            <w:tcW w:w="2981" w:type="dxa"/>
            <w:vMerge w:val="restart"/>
            <w:noWrap w:val="0"/>
            <w:vAlign w:val="center"/>
          </w:tcPr>
          <w:p w14:paraId="44560B72">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noWrap w:val="0"/>
            <w:vAlign w:val="center"/>
          </w:tcPr>
          <w:p w14:paraId="3B8D51DE">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p w14:paraId="5AADF45F">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（施工单位）</w:t>
            </w:r>
          </w:p>
        </w:tc>
        <w:tc>
          <w:tcPr>
            <w:tcW w:w="840" w:type="dxa"/>
            <w:noWrap w:val="0"/>
            <w:vAlign w:val="center"/>
          </w:tcPr>
          <w:p w14:paraId="50CBBA03">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0EB8CED3">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4989B603">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vMerge w:val="restart"/>
            <w:noWrap w:val="0"/>
            <w:vAlign w:val="center"/>
          </w:tcPr>
          <w:p w14:paraId="79783103">
            <w:pPr>
              <w:spacing w:line="180"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14:paraId="62D21CEF">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C543C6D">
            <w:pPr>
              <w:spacing w:line="20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53B614D8">
            <w:pPr>
              <w:spacing w:line="20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C4613900</w:t>
            </w:r>
          </w:p>
        </w:tc>
      </w:tr>
      <w:tr w14:paraId="14BB1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05" w:hRule="atLeast"/>
        </w:trPr>
        <w:tc>
          <w:tcPr>
            <w:tcW w:w="714" w:type="dxa"/>
            <w:vMerge w:val="continue"/>
            <w:noWrap w:val="0"/>
            <w:vAlign w:val="center"/>
          </w:tcPr>
          <w:p w14:paraId="43DE2945">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14:paraId="1598D336">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981" w:type="dxa"/>
            <w:vMerge w:val="continue"/>
            <w:noWrap w:val="0"/>
            <w:vAlign w:val="center"/>
          </w:tcPr>
          <w:p w14:paraId="5265E3DB">
            <w:pPr>
              <w:spacing w:line="180" w:lineRule="exact"/>
              <w:rPr>
                <w:rFonts w:ascii="宋体" w:hAnsi="宋体" w:eastAsia="宋体"/>
                <w:color w:val="auto"/>
                <w:sz w:val="15"/>
                <w:szCs w:val="15"/>
                <w:highlight w:val="none"/>
              </w:rPr>
            </w:pPr>
          </w:p>
        </w:tc>
        <w:tc>
          <w:tcPr>
            <w:tcW w:w="851" w:type="dxa"/>
            <w:noWrap w:val="0"/>
            <w:vAlign w:val="center"/>
          </w:tcPr>
          <w:p w14:paraId="645DA032">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14:paraId="410B94E9">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（建设、运输单位）</w:t>
            </w:r>
          </w:p>
        </w:tc>
        <w:tc>
          <w:tcPr>
            <w:tcW w:w="840" w:type="dxa"/>
            <w:noWrap w:val="0"/>
            <w:vAlign w:val="center"/>
          </w:tcPr>
          <w:p w14:paraId="44AAC6C8">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6E480589">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1.违法行为持续时间较长、处置建筑垃圾量较大，系数1-3；2.造成环境秩序较严重影响的，系数4-5</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3F4EE14B">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vMerge w:val="continue"/>
            <w:noWrap w:val="0"/>
            <w:vAlign w:val="center"/>
          </w:tcPr>
          <w:p w14:paraId="478877A2">
            <w:pPr>
              <w:spacing w:line="180"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14:paraId="6EFCC5C7">
            <w:pPr>
              <w:spacing w:line="200"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3D63EF3F">
            <w:pPr>
              <w:spacing w:line="200" w:lineRule="exact"/>
              <w:jc w:val="center"/>
              <w:rPr>
                <w:rFonts w:hint="eastAsia" w:ascii="宋体" w:hAnsi="宋体" w:eastAsia="宋体" w:cs="宋体"/>
                <w:color w:val="auto"/>
                <w:kern w:val="0"/>
                <w:sz w:val="15"/>
                <w:szCs w:val="15"/>
                <w:highlight w:val="none"/>
                <w:lang w:eastAsia="zh"/>
              </w:rPr>
            </w:pPr>
          </w:p>
        </w:tc>
      </w:tr>
      <w:tr w14:paraId="26569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628" w:hRule="atLeast"/>
        </w:trPr>
        <w:tc>
          <w:tcPr>
            <w:tcW w:w="714" w:type="dxa"/>
            <w:vMerge w:val="restart"/>
            <w:noWrap w:val="0"/>
            <w:vAlign w:val="center"/>
          </w:tcPr>
          <w:p w14:paraId="78E9027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vMerge w:val="restart"/>
            <w:noWrap w:val="0"/>
            <w:vAlign w:val="center"/>
          </w:tcPr>
          <w:p w14:paraId="700405F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随意倾倒、抛撒或者堆放建筑垃圾</w:t>
            </w:r>
          </w:p>
        </w:tc>
        <w:tc>
          <w:tcPr>
            <w:tcW w:w="2981" w:type="dxa"/>
            <w:vMerge w:val="restart"/>
            <w:noWrap w:val="0"/>
            <w:vAlign w:val="center"/>
          </w:tcPr>
          <w:p w14:paraId="0EA30246">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违反条款：第十五条；处罚条款：第二十六条：责令限期改正，给予警告，并对单位处5000元以上5万元以下罚款，对个人处200元以下罚款。</w:t>
            </w:r>
          </w:p>
        </w:tc>
        <w:tc>
          <w:tcPr>
            <w:tcW w:w="851" w:type="dxa"/>
            <w:noWrap w:val="0"/>
            <w:vAlign w:val="center"/>
          </w:tcPr>
          <w:p w14:paraId="4B94D146">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46D92EAD">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5CB641EC">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F57686E">
            <w:pPr>
              <w:widowControl w:val="0"/>
              <w:numPr>
                <w:ilvl w:val="0"/>
                <w:numId w:val="0"/>
              </w:numPr>
              <w:jc w:val="both"/>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ascii="宋体" w:hAnsi="宋体" w:eastAsia="宋体"/>
                <w:color w:val="auto"/>
                <w:sz w:val="15"/>
                <w:szCs w:val="15"/>
                <w:highlight w:val="none"/>
              </w:rPr>
              <w:t>的，系数</w:t>
            </w:r>
            <w:r>
              <w:rPr>
                <w:rFonts w:hint="eastAsia" w:ascii="宋体" w:hAnsi="宋体" w:eastAsia="宋体"/>
                <w:color w:val="auto"/>
                <w:sz w:val="15"/>
                <w:szCs w:val="15"/>
                <w:highlight w:val="none"/>
              </w:rPr>
              <w:t>0；11—15</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olor w:val="auto"/>
                <w:sz w:val="15"/>
                <w:szCs w:val="15"/>
                <w:highlight w:val="none"/>
              </w:rPr>
              <w:t>，</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1；16</w:t>
            </w:r>
            <w:r>
              <w:rPr>
                <w:rFonts w:ascii="宋体" w:hAnsi="宋体" w:eastAsia="宋体"/>
                <w:color w:val="auto"/>
                <w:sz w:val="15"/>
                <w:szCs w:val="15"/>
                <w:highlight w:val="none"/>
              </w:rPr>
              <w:t>-20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以此</w:t>
            </w:r>
            <w:r>
              <w:rPr>
                <w:rFonts w:ascii="宋体" w:hAnsi="宋体" w:eastAsia="宋体"/>
                <w:color w:val="auto"/>
                <w:sz w:val="15"/>
                <w:szCs w:val="15"/>
                <w:highlight w:val="none"/>
              </w:rPr>
              <w:t>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.将垃圾</w:t>
            </w:r>
            <w:r>
              <w:rPr>
                <w:rFonts w:hint="eastAsia" w:ascii="宋体" w:hAnsi="宋体" w:eastAsia="宋体" w:cs="宋体"/>
                <w:color w:val="auto"/>
                <w:kern w:val="0"/>
                <w:sz w:val="15"/>
                <w:szCs w:val="15"/>
                <w:highlight w:val="none"/>
              </w:rPr>
              <w:t>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.对环境秩序造成较严重影响的，系数6-9</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58F3926A">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19A9957F">
            <w:pPr>
              <w:spacing w:line="18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1304" w:type="dxa"/>
            <w:gridSpan w:val="2"/>
            <w:vMerge w:val="restart"/>
            <w:noWrap w:val="0"/>
            <w:vAlign w:val="center"/>
          </w:tcPr>
          <w:p w14:paraId="7EFB5E2F">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B468F6D">
            <w:pPr>
              <w:spacing w:line="20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12D46909">
            <w:pPr>
              <w:spacing w:line="20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C4614000</w:t>
            </w:r>
          </w:p>
        </w:tc>
      </w:tr>
      <w:tr w14:paraId="4A54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95" w:hRule="atLeast"/>
        </w:trPr>
        <w:tc>
          <w:tcPr>
            <w:tcW w:w="714" w:type="dxa"/>
            <w:vMerge w:val="continue"/>
            <w:noWrap w:val="0"/>
            <w:vAlign w:val="center"/>
          </w:tcPr>
          <w:p w14:paraId="28CA4531">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548D1A7E">
            <w:pPr>
              <w:spacing w:line="180" w:lineRule="exact"/>
              <w:rPr>
                <w:rFonts w:ascii="宋体" w:hAnsi="宋体" w:eastAsia="宋体" w:cs="宋体"/>
                <w:color w:val="auto"/>
                <w:sz w:val="15"/>
                <w:szCs w:val="15"/>
                <w:highlight w:val="none"/>
              </w:rPr>
            </w:pPr>
          </w:p>
        </w:tc>
        <w:tc>
          <w:tcPr>
            <w:tcW w:w="2981" w:type="dxa"/>
            <w:vMerge w:val="continue"/>
            <w:noWrap w:val="0"/>
            <w:vAlign w:val="center"/>
          </w:tcPr>
          <w:p w14:paraId="5D6ADDDB">
            <w:pPr>
              <w:spacing w:line="180" w:lineRule="exact"/>
              <w:rPr>
                <w:rFonts w:ascii="宋体" w:hAnsi="宋体" w:eastAsia="宋体" w:cs="宋体"/>
                <w:color w:val="auto"/>
                <w:sz w:val="15"/>
                <w:szCs w:val="15"/>
                <w:highlight w:val="none"/>
              </w:rPr>
            </w:pPr>
          </w:p>
        </w:tc>
        <w:tc>
          <w:tcPr>
            <w:tcW w:w="851" w:type="dxa"/>
            <w:noWrap w:val="0"/>
            <w:vAlign w:val="center"/>
          </w:tcPr>
          <w:p w14:paraId="2C2FF735">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14:paraId="6BE668E6">
            <w:pPr>
              <w:spacing w:line="180" w:lineRule="exact"/>
              <w:jc w:val="center"/>
              <w:rPr>
                <w:rFonts w:ascii="宋体" w:hAnsi="宋体" w:eastAsia="宋体" w:cs="宋体"/>
                <w:color w:val="auto"/>
                <w:kern w:val="0"/>
                <w:sz w:val="15"/>
                <w:szCs w:val="15"/>
                <w:highlight w:val="none"/>
              </w:rPr>
            </w:pPr>
          </w:p>
        </w:tc>
        <w:tc>
          <w:tcPr>
            <w:tcW w:w="2376" w:type="dxa"/>
            <w:noWrap w:val="0"/>
            <w:vAlign w:val="center"/>
          </w:tcPr>
          <w:p w14:paraId="4BC3D8ED">
            <w:pPr>
              <w:spacing w:line="180" w:lineRule="exact"/>
              <w:rPr>
                <w:rFonts w:ascii="宋体" w:hAnsi="宋体" w:eastAsia="宋体" w:cs="宋体"/>
                <w:color w:val="auto"/>
                <w:kern w:val="0"/>
                <w:sz w:val="15"/>
                <w:szCs w:val="15"/>
                <w:highlight w:val="none"/>
              </w:rPr>
            </w:pPr>
          </w:p>
        </w:tc>
        <w:tc>
          <w:tcPr>
            <w:tcW w:w="1875" w:type="dxa"/>
            <w:gridSpan w:val="2"/>
            <w:noWrap w:val="0"/>
            <w:vAlign w:val="center"/>
          </w:tcPr>
          <w:p w14:paraId="3E5A21FD">
            <w:pPr>
              <w:spacing w:line="180" w:lineRule="exact"/>
              <w:rPr>
                <w:rFonts w:ascii="宋体" w:hAnsi="宋体" w:eastAsia="宋体" w:cs="宋体"/>
                <w:color w:val="auto"/>
                <w:kern w:val="0"/>
                <w:sz w:val="15"/>
                <w:szCs w:val="15"/>
                <w:highlight w:val="none"/>
              </w:rPr>
            </w:pPr>
          </w:p>
        </w:tc>
        <w:tc>
          <w:tcPr>
            <w:tcW w:w="2020" w:type="dxa"/>
            <w:gridSpan w:val="2"/>
            <w:noWrap w:val="0"/>
            <w:vAlign w:val="center"/>
          </w:tcPr>
          <w:p w14:paraId="3A8CC16A">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参照基准规定，并根据实际情况处罚。</w:t>
            </w:r>
          </w:p>
        </w:tc>
        <w:tc>
          <w:tcPr>
            <w:tcW w:w="1304" w:type="dxa"/>
            <w:gridSpan w:val="2"/>
            <w:vMerge w:val="continue"/>
            <w:noWrap w:val="0"/>
            <w:vAlign w:val="center"/>
          </w:tcPr>
          <w:p w14:paraId="6AF91DDB">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14:paraId="0774FC90">
            <w:pPr>
              <w:spacing w:line="232" w:lineRule="exact"/>
              <w:jc w:val="center"/>
              <w:rPr>
                <w:rFonts w:hint="eastAsia" w:ascii="宋体" w:hAnsi="宋体" w:eastAsia="宋体"/>
                <w:color w:val="auto"/>
                <w:sz w:val="15"/>
                <w:szCs w:val="15"/>
                <w:highlight w:val="none"/>
                <w:lang w:eastAsia="zh"/>
              </w:rPr>
            </w:pPr>
          </w:p>
        </w:tc>
      </w:tr>
      <w:tr w14:paraId="16B84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89" w:hRule="atLeast"/>
        </w:trPr>
        <w:tc>
          <w:tcPr>
            <w:tcW w:w="14587" w:type="dxa"/>
            <w:gridSpan w:val="13"/>
            <w:noWrap w:val="0"/>
            <w:vAlign w:val="center"/>
          </w:tcPr>
          <w:p w14:paraId="523B8E8B">
            <w:pPr>
              <w:pStyle w:val="3"/>
              <w:widowControl w:val="0"/>
              <w:spacing w:line="232" w:lineRule="exact"/>
              <w:jc w:val="center"/>
              <w:rPr>
                <w:rFonts w:ascii="宋体" w:hAnsi="宋体" w:eastAsia="宋体"/>
                <w:color w:val="auto"/>
                <w:sz w:val="15"/>
                <w:szCs w:val="15"/>
                <w:highlight w:val="none"/>
              </w:rPr>
            </w:pPr>
            <w:bookmarkStart w:id="16" w:name="_Toc110851440"/>
            <w:bookmarkStart w:id="17" w:name="_Toc80602247"/>
            <w:bookmarkStart w:id="18" w:name="_Toc2048113795"/>
            <w:r>
              <w:rPr>
                <w:rFonts w:hint="eastAsia" w:ascii="宋体" w:hAnsi="宋体" w:eastAsia="宋体"/>
                <w:color w:val="auto"/>
                <w:sz w:val="21"/>
                <w:szCs w:val="21"/>
                <w:highlight w:val="none"/>
              </w:rPr>
              <w:t>《中华人民共和国固体废物污染环境防治法》案由</w:t>
            </w:r>
            <w:r>
              <w:rPr>
                <w:rFonts w:ascii="宋体" w:hAnsi="宋体" w:eastAsia="宋体"/>
                <w:color w:val="auto"/>
                <w:sz w:val="21"/>
                <w:szCs w:val="21"/>
                <w:highlight w:val="none"/>
              </w:rPr>
              <w:t>10</w:t>
            </w:r>
            <w:r>
              <w:rPr>
                <w:rFonts w:hint="eastAsia" w:ascii="宋体" w:hAnsi="宋体" w:eastAsia="宋体"/>
                <w:color w:val="auto"/>
                <w:sz w:val="21"/>
                <w:szCs w:val="21"/>
                <w:highlight w:val="none"/>
              </w:rPr>
              <w:t>项</w:t>
            </w:r>
            <w:bookmarkEnd w:id="16"/>
            <w:bookmarkEnd w:id="17"/>
            <w:bookmarkEnd w:id="18"/>
          </w:p>
        </w:tc>
        <w:tc>
          <w:tcPr>
            <w:tcW w:w="1869" w:type="dxa"/>
            <w:noWrap w:val="0"/>
            <w:vAlign w:val="center"/>
          </w:tcPr>
          <w:p w14:paraId="7924D5D7">
            <w:pPr>
              <w:pStyle w:val="3"/>
              <w:widowControl w:val="0"/>
              <w:spacing w:line="232" w:lineRule="exact"/>
              <w:jc w:val="center"/>
              <w:rPr>
                <w:rFonts w:hint="eastAsia" w:ascii="宋体" w:hAnsi="宋体" w:eastAsia="宋体"/>
                <w:color w:val="auto"/>
                <w:sz w:val="21"/>
                <w:szCs w:val="21"/>
                <w:highlight w:val="none"/>
              </w:rPr>
            </w:pPr>
          </w:p>
        </w:tc>
      </w:tr>
      <w:tr w14:paraId="0B21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64" w:hRule="atLeast"/>
        </w:trPr>
        <w:tc>
          <w:tcPr>
            <w:tcW w:w="714" w:type="dxa"/>
            <w:vMerge w:val="restart"/>
            <w:noWrap w:val="0"/>
            <w:vAlign w:val="center"/>
          </w:tcPr>
          <w:p w14:paraId="09C7477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626" w:type="dxa"/>
            <w:gridSpan w:val="2"/>
            <w:vMerge w:val="restart"/>
            <w:noWrap w:val="0"/>
            <w:vAlign w:val="center"/>
          </w:tcPr>
          <w:p w14:paraId="76896270">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拒绝、阻扰固体废物污染环境防治监督检查或在接受监督检查时弄虚作假</w:t>
            </w:r>
          </w:p>
        </w:tc>
        <w:tc>
          <w:tcPr>
            <w:tcW w:w="2981" w:type="dxa"/>
            <w:vMerge w:val="restart"/>
            <w:noWrap w:val="0"/>
            <w:vAlign w:val="center"/>
          </w:tcPr>
          <w:p w14:paraId="19734BF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第一百零三条</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处罚条款：第一百零三条  责令改正，处五万元以上二十万元以下的罚款；对直接负责的主管人员和其他直接责任人员，处二万元以上十万元以下的罚款。</w:t>
            </w:r>
          </w:p>
        </w:tc>
        <w:tc>
          <w:tcPr>
            <w:tcW w:w="851" w:type="dxa"/>
            <w:noWrap w:val="0"/>
            <w:vAlign w:val="center"/>
          </w:tcPr>
          <w:p w14:paraId="3BF51D6A">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noWrap w:val="0"/>
            <w:vAlign w:val="center"/>
          </w:tcPr>
          <w:p w14:paraId="3029BDA5">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279425F1">
            <w:pPr>
              <w:spacing w:line="196"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w:t>
            </w:r>
            <w:r>
              <w:rPr>
                <w:rFonts w:hint="eastAsia" w:ascii="宋体" w:hAnsi="宋体" w:eastAsia="宋体" w:cs="宋体"/>
                <w:color w:val="auto"/>
                <w:kern w:val="0"/>
                <w:sz w:val="15"/>
                <w:szCs w:val="15"/>
                <w:highlight w:val="none"/>
                <w:lang w:eastAsia="zh-CN"/>
              </w:rPr>
              <w:t>影响</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2-3；2</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1D1CEAF7">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5CC83D2B">
            <w:pPr>
              <w:spacing w:line="196" w:lineRule="exact"/>
              <w:rPr>
                <w:rFonts w:ascii="宋体" w:hAnsi="宋体" w:eastAsia="宋体" w:cs="宋体"/>
                <w:color w:val="auto"/>
                <w:kern w:val="0"/>
                <w:sz w:val="15"/>
                <w:szCs w:val="15"/>
                <w:highlight w:val="none"/>
              </w:rPr>
            </w:pPr>
          </w:p>
        </w:tc>
        <w:tc>
          <w:tcPr>
            <w:tcW w:w="1304" w:type="dxa"/>
            <w:gridSpan w:val="2"/>
            <w:noWrap w:val="0"/>
            <w:vAlign w:val="center"/>
          </w:tcPr>
          <w:p w14:paraId="54306589">
            <w:pPr>
              <w:spacing w:line="19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6BB5CDF0">
            <w:pPr>
              <w:spacing w:line="19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vMerge w:val="restart"/>
            <w:noWrap w:val="0"/>
            <w:vAlign w:val="center"/>
          </w:tcPr>
          <w:p w14:paraId="2FF7AF39">
            <w:pPr>
              <w:spacing w:line="196"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C4648800</w:t>
            </w:r>
          </w:p>
        </w:tc>
      </w:tr>
      <w:tr w14:paraId="15595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48" w:hRule="atLeast"/>
        </w:trPr>
        <w:tc>
          <w:tcPr>
            <w:tcW w:w="714" w:type="dxa"/>
            <w:vMerge w:val="continue"/>
            <w:noWrap w:val="0"/>
            <w:vAlign w:val="center"/>
          </w:tcPr>
          <w:p w14:paraId="08BD0640">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14:paraId="23CAFAA2">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p>
        </w:tc>
        <w:tc>
          <w:tcPr>
            <w:tcW w:w="2981" w:type="dxa"/>
            <w:vMerge w:val="continue"/>
            <w:noWrap w:val="0"/>
            <w:vAlign w:val="center"/>
          </w:tcPr>
          <w:p w14:paraId="448C452A">
            <w:pPr>
              <w:spacing w:line="232" w:lineRule="exact"/>
              <w:rPr>
                <w:rFonts w:ascii="宋体" w:hAnsi="宋体" w:eastAsia="宋体"/>
                <w:color w:val="auto"/>
                <w:sz w:val="15"/>
                <w:szCs w:val="15"/>
                <w:highlight w:val="none"/>
              </w:rPr>
            </w:pPr>
          </w:p>
        </w:tc>
        <w:tc>
          <w:tcPr>
            <w:tcW w:w="851" w:type="dxa"/>
            <w:noWrap w:val="0"/>
            <w:vAlign w:val="center"/>
          </w:tcPr>
          <w:p w14:paraId="7502DEEA">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20000（</w:t>
            </w:r>
            <w:r>
              <w:rPr>
                <w:rFonts w:ascii="宋体" w:hAnsi="宋体" w:eastAsia="宋体"/>
                <w:color w:val="auto"/>
                <w:sz w:val="15"/>
                <w:szCs w:val="15"/>
                <w:highlight w:val="none"/>
              </w:rPr>
              <w:t>主管人员或负责人）</w:t>
            </w:r>
          </w:p>
        </w:tc>
        <w:tc>
          <w:tcPr>
            <w:tcW w:w="840" w:type="dxa"/>
            <w:noWrap w:val="0"/>
            <w:vAlign w:val="center"/>
          </w:tcPr>
          <w:p w14:paraId="7C6291CA">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4C462C1A">
            <w:pPr>
              <w:keepNext w:val="0"/>
              <w:keepLines w:val="0"/>
              <w:pageBreakBefore w:val="0"/>
              <w:widowControl w:val="0"/>
              <w:kinsoku/>
              <w:wordWrap/>
              <w:overflowPunct/>
              <w:topLinePunct w:val="0"/>
              <w:autoSpaceDE/>
              <w:autoSpaceDN/>
              <w:bidi w:val="0"/>
              <w:adjustRightIn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w:t>
            </w:r>
            <w:r>
              <w:rPr>
                <w:rFonts w:hint="eastAsia" w:ascii="宋体" w:hAnsi="宋体" w:eastAsia="宋体" w:cs="宋体"/>
                <w:color w:val="auto"/>
                <w:kern w:val="0"/>
                <w:sz w:val="15"/>
                <w:szCs w:val="15"/>
                <w:highlight w:val="none"/>
                <w:lang w:eastAsia="zh-CN"/>
              </w:rPr>
              <w:t>影响</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2-4；2</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3C90E36B">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211D9E6A">
            <w:pPr>
              <w:spacing w:line="196" w:lineRule="exact"/>
              <w:rPr>
                <w:rFonts w:ascii="宋体" w:hAnsi="宋体" w:eastAsia="宋体" w:cs="宋体"/>
                <w:color w:val="auto"/>
                <w:kern w:val="0"/>
                <w:sz w:val="15"/>
                <w:szCs w:val="15"/>
                <w:highlight w:val="none"/>
              </w:rPr>
            </w:pPr>
          </w:p>
        </w:tc>
        <w:tc>
          <w:tcPr>
            <w:tcW w:w="1304" w:type="dxa"/>
            <w:gridSpan w:val="2"/>
            <w:noWrap w:val="0"/>
            <w:vAlign w:val="center"/>
          </w:tcPr>
          <w:p w14:paraId="28E0EF75">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C7EF17E">
            <w:pPr>
              <w:spacing w:line="19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7BD21B7F">
            <w:pPr>
              <w:spacing w:line="196" w:lineRule="exact"/>
              <w:jc w:val="center"/>
              <w:rPr>
                <w:rFonts w:hint="eastAsia" w:ascii="宋体" w:hAnsi="宋体" w:eastAsia="宋体"/>
                <w:color w:val="auto"/>
                <w:sz w:val="15"/>
                <w:szCs w:val="15"/>
                <w:highlight w:val="none"/>
                <w:lang w:eastAsia="zh"/>
              </w:rPr>
            </w:pPr>
          </w:p>
        </w:tc>
      </w:tr>
      <w:tr w14:paraId="483E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69" w:hRule="atLeast"/>
        </w:trPr>
        <w:tc>
          <w:tcPr>
            <w:tcW w:w="714" w:type="dxa"/>
            <w:noWrap w:val="0"/>
            <w:vAlign w:val="center"/>
          </w:tcPr>
          <w:p w14:paraId="46E44D7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626" w:type="dxa"/>
            <w:gridSpan w:val="2"/>
            <w:noWrap w:val="0"/>
            <w:vAlign w:val="center"/>
          </w:tcPr>
          <w:p w14:paraId="22FCF243">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工程施工单位未编制建筑垃圾处理方案报备案</w:t>
            </w:r>
          </w:p>
        </w:tc>
        <w:tc>
          <w:tcPr>
            <w:tcW w:w="2981" w:type="dxa"/>
            <w:noWrap w:val="0"/>
            <w:vAlign w:val="center"/>
          </w:tcPr>
          <w:p w14:paraId="7C35BDFA">
            <w:pPr>
              <w:spacing w:line="232" w:lineRule="exact"/>
              <w:rPr>
                <w:rFonts w:ascii="宋体" w:hAnsi="宋体" w:eastAsia="宋体"/>
                <w:color w:val="auto"/>
                <w:sz w:val="15"/>
                <w:szCs w:val="15"/>
                <w:highlight w:val="none"/>
                <w:lang w:val="en"/>
              </w:rPr>
            </w:pPr>
            <w:r>
              <w:rPr>
                <w:rFonts w:hint="eastAsia" w:ascii="宋体" w:hAnsi="宋体" w:eastAsia="宋体"/>
                <w:color w:val="auto"/>
                <w:sz w:val="15"/>
                <w:szCs w:val="15"/>
                <w:highlight w:val="none"/>
              </w:rPr>
              <w:t>违反条款：第六十三条第一款；处罚条款：第一百一十一条第一款第（三）项、第二款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14:paraId="56A3BA25">
            <w:pPr>
              <w:spacing w:line="196"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noWrap w:val="0"/>
            <w:vAlign w:val="center"/>
          </w:tcPr>
          <w:p w14:paraId="75877081">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6AFC487D">
            <w:pPr>
              <w:keepNext w:val="0"/>
              <w:keepLines w:val="0"/>
              <w:pageBreakBefore w:val="0"/>
              <w:widowControl w:val="0"/>
              <w:kinsoku/>
              <w:wordWrap/>
              <w:overflowPunct/>
              <w:topLinePunct w:val="0"/>
              <w:autoSpaceDE/>
              <w:autoSpaceDN/>
              <w:bidi w:val="0"/>
              <w:adjustRightInd/>
              <w:spacing w:line="232" w:lineRule="exact"/>
              <w:textAlignment w:val="auto"/>
              <w:rPr>
                <w:rFonts w:hint="default" w:ascii="宋体" w:hAnsi="宋体" w:eastAsia="宋体"/>
                <w:color w:val="auto"/>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1.工程建筑面积在300㎡及以下的，系数0；300㎡以上5000㎡及以下的，系数1-2；5000㎡以上2万㎡及以下的，系数3</w:t>
            </w:r>
            <w:r>
              <w:rPr>
                <w:rFonts w:hint="default" w:ascii="宋体" w:hAnsi="宋体" w:eastAsia="宋体" w:cs="宋体"/>
                <w:b w:val="0"/>
                <w:bCs w:val="0"/>
                <w:strike w:val="0"/>
                <w:dstrike w:val="0"/>
                <w:color w:val="auto"/>
                <w:sz w:val="15"/>
                <w:szCs w:val="15"/>
                <w:highlight w:val="none"/>
                <w:lang w:val="en-US" w:eastAsia="zh-CN"/>
              </w:rPr>
              <w:t>-4</w:t>
            </w:r>
            <w:r>
              <w:rPr>
                <w:rFonts w:hint="eastAsia" w:ascii="宋体" w:hAnsi="宋体" w:eastAsia="宋体" w:cs="宋体"/>
                <w:b w:val="0"/>
                <w:bCs w:val="0"/>
                <w:strike w:val="0"/>
                <w:dstrike w:val="0"/>
                <w:color w:val="auto"/>
                <w:sz w:val="15"/>
                <w:szCs w:val="15"/>
                <w:highlight w:val="none"/>
                <w:lang w:val="en-US" w:eastAsia="zh-CN"/>
              </w:rPr>
              <w:t>；2万㎡以上的，系数</w:t>
            </w:r>
            <w:r>
              <w:rPr>
                <w:rFonts w:hint="default" w:ascii="宋体" w:hAnsi="宋体" w:eastAsia="宋体" w:cs="宋体"/>
                <w:b w:val="0"/>
                <w:bCs w:val="0"/>
                <w:strike w:val="0"/>
                <w:dstrike w:val="0"/>
                <w:color w:val="auto"/>
                <w:sz w:val="15"/>
                <w:szCs w:val="15"/>
                <w:highlight w:val="none"/>
                <w:lang w:val="en-US" w:eastAsia="zh-CN"/>
              </w:rPr>
              <w:t>5-6</w:t>
            </w:r>
            <w:r>
              <w:rPr>
                <w:rFonts w:hint="eastAsia" w:ascii="宋体" w:hAnsi="宋体" w:eastAsia="宋体" w:cs="宋体"/>
                <w:b w:val="0"/>
                <w:bCs w:val="0"/>
                <w:strike w:val="0"/>
                <w:dstrike w:val="0"/>
                <w:color w:val="auto"/>
                <w:sz w:val="15"/>
                <w:szCs w:val="15"/>
                <w:highlight w:val="none"/>
                <w:lang w:val="en-US" w:eastAsia="zh-CN"/>
              </w:rPr>
              <w:t>。2.未备案时间持续10天及以内的，系数0；11-20天的，系数1；以此类推，</w:t>
            </w:r>
            <w:r>
              <w:rPr>
                <w:rFonts w:hint="default" w:ascii="宋体" w:hAnsi="宋体" w:cs="宋体"/>
                <w:b w:val="0"/>
                <w:bCs w:val="0"/>
                <w:strike w:val="0"/>
                <w:dstrike w:val="0"/>
                <w:color w:val="auto"/>
                <w:sz w:val="15"/>
                <w:szCs w:val="15"/>
                <w:highlight w:val="none"/>
                <w:lang w:val="en-US" w:eastAsia="zh-CN"/>
              </w:rPr>
              <w:t>9</w:t>
            </w:r>
            <w:r>
              <w:rPr>
                <w:rFonts w:hint="eastAsia" w:ascii="宋体" w:hAnsi="宋体" w:eastAsia="宋体" w:cs="宋体"/>
                <w:b w:val="0"/>
                <w:bCs w:val="0"/>
                <w:strike w:val="0"/>
                <w:dstrike w:val="0"/>
                <w:color w:val="auto"/>
                <w:sz w:val="15"/>
                <w:szCs w:val="15"/>
                <w:highlight w:val="none"/>
                <w:lang w:val="en-US" w:eastAsia="zh-CN"/>
              </w:rPr>
              <w:t>1天及以上的，系数9。</w:t>
            </w:r>
            <w:r>
              <w:rPr>
                <w:rFonts w:hint="eastAsia" w:ascii="宋体" w:hAnsi="宋体" w:eastAsia="宋体" w:cs="宋体"/>
                <w:color w:val="auto"/>
                <w:sz w:val="15"/>
                <w:szCs w:val="15"/>
                <w:highlight w:val="none"/>
                <w:lang w:val="en-US" w:eastAsia="zh-CN"/>
              </w:rPr>
              <w:t>3.造</w:t>
            </w:r>
            <w:r>
              <w:rPr>
                <w:rFonts w:hint="eastAsia" w:ascii="宋体" w:hAnsi="宋体" w:eastAsia="宋体" w:cs="宋体"/>
                <w:color w:val="auto"/>
                <w:sz w:val="15"/>
                <w:szCs w:val="15"/>
                <w:highlight w:val="none"/>
              </w:rPr>
              <w:t>成环境较严重影响的，系数</w:t>
            </w:r>
            <w:r>
              <w:rPr>
                <w:rFonts w:hint="eastAsia" w:ascii="宋体" w:hAnsi="宋体" w:eastAsia="宋体" w:cs="宋体"/>
                <w:color w:val="auto"/>
                <w:sz w:val="15"/>
                <w:szCs w:val="15"/>
                <w:highlight w:val="none"/>
                <w:lang w:val="en-US" w:eastAsia="zh-CN"/>
              </w:rPr>
              <w:t>5-6</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6E732F7E">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1D075DF9">
            <w:pPr>
              <w:spacing w:line="196" w:lineRule="exact"/>
              <w:rPr>
                <w:rFonts w:ascii="宋体" w:hAnsi="宋体" w:eastAsia="宋体"/>
                <w:color w:val="auto"/>
                <w:sz w:val="15"/>
                <w:szCs w:val="15"/>
                <w:highlight w:val="none"/>
              </w:rPr>
            </w:pPr>
          </w:p>
        </w:tc>
        <w:tc>
          <w:tcPr>
            <w:tcW w:w="1304" w:type="dxa"/>
            <w:gridSpan w:val="2"/>
            <w:noWrap w:val="0"/>
            <w:vAlign w:val="center"/>
          </w:tcPr>
          <w:p w14:paraId="37289F3A">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1F3DB6C">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FE0B60F">
            <w:pPr>
              <w:spacing w:line="196" w:lineRule="exact"/>
              <w:jc w:val="center"/>
              <w:rPr>
                <w:rFonts w:hint="eastAsia" w:ascii="宋体" w:hAnsi="宋体" w:eastAsia="宋体"/>
                <w:color w:val="auto"/>
                <w:sz w:val="15"/>
                <w:szCs w:val="15"/>
                <w:highlight w:val="none"/>
              </w:rPr>
            </w:pPr>
            <w:r>
              <w:rPr>
                <w:rFonts w:hint="eastAsia" w:ascii="宋体" w:hAnsi="宋体"/>
                <w:color w:val="auto"/>
                <w:sz w:val="15"/>
                <w:szCs w:val="15"/>
                <w:highlight w:val="none"/>
                <w:lang w:eastAsia="zh"/>
              </w:rPr>
              <w:t>C4649000</w:t>
            </w:r>
          </w:p>
        </w:tc>
      </w:tr>
      <w:tr w14:paraId="6CEF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11" w:hRule="atLeast"/>
        </w:trPr>
        <w:tc>
          <w:tcPr>
            <w:tcW w:w="714" w:type="dxa"/>
            <w:noWrap w:val="0"/>
            <w:vAlign w:val="center"/>
          </w:tcPr>
          <w:p w14:paraId="6139B47A">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3</w:t>
            </w:r>
          </w:p>
        </w:tc>
        <w:tc>
          <w:tcPr>
            <w:tcW w:w="1626" w:type="dxa"/>
            <w:gridSpan w:val="2"/>
            <w:noWrap w:val="0"/>
            <w:vAlign w:val="center"/>
          </w:tcPr>
          <w:p w14:paraId="4EEA911B">
            <w:pPr>
              <w:spacing w:line="196" w:lineRule="exact"/>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单位未在指定的地点分类投放生活垃圾情节</w:t>
            </w:r>
            <w:r>
              <w:rPr>
                <w:rFonts w:ascii="宋体" w:hAnsi="宋体" w:eastAsia="宋体" w:cs="宋体"/>
                <w:color w:val="auto"/>
                <w:sz w:val="15"/>
                <w:szCs w:val="15"/>
                <w:highlight w:val="none"/>
              </w:rPr>
              <w:t>严重</w:t>
            </w:r>
          </w:p>
        </w:tc>
        <w:tc>
          <w:tcPr>
            <w:tcW w:w="2981" w:type="dxa"/>
            <w:noWrap w:val="0"/>
            <w:vAlign w:val="center"/>
          </w:tcPr>
          <w:p w14:paraId="1280C862">
            <w:pPr>
              <w:spacing w:line="232" w:lineRule="exact"/>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违反条款：第四十九条第二款；</w:t>
            </w:r>
            <w:r>
              <w:rPr>
                <w:rFonts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rPr>
              <w:t>第一百一十一条第三款 责令</w:t>
            </w:r>
            <w:r>
              <w:rPr>
                <w:rFonts w:ascii="宋体" w:hAnsi="宋体" w:eastAsia="宋体" w:cs="宋体"/>
                <w:color w:val="auto"/>
                <w:sz w:val="15"/>
                <w:szCs w:val="15"/>
                <w:highlight w:val="none"/>
              </w:rPr>
              <w:t>改正；情节严重的</w:t>
            </w:r>
            <w:r>
              <w:rPr>
                <w:rFonts w:hint="eastAsia" w:ascii="宋体" w:hAnsi="宋体" w:eastAsia="宋体" w:cs="宋体"/>
                <w:color w:val="auto"/>
                <w:sz w:val="15"/>
                <w:szCs w:val="15"/>
                <w:highlight w:val="none"/>
              </w:rPr>
              <w:t>，对单位处五万元以上五十万元以下的罚款。</w:t>
            </w:r>
          </w:p>
        </w:tc>
        <w:tc>
          <w:tcPr>
            <w:tcW w:w="851" w:type="dxa"/>
            <w:noWrap w:val="0"/>
            <w:vAlign w:val="center"/>
          </w:tcPr>
          <w:p w14:paraId="35E86D80">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noWrap w:val="0"/>
            <w:vAlign w:val="center"/>
          </w:tcPr>
          <w:p w14:paraId="1C78D0C5">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1AEEBDF8">
            <w:pPr>
              <w:widowControl w:val="0"/>
              <w:numPr>
                <w:ilvl w:val="0"/>
                <w:numId w:val="0"/>
              </w:numPr>
              <w:jc w:val="both"/>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垃圾占地面积6－10㎡，系数1；</w:t>
            </w:r>
            <w:r>
              <w:rPr>
                <w:rFonts w:hint="eastAsia" w:ascii="宋体" w:hAnsi="宋体" w:eastAsia="宋体"/>
                <w:color w:val="auto"/>
                <w:sz w:val="15"/>
                <w:szCs w:val="15"/>
                <w:highlight w:val="none"/>
                <w:lang w:val="en-US" w:eastAsia="zh-CN"/>
              </w:rPr>
              <w:t>11-15</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w:t>
            </w:r>
            <w:r>
              <w:rPr>
                <w:rFonts w:hint="eastAsia" w:ascii="宋体" w:hAnsi="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w:t>
            </w:r>
            <w:r>
              <w:rPr>
                <w:rFonts w:hint="eastAsia" w:ascii="宋体" w:hAnsi="宋体" w:eastAsia="宋体" w:cs="宋体"/>
                <w:color w:val="auto"/>
                <w:kern w:val="0"/>
                <w:sz w:val="15"/>
                <w:szCs w:val="15"/>
                <w:highlight w:val="none"/>
              </w:rPr>
              <w:t>随意倾倒、丢弃、堆放至城市道路、绿地、林地、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rPr>
              <w:t>；4.对环境造成较严重影响的，系数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527E2E2A">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3114EEE0">
            <w:pPr>
              <w:spacing w:line="196"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构成情节系数相关情形的，视为“情节严重”。</w:t>
            </w:r>
          </w:p>
          <w:p w14:paraId="663F3CFB">
            <w:pPr>
              <w:pStyle w:val="8"/>
              <w:rPr>
                <w:rFonts w:hint="eastAsia" w:ascii="宋体" w:hAnsi="宋体" w:eastAsia="宋体"/>
                <w:color w:val="auto"/>
                <w:sz w:val="15"/>
                <w:szCs w:val="15"/>
                <w:highlight w:val="none"/>
                <w:lang w:eastAsia="zh-CN"/>
              </w:rPr>
            </w:pPr>
          </w:p>
          <w:p w14:paraId="5CA550C4">
            <w:pPr>
              <w:pStyle w:val="9"/>
              <w:rPr>
                <w:rFonts w:hint="eastAsia"/>
                <w:color w:val="auto"/>
                <w:highlight w:val="none"/>
                <w:lang w:eastAsia="zh-CN"/>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倾倒、丢弃、堆放</w:t>
            </w:r>
            <w:r>
              <w:rPr>
                <w:rFonts w:hint="eastAsia" w:ascii="宋体" w:hAnsi="宋体" w:eastAsia="宋体" w:cs="宋体"/>
                <w:color w:val="auto"/>
                <w:kern w:val="0"/>
                <w:sz w:val="15"/>
                <w:szCs w:val="15"/>
                <w:highlight w:val="none"/>
                <w:lang w:eastAsia="zh-CN"/>
              </w:rPr>
              <w:t>点位重叠时，不适用区域台账。</w:t>
            </w:r>
          </w:p>
        </w:tc>
        <w:tc>
          <w:tcPr>
            <w:tcW w:w="1304" w:type="dxa"/>
            <w:gridSpan w:val="2"/>
            <w:noWrap w:val="0"/>
            <w:vAlign w:val="center"/>
          </w:tcPr>
          <w:p w14:paraId="46A25DB9">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0316FE8">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1857FE89">
            <w:pPr>
              <w:spacing w:line="196"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C4648000</w:t>
            </w:r>
          </w:p>
        </w:tc>
      </w:tr>
      <w:tr w14:paraId="3666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83" w:hRule="atLeast"/>
        </w:trPr>
        <w:tc>
          <w:tcPr>
            <w:tcW w:w="714" w:type="dxa"/>
            <w:vMerge w:val="restart"/>
            <w:noWrap w:val="0"/>
            <w:vAlign w:val="center"/>
          </w:tcPr>
          <w:p w14:paraId="5CCC4136">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626" w:type="dxa"/>
            <w:gridSpan w:val="2"/>
            <w:vMerge w:val="restart"/>
            <w:noWrap w:val="0"/>
            <w:vAlign w:val="center"/>
          </w:tcPr>
          <w:p w14:paraId="2247AC34">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随意倾倒、抛撒或者堆放生活垃圾</w:t>
            </w:r>
          </w:p>
        </w:tc>
        <w:tc>
          <w:tcPr>
            <w:tcW w:w="2981" w:type="dxa"/>
            <w:vMerge w:val="restart"/>
            <w:noWrap w:val="0"/>
            <w:vAlign w:val="center"/>
          </w:tcPr>
          <w:p w14:paraId="58FA86D4">
            <w:pPr>
              <w:keepNext w:val="0"/>
              <w:keepLines w:val="0"/>
              <w:pageBreakBefore w:val="0"/>
              <w:widowControl w:val="0"/>
              <w:kinsoku/>
              <w:wordWrap/>
              <w:overflowPunct/>
              <w:topLinePunct w:val="0"/>
              <w:autoSpaceDE/>
              <w:autoSpaceDN/>
              <w:bidi w:val="0"/>
              <w:adjustRightInd/>
              <w:snapToGrid/>
              <w:spacing w:line="23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违反条款：第四十九条第二款；处罚条款：第一百一十一条第一款第（一）项、第二款，责令改正，没收违法所得</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noWrap w:val="0"/>
            <w:vAlign w:val="center"/>
          </w:tcPr>
          <w:p w14:paraId="651FA9AF">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r>
              <w:rPr>
                <w:rFonts w:ascii="宋体" w:hAnsi="宋体" w:eastAsia="宋体"/>
                <w:color w:val="auto"/>
                <w:sz w:val="15"/>
                <w:szCs w:val="15"/>
                <w:highlight w:val="none"/>
              </w:rPr>
              <w:t>0</w:t>
            </w:r>
          </w:p>
          <w:p w14:paraId="519B9772">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14:paraId="1E352876">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0D5CDCCF">
            <w:pPr>
              <w:widowControl w:val="0"/>
              <w:numPr>
                <w:ilvl w:val="0"/>
                <w:numId w:val="0"/>
              </w:numPr>
              <w:jc w:val="both"/>
              <w:rPr>
                <w:rFonts w:ascii="宋体" w:hAnsi="宋体" w:eastAsia="宋体"/>
                <w:color w:val="auto"/>
                <w:sz w:val="15"/>
                <w:szCs w:val="15"/>
                <w:highlight w:val="none"/>
              </w:rPr>
            </w:pP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val="en-US" w:eastAsia="zh-CN"/>
              </w:rPr>
              <w:t>.</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或者垃圾占地面积</w:t>
            </w:r>
            <w:r>
              <w:rPr>
                <w:rFonts w:hint="eastAsia" w:ascii="宋体" w:hAnsi="宋体" w:eastAsia="宋体"/>
                <w:color w:val="auto"/>
                <w:sz w:val="15"/>
                <w:szCs w:val="15"/>
                <w:highlight w:val="none"/>
              </w:rPr>
              <w:t>6－10</w:t>
            </w:r>
            <w:r>
              <w:rPr>
                <w:rFonts w:hint="eastAsia" w:ascii="宋体" w:hAnsi="宋体" w:eastAsia="宋体" w:cs="Microsoft JhengHei"/>
                <w:color w:val="auto"/>
                <w:sz w:val="15"/>
                <w:szCs w:val="15"/>
                <w:highlight w:val="none"/>
              </w:rPr>
              <w:t>㎡</w:t>
            </w:r>
            <w:r>
              <w:rPr>
                <w:rFonts w:hint="eastAsia" w:ascii="宋体" w:hAnsi="宋体" w:eastAsia="宋体" w:cs="Microsoft JhengHei"/>
                <w:color w:val="auto"/>
                <w:sz w:val="15"/>
                <w:szCs w:val="15"/>
                <w:highlight w:val="none"/>
                <w:lang w:eastAsia="zh-CN"/>
              </w:rPr>
              <w:t>的</w:t>
            </w:r>
            <w:r>
              <w:rPr>
                <w:rFonts w:hint="eastAsia" w:ascii="宋体" w:hAnsi="宋体" w:eastAsia="宋体" w:cs="宋体"/>
                <w:color w:val="auto"/>
                <w:kern w:val="0"/>
                <w:sz w:val="15"/>
                <w:szCs w:val="15"/>
                <w:highlight w:val="none"/>
              </w:rPr>
              <w:t>，系数1；31－40米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Microsoft JhengHei"/>
                <w:color w:val="auto"/>
                <w:sz w:val="15"/>
                <w:szCs w:val="15"/>
                <w:highlight w:val="none"/>
              </w:rPr>
              <w:t>㎡</w:t>
            </w:r>
            <w:r>
              <w:rPr>
                <w:rFonts w:hint="eastAsia" w:ascii="宋体" w:hAnsi="宋体" w:eastAsia="宋体" w:cs="Microsoft JhengHei"/>
                <w:color w:val="auto"/>
                <w:sz w:val="15"/>
                <w:szCs w:val="15"/>
                <w:highlight w:val="none"/>
                <w:lang w:eastAsia="zh-CN"/>
              </w:rPr>
              <w:t>的</w:t>
            </w:r>
            <w:r>
              <w:rPr>
                <w:rFonts w:hint="eastAsia" w:ascii="宋体" w:hAnsi="宋体" w:eastAsia="宋体" w:cs="宋体"/>
                <w:color w:val="auto"/>
                <w:kern w:val="0"/>
                <w:sz w:val="15"/>
                <w:szCs w:val="15"/>
                <w:highlight w:val="none"/>
              </w:rPr>
              <w:t>，系数2；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米及以上或者占地面积</w:t>
            </w:r>
            <w:r>
              <w:rPr>
                <w:rFonts w:hint="eastAsia" w:ascii="宋体" w:hAnsi="宋体" w:eastAsia="宋体"/>
                <w:color w:val="auto"/>
                <w:sz w:val="15"/>
                <w:szCs w:val="15"/>
                <w:highlight w:val="none"/>
                <w:lang w:val="en-US" w:eastAsia="zh-CN"/>
              </w:rPr>
              <w:t>4</w:t>
            </w:r>
            <w:r>
              <w:rPr>
                <w:rFonts w:hint="eastAsia" w:ascii="宋体" w:hAnsi="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9。2</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.对环境造成较严重影响的，系数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67084A63">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07133DFA">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1304" w:type="dxa"/>
            <w:gridSpan w:val="2"/>
            <w:vMerge w:val="restart"/>
            <w:noWrap w:val="0"/>
            <w:vAlign w:val="center"/>
          </w:tcPr>
          <w:p w14:paraId="6EF5CFA3">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1D1F514">
            <w:pPr>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3C737CDF">
            <w:pPr>
              <w:spacing w:line="19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C4600100</w:t>
            </w:r>
          </w:p>
        </w:tc>
      </w:tr>
      <w:tr w14:paraId="0999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58" w:hRule="atLeast"/>
        </w:trPr>
        <w:tc>
          <w:tcPr>
            <w:tcW w:w="714" w:type="dxa"/>
            <w:vMerge w:val="continue"/>
            <w:noWrap w:val="0"/>
            <w:vAlign w:val="center"/>
          </w:tcPr>
          <w:p w14:paraId="27EDFE6B">
            <w:pPr>
              <w:spacing w:line="190" w:lineRule="exact"/>
              <w:jc w:val="center"/>
              <w:rPr>
                <w:rFonts w:ascii="宋体" w:hAnsi="宋体" w:eastAsia="宋体" w:cs="宋体"/>
                <w:color w:val="auto"/>
                <w:sz w:val="15"/>
                <w:szCs w:val="15"/>
                <w:highlight w:val="none"/>
              </w:rPr>
            </w:pPr>
          </w:p>
        </w:tc>
        <w:tc>
          <w:tcPr>
            <w:tcW w:w="1626" w:type="dxa"/>
            <w:gridSpan w:val="2"/>
            <w:vMerge w:val="continue"/>
            <w:noWrap w:val="0"/>
            <w:vAlign w:val="center"/>
          </w:tcPr>
          <w:p w14:paraId="45F526CF">
            <w:pPr>
              <w:spacing w:line="190" w:lineRule="exact"/>
              <w:rPr>
                <w:rFonts w:ascii="宋体" w:hAnsi="宋体" w:eastAsia="宋体" w:cs="宋体"/>
                <w:color w:val="auto"/>
                <w:sz w:val="15"/>
                <w:szCs w:val="15"/>
                <w:highlight w:val="none"/>
              </w:rPr>
            </w:pPr>
          </w:p>
        </w:tc>
        <w:tc>
          <w:tcPr>
            <w:tcW w:w="2981" w:type="dxa"/>
            <w:vMerge w:val="continue"/>
            <w:noWrap w:val="0"/>
            <w:vAlign w:val="center"/>
          </w:tcPr>
          <w:p w14:paraId="2CE8A389">
            <w:pPr>
              <w:spacing w:line="190" w:lineRule="exact"/>
              <w:rPr>
                <w:rFonts w:ascii="宋体" w:hAnsi="宋体" w:eastAsia="宋体" w:cs="宋体"/>
                <w:color w:val="auto"/>
                <w:sz w:val="15"/>
                <w:szCs w:val="15"/>
                <w:highlight w:val="none"/>
              </w:rPr>
            </w:pPr>
          </w:p>
        </w:tc>
        <w:tc>
          <w:tcPr>
            <w:tcW w:w="851" w:type="dxa"/>
            <w:noWrap w:val="0"/>
            <w:vAlign w:val="center"/>
          </w:tcPr>
          <w:p w14:paraId="1F056BBF">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w:t>
            </w:r>
          </w:p>
          <w:p w14:paraId="4AA4C6E5">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14:paraId="2991518A">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top"/>
          </w:tcPr>
          <w:p w14:paraId="61DA5BEC">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w:t>
            </w:r>
            <w:r>
              <w:rPr>
                <w:rFonts w:hint="eastAsia" w:ascii="宋体" w:hAnsi="宋体" w:eastAsia="宋体"/>
                <w:color w:val="auto"/>
                <w:sz w:val="15"/>
                <w:szCs w:val="15"/>
                <w:highlight w:val="none"/>
                <w:lang w:eastAsia="zh-CN"/>
              </w:rPr>
              <w:t>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eastAsia" w:ascii="宋体" w:hAnsi="宋体" w:eastAsia="宋体"/>
                <w:color w:val="auto"/>
                <w:sz w:val="15"/>
                <w:szCs w:val="15"/>
                <w:highlight w:val="none"/>
                <w:lang w:val="en-US" w:eastAsia="zh-CN"/>
              </w:rPr>
              <w:t>2-4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43066E38">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59DC5FDA">
            <w:pPr>
              <w:spacing w:line="19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1304" w:type="dxa"/>
            <w:gridSpan w:val="2"/>
            <w:vMerge w:val="continue"/>
            <w:noWrap w:val="0"/>
            <w:vAlign w:val="center"/>
          </w:tcPr>
          <w:p w14:paraId="3F0CB95D">
            <w:pPr>
              <w:spacing w:line="190" w:lineRule="exact"/>
              <w:jc w:val="center"/>
              <w:rPr>
                <w:rFonts w:ascii="宋体" w:hAnsi="宋体" w:eastAsia="宋体"/>
                <w:color w:val="auto"/>
                <w:sz w:val="15"/>
                <w:szCs w:val="15"/>
                <w:highlight w:val="none"/>
              </w:rPr>
            </w:pPr>
          </w:p>
        </w:tc>
        <w:tc>
          <w:tcPr>
            <w:tcW w:w="1869" w:type="dxa"/>
            <w:vMerge w:val="continue"/>
            <w:noWrap w:val="0"/>
            <w:vAlign w:val="center"/>
          </w:tcPr>
          <w:p w14:paraId="4791ECFC">
            <w:pPr>
              <w:spacing w:line="190" w:lineRule="exact"/>
              <w:jc w:val="center"/>
              <w:rPr>
                <w:rFonts w:ascii="宋体" w:hAnsi="宋体" w:eastAsia="宋体"/>
                <w:color w:val="auto"/>
                <w:sz w:val="15"/>
                <w:szCs w:val="15"/>
                <w:highlight w:val="none"/>
              </w:rPr>
            </w:pPr>
          </w:p>
        </w:tc>
      </w:tr>
      <w:tr w14:paraId="06503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619" w:hRule="atLeast"/>
        </w:trPr>
        <w:tc>
          <w:tcPr>
            <w:tcW w:w="714" w:type="dxa"/>
            <w:noWrap w:val="0"/>
            <w:vAlign w:val="center"/>
          </w:tcPr>
          <w:p w14:paraId="62D2A516">
            <w:pPr>
              <w:spacing w:line="19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5</w:t>
            </w:r>
          </w:p>
        </w:tc>
        <w:tc>
          <w:tcPr>
            <w:tcW w:w="1626" w:type="dxa"/>
            <w:gridSpan w:val="2"/>
            <w:noWrap w:val="0"/>
            <w:vAlign w:val="center"/>
          </w:tcPr>
          <w:p w14:paraId="789DB4EE">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擅自关闭、闲置或者拆除生活垃圾处理设施、场所</w:t>
            </w:r>
          </w:p>
        </w:tc>
        <w:tc>
          <w:tcPr>
            <w:tcW w:w="2981" w:type="dxa"/>
            <w:noWrap w:val="0"/>
            <w:vAlign w:val="center"/>
          </w:tcPr>
          <w:p w14:paraId="4CCF2DC8">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违反条款：第五十五条第三款；处罚条款：第一百一十一条第一款第（二）项、第二款，责令</w:t>
            </w:r>
            <w:r>
              <w:rPr>
                <w:rFonts w:ascii="宋体" w:hAnsi="宋体" w:eastAsia="宋体"/>
                <w:color w:val="auto"/>
                <w:sz w:val="15"/>
                <w:szCs w:val="15"/>
                <w:highlight w:val="none"/>
              </w:rPr>
              <w:t>改正，没收违法所得，</w:t>
            </w:r>
            <w:r>
              <w:rPr>
                <w:rFonts w:hint="eastAsia" w:ascii="宋体" w:hAnsi="宋体" w:eastAsia="宋体"/>
                <w:color w:val="auto"/>
                <w:sz w:val="15"/>
                <w:szCs w:val="15"/>
                <w:highlight w:val="none"/>
              </w:rPr>
              <w:t>对单位处十万元以上一百万元以下的罚款。</w:t>
            </w:r>
          </w:p>
        </w:tc>
        <w:tc>
          <w:tcPr>
            <w:tcW w:w="851" w:type="dxa"/>
            <w:noWrap w:val="0"/>
            <w:vAlign w:val="center"/>
          </w:tcPr>
          <w:p w14:paraId="55DAA275">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ascii="宋体" w:hAnsi="宋体" w:eastAsia="宋体" w:cs="宋体"/>
                <w:color w:val="auto"/>
                <w:kern w:val="0"/>
                <w:sz w:val="15"/>
                <w:szCs w:val="15"/>
                <w:highlight w:val="none"/>
              </w:rPr>
              <w:t>0</w:t>
            </w:r>
          </w:p>
        </w:tc>
        <w:tc>
          <w:tcPr>
            <w:tcW w:w="840" w:type="dxa"/>
            <w:noWrap w:val="0"/>
            <w:vAlign w:val="center"/>
          </w:tcPr>
          <w:p w14:paraId="59B9BB87">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51BF2F9D">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val="en-US" w:eastAsia="zh-CN"/>
              </w:rPr>
              <w:t>1.位于</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3-4。2.涉及</w:t>
            </w:r>
            <w:r>
              <w:rPr>
                <w:rFonts w:hint="eastAsia" w:ascii="宋体" w:hAnsi="宋体" w:eastAsia="宋体"/>
                <w:color w:val="auto"/>
                <w:sz w:val="15"/>
                <w:szCs w:val="15"/>
                <w:highlight w:val="none"/>
              </w:rPr>
              <w:t>集中处理设施和场所</w:t>
            </w:r>
            <w:r>
              <w:rPr>
                <w:rFonts w:hint="eastAsia" w:ascii="宋体" w:hAnsi="宋体" w:eastAsia="宋体"/>
                <w:color w:val="auto"/>
                <w:sz w:val="15"/>
                <w:szCs w:val="15"/>
                <w:highlight w:val="none"/>
                <w:lang w:eastAsia="zh-CN"/>
              </w:rPr>
              <w:t>，或者</w:t>
            </w:r>
            <w:r>
              <w:rPr>
                <w:rFonts w:hint="eastAsia" w:ascii="宋体" w:hAnsi="宋体" w:eastAsia="宋体"/>
                <w:color w:val="auto"/>
                <w:sz w:val="15"/>
                <w:szCs w:val="15"/>
                <w:highlight w:val="none"/>
              </w:rPr>
              <w:t>较大餐饮服务单位</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大型蔬菜果品批发市场、物流配送中心</w:t>
            </w:r>
            <w:r>
              <w:rPr>
                <w:rFonts w:hint="eastAsia" w:ascii="宋体" w:hAnsi="宋体" w:eastAsia="宋体"/>
                <w:color w:val="auto"/>
                <w:sz w:val="15"/>
                <w:szCs w:val="15"/>
                <w:highlight w:val="none"/>
                <w:lang w:eastAsia="zh-CN"/>
              </w:rPr>
              <w:t>等</w:t>
            </w:r>
            <w:r>
              <w:rPr>
                <w:rFonts w:hint="eastAsia" w:ascii="宋体" w:hAnsi="宋体" w:eastAsia="宋体"/>
                <w:color w:val="auto"/>
                <w:sz w:val="15"/>
                <w:szCs w:val="15"/>
                <w:highlight w:val="none"/>
              </w:rPr>
              <w:t>违法</w:t>
            </w:r>
            <w:r>
              <w:rPr>
                <w:rFonts w:hint="eastAsia" w:ascii="宋体" w:hAnsi="宋体" w:eastAsia="宋体"/>
                <w:color w:val="auto"/>
                <w:sz w:val="15"/>
                <w:szCs w:val="15"/>
                <w:highlight w:val="none"/>
                <w:lang w:eastAsia="zh-CN"/>
              </w:rPr>
              <w:t>的，</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7</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.造成较大社会影响或者严重后果的</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情形，系数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strike w:val="0"/>
                <w:dstrike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6B3B5244">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65EA1D56">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368C0BCB">
            <w:pPr>
              <w:spacing w:line="190" w:lineRule="exact"/>
              <w:rPr>
                <w:rFonts w:hint="eastAsia" w:ascii="宋体" w:hAnsi="宋体" w:eastAsia="宋体"/>
                <w:color w:val="auto"/>
                <w:sz w:val="15"/>
                <w:szCs w:val="15"/>
                <w:highlight w:val="none"/>
                <w:lang w:eastAsia="zh-CN"/>
              </w:rPr>
            </w:pPr>
          </w:p>
        </w:tc>
        <w:tc>
          <w:tcPr>
            <w:tcW w:w="1304" w:type="dxa"/>
            <w:gridSpan w:val="2"/>
            <w:noWrap w:val="0"/>
            <w:vAlign w:val="center"/>
          </w:tcPr>
          <w:p w14:paraId="74AF46B8">
            <w:pPr>
              <w:spacing w:line="190"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c>
          <w:tcPr>
            <w:tcW w:w="1869" w:type="dxa"/>
            <w:noWrap w:val="0"/>
            <w:vAlign w:val="center"/>
          </w:tcPr>
          <w:p w14:paraId="64EF2831">
            <w:pPr>
              <w:spacing w:line="19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C4600200</w:t>
            </w:r>
          </w:p>
        </w:tc>
      </w:tr>
      <w:tr w14:paraId="475A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15" w:hRule="atLeast"/>
        </w:trPr>
        <w:tc>
          <w:tcPr>
            <w:tcW w:w="714" w:type="dxa"/>
            <w:noWrap w:val="0"/>
            <w:vAlign w:val="center"/>
          </w:tcPr>
          <w:p w14:paraId="32A60FF3">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6</w:t>
            </w:r>
          </w:p>
        </w:tc>
        <w:tc>
          <w:tcPr>
            <w:tcW w:w="1626" w:type="dxa"/>
            <w:gridSpan w:val="2"/>
            <w:noWrap w:val="0"/>
            <w:vAlign w:val="center"/>
          </w:tcPr>
          <w:p w14:paraId="65A90522">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工程施工单位未及时清运施工过程中产生的固体废物</w:t>
            </w:r>
          </w:p>
        </w:tc>
        <w:tc>
          <w:tcPr>
            <w:tcW w:w="2981" w:type="dxa"/>
            <w:noWrap w:val="0"/>
            <w:vAlign w:val="center"/>
          </w:tcPr>
          <w:p w14:paraId="1E45620D">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违反条款：第六十三条第二款；处罚条款：第一百一十一条第一款第（三）项、第二款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14:paraId="25E2F709">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noWrap w:val="0"/>
            <w:vAlign w:val="center"/>
          </w:tcPr>
          <w:p w14:paraId="211BA6C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7AA0F9D8">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s="宋体"/>
                <w:color w:val="auto"/>
                <w:sz w:val="15"/>
                <w:szCs w:val="15"/>
                <w:highlight w:val="none"/>
              </w:rPr>
              <w:t>1.垃圾占地面积10㎡</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0；11－15㎡</w:t>
            </w:r>
            <w:r>
              <w:rPr>
                <w:rFonts w:hint="eastAsia" w:ascii="宋体" w:hAnsi="宋体" w:eastAsia="宋体" w:cs="仿宋_GB2312"/>
                <w:color w:val="auto"/>
                <w:sz w:val="15"/>
                <w:szCs w:val="15"/>
                <w:highlight w:val="none"/>
              </w:rPr>
              <w:t>的，系</w:t>
            </w:r>
            <w:r>
              <w:rPr>
                <w:rFonts w:hint="eastAsia" w:ascii="宋体" w:hAnsi="宋体" w:eastAsia="宋体" w:cs="宋体"/>
                <w:color w:val="auto"/>
                <w:sz w:val="15"/>
                <w:szCs w:val="15"/>
                <w:highlight w:val="none"/>
              </w:rPr>
              <w:t>数1；16－20㎡</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。2.逾期不清的，逾期达2天的，系数１；逾期达4天的，系数2；逾期达6天的，系数3；逾期达8天的，系数4；逾期达10天的，系数5；以此类推，逾期达18天及以上的，系数9。</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7152FDAB">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7B472669">
            <w:pPr>
              <w:spacing w:line="232" w:lineRule="exact"/>
              <w:rPr>
                <w:rFonts w:ascii="宋体" w:hAnsi="宋体" w:eastAsia="宋体"/>
                <w:b/>
                <w:color w:val="auto"/>
                <w:sz w:val="15"/>
                <w:szCs w:val="15"/>
                <w:highlight w:val="none"/>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1304" w:type="dxa"/>
            <w:gridSpan w:val="2"/>
            <w:noWrap w:val="0"/>
            <w:vAlign w:val="center"/>
          </w:tcPr>
          <w:p w14:paraId="22AD0DF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9DD6FCF">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24F5652">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C4600300</w:t>
            </w:r>
          </w:p>
        </w:tc>
      </w:tr>
      <w:tr w14:paraId="1814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692" w:hRule="atLeast"/>
        </w:trPr>
        <w:tc>
          <w:tcPr>
            <w:tcW w:w="714" w:type="dxa"/>
            <w:noWrap w:val="0"/>
            <w:vAlign w:val="center"/>
          </w:tcPr>
          <w:p w14:paraId="4AC0908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626" w:type="dxa"/>
            <w:gridSpan w:val="2"/>
            <w:noWrap w:val="0"/>
            <w:vAlign w:val="center"/>
          </w:tcPr>
          <w:p w14:paraId="568D695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工程施工单位擅自倾倒、抛撒或者堆放工程施工过程中产生的建筑垃圾</w:t>
            </w:r>
          </w:p>
        </w:tc>
        <w:tc>
          <w:tcPr>
            <w:tcW w:w="2981" w:type="dxa"/>
            <w:noWrap w:val="0"/>
            <w:vAlign w:val="center"/>
          </w:tcPr>
          <w:p w14:paraId="335B8FC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违反条款：第六十三条第三款；处罚条款：第一百一十一条第一款第（四）项、第二款责令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14:paraId="02FD3FB9">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noWrap w:val="0"/>
            <w:vAlign w:val="center"/>
          </w:tcPr>
          <w:p w14:paraId="407BA2C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7154978F">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污染道路长21－30米或者建筑垃圾占地面积11—15㎡的，系数1；31－40米或者16-20㎡的，系数2；41-50米或者21-25㎡的，系数3；51-60米或者26-30㎡的，系数4；61-70米或者31-35㎡的，系数5；以此类推，长度101米及以上或者面积51㎡及以上的，系数9。2.将垃圾随意倾倒、抛撒、堆放至城市道路、绿地、林地、耕地、河道、铁路、轨道交通、公厕、桥下空间等公共场所及周边，或者燃气、供暖、石油长输管道、供水、排水、电力、通信等公用管道和设施保护（管理）范围的，系数3。3.建筑垃圾总量较大（15吨及以上）或违法行为持续时间较长（5天及以上）或对环境造成较严重影响的，系数5-6。4.存在基准2.1.3规定情形的，系数按照相关规定确定。</w:t>
            </w:r>
          </w:p>
        </w:tc>
        <w:tc>
          <w:tcPr>
            <w:tcW w:w="1875" w:type="dxa"/>
            <w:gridSpan w:val="2"/>
            <w:noWrap w:val="0"/>
            <w:vAlign w:val="center"/>
          </w:tcPr>
          <w:p w14:paraId="261E0B5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357B984A">
            <w:pPr>
              <w:spacing w:line="232" w:lineRule="exact"/>
              <w:rPr>
                <w:rFonts w:ascii="宋体" w:hAnsi="宋体" w:eastAsia="宋体"/>
                <w:b/>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1304" w:type="dxa"/>
            <w:gridSpan w:val="2"/>
            <w:noWrap w:val="0"/>
            <w:vAlign w:val="center"/>
          </w:tcPr>
          <w:p w14:paraId="14F2F03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865A543">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BC6F0FE">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C4600400</w:t>
            </w:r>
          </w:p>
        </w:tc>
      </w:tr>
      <w:tr w14:paraId="2BDBC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04" w:hRule="atLeast"/>
        </w:trPr>
        <w:tc>
          <w:tcPr>
            <w:tcW w:w="714" w:type="dxa"/>
            <w:noWrap w:val="0"/>
            <w:vAlign w:val="center"/>
          </w:tcPr>
          <w:p w14:paraId="6478240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626" w:type="dxa"/>
            <w:gridSpan w:val="2"/>
            <w:noWrap w:val="0"/>
            <w:vAlign w:val="center"/>
          </w:tcPr>
          <w:p w14:paraId="50DE0151">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工程施工单位未按照规定对施工过程中产生的固体废物进行利用或者处置</w:t>
            </w:r>
          </w:p>
        </w:tc>
        <w:tc>
          <w:tcPr>
            <w:tcW w:w="2981" w:type="dxa"/>
            <w:noWrap w:val="0"/>
            <w:vAlign w:val="center"/>
          </w:tcPr>
          <w:p w14:paraId="5461FF57">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违反条款：第六十三条第二款；处罚条款：第一百一十一条第一款第（四）项、第二款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14:paraId="67E54CE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ascii="宋体" w:hAnsi="宋体" w:eastAsia="宋体" w:cs="宋体"/>
                <w:color w:val="auto"/>
                <w:kern w:val="0"/>
                <w:sz w:val="15"/>
                <w:szCs w:val="15"/>
                <w:highlight w:val="none"/>
              </w:rPr>
              <w:t>0</w:t>
            </w:r>
          </w:p>
        </w:tc>
        <w:tc>
          <w:tcPr>
            <w:tcW w:w="840" w:type="dxa"/>
            <w:noWrap w:val="0"/>
            <w:vAlign w:val="center"/>
          </w:tcPr>
          <w:p w14:paraId="785F83E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766B6EF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未按规定</w:t>
            </w:r>
            <w:r>
              <w:rPr>
                <w:rFonts w:ascii="宋体" w:hAnsi="宋体" w:eastAsia="宋体" w:cs="宋体"/>
                <w:color w:val="auto"/>
                <w:kern w:val="0"/>
                <w:sz w:val="15"/>
                <w:szCs w:val="15"/>
                <w:highlight w:val="none"/>
              </w:rPr>
              <w:t>利用或处置的固体废物</w:t>
            </w:r>
            <w:r>
              <w:rPr>
                <w:rFonts w:hint="eastAsia" w:ascii="宋体" w:hAnsi="宋体" w:eastAsia="宋体" w:cs="宋体"/>
                <w:color w:val="auto"/>
                <w:kern w:val="0"/>
                <w:sz w:val="15"/>
                <w:szCs w:val="15"/>
                <w:highlight w:val="none"/>
              </w:rPr>
              <w:t>占地面积10</w:t>
            </w:r>
            <w:r>
              <w:rPr>
                <w:rFonts w:hint="eastAsia" w:ascii="宋体" w:hAnsi="宋体" w:eastAsia="宋体" w:cs="Microsoft JhengHei"/>
                <w:color w:val="auto"/>
                <w:kern w:val="0"/>
                <w:sz w:val="15"/>
                <w:szCs w:val="15"/>
                <w:highlight w:val="none"/>
              </w:rPr>
              <w:t>㎡</w:t>
            </w:r>
            <w:r>
              <w:rPr>
                <w:rFonts w:hint="eastAsia" w:ascii="宋体" w:hAnsi="宋体" w:eastAsia="宋体" w:cs="仿宋_GB2312"/>
                <w:b w:val="0"/>
                <w:bCs w:val="0"/>
                <w:color w:val="auto"/>
                <w:kern w:val="0"/>
                <w:sz w:val="15"/>
                <w:szCs w:val="15"/>
                <w:highlight w:val="none"/>
              </w:rPr>
              <w:t>以下</w:t>
            </w:r>
            <w:r>
              <w:rPr>
                <w:rFonts w:hint="eastAsia" w:ascii="宋体" w:hAnsi="宋体" w:eastAsia="宋体" w:cs="仿宋_GB2312"/>
                <w:b w:val="0"/>
                <w:bCs w:val="0"/>
                <w:color w:val="auto"/>
                <w:kern w:val="0"/>
                <w:sz w:val="15"/>
                <w:szCs w:val="15"/>
                <w:highlight w:val="none"/>
                <w:lang w:eastAsia="zh-CN"/>
              </w:rPr>
              <w:t>或</w:t>
            </w:r>
            <w:r>
              <w:rPr>
                <w:rFonts w:hint="eastAsia" w:ascii="宋体" w:hAnsi="宋体" w:eastAsia="宋体" w:cs="宋体"/>
                <w:b w:val="0"/>
                <w:bCs w:val="0"/>
                <w:color w:val="auto"/>
                <w:sz w:val="15"/>
                <w:szCs w:val="15"/>
                <w:highlight w:val="none"/>
                <w:lang w:val="en-US" w:eastAsia="zh-CN"/>
              </w:rPr>
              <w:t>者运输垃圾5车次以下的</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0；11－15</w:t>
            </w:r>
            <w:r>
              <w:rPr>
                <w:rFonts w:hint="eastAsia" w:ascii="宋体" w:hAnsi="宋体" w:eastAsia="宋体" w:cs="Microsoft JhengHei"/>
                <w:b w:val="0"/>
                <w:bCs w:val="0"/>
                <w:color w:val="auto"/>
                <w:kern w:val="0"/>
                <w:sz w:val="15"/>
                <w:szCs w:val="15"/>
                <w:highlight w:val="none"/>
              </w:rPr>
              <w:t>㎡</w:t>
            </w:r>
            <w:r>
              <w:rPr>
                <w:rFonts w:hint="eastAsia" w:ascii="宋体" w:hAnsi="宋体" w:eastAsia="宋体" w:cs="仿宋_GB2312"/>
                <w:b w:val="0"/>
                <w:bCs w:val="0"/>
                <w:color w:val="auto"/>
                <w:kern w:val="0"/>
                <w:sz w:val="15"/>
                <w:szCs w:val="15"/>
                <w:highlight w:val="none"/>
              </w:rPr>
              <w:t>的</w:t>
            </w:r>
            <w:r>
              <w:rPr>
                <w:rFonts w:hint="eastAsia" w:ascii="宋体" w:hAnsi="宋体" w:eastAsia="宋体" w:cs="仿宋_GB2312"/>
                <w:b w:val="0"/>
                <w:bCs w:val="0"/>
                <w:color w:val="auto"/>
                <w:kern w:val="0"/>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5（含5次）-9车次</w:t>
            </w:r>
            <w:r>
              <w:rPr>
                <w:rFonts w:hint="eastAsia" w:ascii="宋体" w:hAnsi="宋体" w:eastAsia="宋体" w:cs="仿宋_GB2312"/>
                <w:b w:val="0"/>
                <w:bCs w:val="0"/>
                <w:color w:val="auto"/>
                <w:kern w:val="0"/>
                <w:sz w:val="15"/>
                <w:szCs w:val="15"/>
                <w:highlight w:val="none"/>
                <w:lang w:val="en-US" w:eastAsia="zh-CN"/>
              </w:rPr>
              <w:t>的</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1；16－20</w:t>
            </w:r>
            <w:r>
              <w:rPr>
                <w:rFonts w:hint="eastAsia" w:ascii="宋体" w:hAnsi="宋体" w:eastAsia="宋体" w:cs="Microsoft JhengHei"/>
                <w:b w:val="0"/>
                <w:bCs w:val="0"/>
                <w:color w:val="auto"/>
                <w:kern w:val="0"/>
                <w:sz w:val="15"/>
                <w:szCs w:val="15"/>
                <w:highlight w:val="none"/>
              </w:rPr>
              <w:t>㎡</w:t>
            </w:r>
            <w:r>
              <w:rPr>
                <w:rFonts w:hint="eastAsia" w:ascii="宋体" w:hAnsi="宋体" w:eastAsia="宋体" w:cs="Microsoft JhengHei"/>
                <w:b w:val="0"/>
                <w:bCs w:val="0"/>
                <w:color w:val="auto"/>
                <w:kern w:val="0"/>
                <w:sz w:val="15"/>
                <w:szCs w:val="15"/>
                <w:highlight w:val="none"/>
                <w:lang w:eastAsia="zh-CN"/>
              </w:rPr>
              <w:t>或者</w:t>
            </w:r>
            <w:r>
              <w:rPr>
                <w:rFonts w:hint="eastAsia" w:ascii="宋体" w:hAnsi="宋体" w:eastAsia="宋体" w:cs="Microsoft JhengHei"/>
                <w:b w:val="0"/>
                <w:bCs w:val="0"/>
                <w:color w:val="auto"/>
                <w:kern w:val="0"/>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0-14车次的</w:t>
            </w:r>
            <w:r>
              <w:rPr>
                <w:rFonts w:hint="eastAsia" w:ascii="宋体" w:hAnsi="宋体" w:eastAsia="宋体" w:cs="Microsoft JhengHei"/>
                <w:b w:val="0"/>
                <w:bCs w:val="0"/>
                <w:color w:val="auto"/>
                <w:kern w:val="0"/>
                <w:sz w:val="15"/>
                <w:szCs w:val="15"/>
                <w:highlight w:val="none"/>
                <w:lang w:val="en-US" w:eastAsia="zh-CN"/>
              </w:rPr>
              <w:t>，</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15-19车次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20-24车次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25-29车次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kern w:val="0"/>
                <w:sz w:val="15"/>
                <w:szCs w:val="15"/>
                <w:highlight w:val="none"/>
              </w:rPr>
              <w:t>以此类推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或者45车次及以上的</w:t>
            </w:r>
            <w:r>
              <w:rPr>
                <w:rFonts w:hint="eastAsia" w:ascii="宋体" w:hAnsi="宋体" w:eastAsia="宋体" w:cs="Batang"/>
                <w:b w:val="0"/>
                <w:bCs w:val="0"/>
                <w:color w:val="auto"/>
                <w:sz w:val="15"/>
                <w:szCs w:val="15"/>
                <w:highlight w:val="none"/>
                <w:lang w:eastAsia="zh-CN"/>
              </w:rPr>
              <w:t>，系数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b w:val="0"/>
                <w:bCs w:val="0"/>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2.未按规定进行利用或者处置固体废物数量较大的、</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w:t>
            </w:r>
            <w:r>
              <w:rPr>
                <w:rFonts w:hint="eastAsia" w:ascii="宋体" w:hAnsi="宋体" w:cs="宋体"/>
                <w:color w:val="auto"/>
                <w:kern w:val="0"/>
                <w:sz w:val="15"/>
                <w:szCs w:val="15"/>
                <w:highlight w:val="none"/>
                <w:lang w:val="en-US" w:eastAsia="zh-CN"/>
              </w:rPr>
              <w:t>5-6</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51164E7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4A23953E">
            <w:pPr>
              <w:spacing w:line="232" w:lineRule="exact"/>
              <w:rPr>
                <w:rFonts w:ascii="宋体" w:hAnsi="宋体" w:eastAsia="宋体"/>
                <w:b/>
                <w:color w:val="auto"/>
                <w:sz w:val="15"/>
                <w:szCs w:val="15"/>
                <w:highlight w:val="none"/>
              </w:rPr>
            </w:pPr>
          </w:p>
        </w:tc>
        <w:tc>
          <w:tcPr>
            <w:tcW w:w="1304" w:type="dxa"/>
            <w:gridSpan w:val="2"/>
            <w:noWrap w:val="0"/>
            <w:vAlign w:val="center"/>
          </w:tcPr>
          <w:p w14:paraId="40C72E1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4CA8CF8">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D6126C8">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C4600400</w:t>
            </w:r>
          </w:p>
        </w:tc>
      </w:tr>
      <w:tr w14:paraId="0CC11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57" w:hRule="atLeast"/>
        </w:trPr>
        <w:tc>
          <w:tcPr>
            <w:tcW w:w="714" w:type="dxa"/>
            <w:vMerge w:val="restart"/>
            <w:noWrap w:val="0"/>
            <w:vAlign w:val="center"/>
          </w:tcPr>
          <w:p w14:paraId="34A051E7">
            <w:pPr>
              <w:spacing w:line="232" w:lineRule="exact"/>
              <w:jc w:val="center"/>
              <w:rPr>
                <w:rFonts w:ascii="宋体" w:hAnsi="宋体" w:eastAsia="宋体"/>
                <w:color w:val="auto"/>
                <w:kern w:val="0"/>
                <w:sz w:val="15"/>
                <w:szCs w:val="15"/>
                <w:highlight w:val="none"/>
              </w:rPr>
            </w:pPr>
            <w:r>
              <w:rPr>
                <w:rFonts w:hint="eastAsia" w:ascii="宋体" w:hAnsi="宋体" w:eastAsia="宋体"/>
                <w:color w:val="auto"/>
                <w:kern w:val="0"/>
                <w:sz w:val="15"/>
                <w:szCs w:val="15"/>
                <w:highlight w:val="none"/>
              </w:rPr>
              <w:t>9</w:t>
            </w:r>
          </w:p>
        </w:tc>
        <w:tc>
          <w:tcPr>
            <w:tcW w:w="1626" w:type="dxa"/>
            <w:gridSpan w:val="2"/>
            <w:vMerge w:val="restart"/>
            <w:noWrap w:val="0"/>
            <w:vAlign w:val="center"/>
          </w:tcPr>
          <w:p w14:paraId="5F601E07">
            <w:pPr>
              <w:spacing w:line="232" w:lineRule="exact"/>
              <w:jc w:val="left"/>
              <w:rPr>
                <w:rFonts w:ascii="宋体" w:hAnsi="宋体" w:eastAsia="宋体"/>
                <w:color w:val="auto"/>
                <w:kern w:val="0"/>
                <w:sz w:val="15"/>
                <w:szCs w:val="15"/>
                <w:highlight w:val="none"/>
              </w:rPr>
            </w:pPr>
            <w:r>
              <w:rPr>
                <w:rFonts w:hint="eastAsia" w:ascii="宋体" w:hAnsi="宋体" w:eastAsia="宋体"/>
                <w:color w:val="auto"/>
                <w:sz w:val="15"/>
                <w:szCs w:val="15"/>
                <w:highlight w:val="none"/>
              </w:rPr>
              <w:t>未将厨余垃圾交由具备相应资质条件的单位进行无害化处理</w:t>
            </w:r>
          </w:p>
        </w:tc>
        <w:tc>
          <w:tcPr>
            <w:tcW w:w="2981" w:type="dxa"/>
            <w:vMerge w:val="restart"/>
            <w:noWrap w:val="0"/>
            <w:vAlign w:val="center"/>
          </w:tcPr>
          <w:p w14:paraId="3648672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违反条款：第五十七条第二款；处罚条款：第一百一十一条第一款第（五）项、第二款 责令改正，没收违法所得</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noWrap w:val="0"/>
            <w:vAlign w:val="center"/>
          </w:tcPr>
          <w:p w14:paraId="2808202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100000（单位）</w:t>
            </w:r>
          </w:p>
        </w:tc>
        <w:tc>
          <w:tcPr>
            <w:tcW w:w="840" w:type="dxa"/>
            <w:noWrap w:val="0"/>
            <w:vAlign w:val="center"/>
          </w:tcPr>
          <w:p w14:paraId="1B7B022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10B59BDC">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.将厨余垃圾随意倾倒、丢弃、堆放城市道路、绿地、林地、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 xml:space="preserve"> 1-2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spacing w:val="-4"/>
                <w:kern w:val="0"/>
                <w:sz w:val="15"/>
                <w:szCs w:val="15"/>
                <w:highlight w:val="none"/>
              </w:rPr>
              <w:t>厨余垃圾总量较大、持续时间较长、对环境秩序造成较严重影响的，系数</w:t>
            </w:r>
            <w:r>
              <w:rPr>
                <w:rFonts w:hint="eastAsia" w:ascii="宋体" w:hAnsi="宋体" w:cs="宋体"/>
                <w:color w:val="auto"/>
                <w:kern w:val="0"/>
                <w:sz w:val="15"/>
                <w:szCs w:val="15"/>
                <w:highlight w:val="none"/>
                <w:lang w:val="en-US" w:eastAsia="zh-CN"/>
              </w:rPr>
              <w:t>5-6</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w:t>
            </w:r>
            <w:r>
              <w:rPr>
                <w:rFonts w:hint="eastAsia" w:ascii="宋体" w:hAnsi="宋体" w:eastAsia="宋体" w:cs="宋体"/>
                <w:color w:val="auto"/>
                <w:kern w:val="0"/>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14:paraId="6F435BC8">
            <w:pPr>
              <w:spacing w:line="232" w:lineRule="exact"/>
              <w:rPr>
                <w:rFonts w:hint="eastAsia" w:ascii="宋体" w:hAnsi="宋体" w:eastAsia="宋体" w:cs="宋体"/>
                <w:color w:val="auto"/>
                <w:kern w:val="0"/>
                <w:sz w:val="15"/>
                <w:szCs w:val="15"/>
                <w:highlight w:val="none"/>
                <w:lang w:val="en-US" w:eastAsia="zh-CN"/>
              </w:rPr>
            </w:pPr>
          </w:p>
        </w:tc>
        <w:tc>
          <w:tcPr>
            <w:tcW w:w="1875" w:type="dxa"/>
            <w:gridSpan w:val="2"/>
            <w:noWrap w:val="0"/>
            <w:vAlign w:val="center"/>
          </w:tcPr>
          <w:p w14:paraId="1E8E0DF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4A689FE0">
            <w:pPr>
              <w:spacing w:line="232" w:lineRule="exact"/>
              <w:rPr>
                <w:rFonts w:ascii="宋体" w:hAnsi="宋体" w:eastAsia="宋体"/>
                <w:color w:val="auto"/>
                <w:sz w:val="15"/>
                <w:szCs w:val="15"/>
                <w:highlight w:val="none"/>
              </w:rPr>
            </w:pPr>
          </w:p>
        </w:tc>
        <w:tc>
          <w:tcPr>
            <w:tcW w:w="1304" w:type="dxa"/>
            <w:gridSpan w:val="2"/>
            <w:noWrap w:val="0"/>
            <w:vAlign w:val="center"/>
          </w:tcPr>
          <w:p w14:paraId="25EF2F5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B7B08A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684B8E26">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C4609000</w:t>
            </w:r>
          </w:p>
        </w:tc>
      </w:tr>
      <w:tr w14:paraId="38DF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vMerge w:val="continue"/>
            <w:noWrap w:val="0"/>
            <w:vAlign w:val="center"/>
          </w:tcPr>
          <w:p w14:paraId="574408F2">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14:paraId="6893779B">
            <w:pPr>
              <w:spacing w:line="232" w:lineRule="exact"/>
              <w:rPr>
                <w:rFonts w:ascii="宋体" w:hAnsi="宋体" w:eastAsia="宋体"/>
                <w:color w:val="auto"/>
                <w:sz w:val="15"/>
                <w:szCs w:val="15"/>
                <w:highlight w:val="none"/>
              </w:rPr>
            </w:pPr>
          </w:p>
        </w:tc>
        <w:tc>
          <w:tcPr>
            <w:tcW w:w="2981" w:type="dxa"/>
            <w:vMerge w:val="continue"/>
            <w:noWrap w:val="0"/>
            <w:vAlign w:val="center"/>
          </w:tcPr>
          <w:p w14:paraId="7F22C16F">
            <w:pPr>
              <w:spacing w:line="232" w:lineRule="exact"/>
              <w:jc w:val="left"/>
              <w:rPr>
                <w:rFonts w:ascii="宋体" w:hAnsi="宋体" w:eastAsia="宋体"/>
                <w:color w:val="auto"/>
                <w:sz w:val="15"/>
                <w:szCs w:val="15"/>
                <w:highlight w:val="none"/>
              </w:rPr>
            </w:pPr>
          </w:p>
        </w:tc>
        <w:tc>
          <w:tcPr>
            <w:tcW w:w="851" w:type="dxa"/>
            <w:noWrap w:val="0"/>
            <w:vAlign w:val="center"/>
          </w:tcPr>
          <w:p w14:paraId="57988D7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p w14:paraId="21E4B00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14:paraId="5503366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244DDCE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.将厨余垃圾随意倾倒、丢弃、堆放</w:t>
            </w:r>
            <w:r>
              <w:rPr>
                <w:rFonts w:hint="eastAsia" w:ascii="宋体" w:hAnsi="宋体" w:eastAsia="宋体" w:cs="宋体"/>
                <w:strike w:val="0"/>
                <w:dstrike w:val="0"/>
                <w:color w:val="auto"/>
                <w:kern w:val="0"/>
                <w:sz w:val="15"/>
                <w:szCs w:val="15"/>
                <w:highlight w:val="none"/>
              </w:rPr>
              <w:t>至</w:t>
            </w:r>
            <w:r>
              <w:rPr>
                <w:rFonts w:hint="eastAsia" w:ascii="宋体" w:hAnsi="宋体" w:eastAsia="宋体" w:cs="宋体"/>
                <w:color w:val="auto"/>
                <w:kern w:val="0"/>
                <w:sz w:val="15"/>
                <w:szCs w:val="15"/>
                <w:highlight w:val="none"/>
              </w:rPr>
              <w:t>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spacing w:val="-4"/>
                <w:kern w:val="0"/>
                <w:sz w:val="15"/>
                <w:szCs w:val="15"/>
                <w:highlight w:val="none"/>
              </w:rPr>
              <w:t>厨余垃圾总量较大、持续时间较长、对环境秩序造成较严重影响的，系数</w:t>
            </w:r>
            <w:r>
              <w:rPr>
                <w:rFonts w:hint="eastAsia" w:ascii="宋体" w:hAnsi="宋体" w:eastAsia="宋体" w:cs="宋体"/>
                <w:color w:val="auto"/>
                <w:spacing w:val="-4"/>
                <w:kern w:val="0"/>
                <w:sz w:val="15"/>
                <w:szCs w:val="15"/>
                <w:highlight w:val="none"/>
                <w:lang w:val="en-US" w:eastAsia="zh-CN"/>
              </w:rPr>
              <w:t>2-4</w:t>
            </w:r>
            <w:r>
              <w:rPr>
                <w:rFonts w:hint="eastAsia" w:ascii="宋体" w:hAnsi="宋体" w:eastAsia="宋体" w:cs="宋体"/>
                <w:color w:val="auto"/>
                <w:spacing w:val="-4"/>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w:t>
            </w:r>
            <w:r>
              <w:rPr>
                <w:rFonts w:hint="eastAsia" w:ascii="宋体" w:hAnsi="宋体" w:eastAsia="宋体" w:cs="宋体"/>
                <w:color w:val="auto"/>
                <w:kern w:val="0"/>
                <w:sz w:val="15"/>
                <w:szCs w:val="15"/>
                <w:highlight w:val="none"/>
                <w:lang w:val="en-US" w:eastAsia="zh-CN"/>
              </w:rPr>
              <w:t>4。4</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14:paraId="0923D76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159E4C0B">
            <w:pPr>
              <w:spacing w:line="232" w:lineRule="exact"/>
              <w:rPr>
                <w:rFonts w:hint="eastAsia" w:ascii="宋体" w:hAnsi="宋体" w:eastAsia="宋体"/>
                <w:color w:val="auto"/>
                <w:sz w:val="15"/>
                <w:szCs w:val="15"/>
                <w:highlight w:val="none"/>
                <w:lang w:eastAsia="zh-CN"/>
              </w:rPr>
            </w:pPr>
          </w:p>
        </w:tc>
        <w:tc>
          <w:tcPr>
            <w:tcW w:w="1304" w:type="dxa"/>
            <w:gridSpan w:val="2"/>
            <w:noWrap w:val="0"/>
            <w:vAlign w:val="center"/>
          </w:tcPr>
          <w:p w14:paraId="0AA7FBD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0EC2DC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78C73705">
            <w:pPr>
              <w:spacing w:line="232" w:lineRule="exact"/>
              <w:jc w:val="center"/>
              <w:rPr>
                <w:rFonts w:hint="eastAsia" w:ascii="宋体" w:hAnsi="宋体" w:eastAsia="宋体"/>
                <w:color w:val="auto"/>
                <w:sz w:val="15"/>
                <w:szCs w:val="15"/>
                <w:highlight w:val="none"/>
                <w:lang w:eastAsia="zh"/>
              </w:rPr>
            </w:pPr>
          </w:p>
        </w:tc>
      </w:tr>
      <w:tr w14:paraId="4224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vMerge w:val="restart"/>
            <w:noWrap w:val="0"/>
            <w:vAlign w:val="center"/>
          </w:tcPr>
          <w:p w14:paraId="6584F2F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626" w:type="dxa"/>
            <w:gridSpan w:val="2"/>
            <w:vMerge w:val="restart"/>
            <w:noWrap w:val="0"/>
            <w:vAlign w:val="center"/>
          </w:tcPr>
          <w:p w14:paraId="6915FB7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运输过程中沿途丢弃、遗撒生活垃圾</w:t>
            </w:r>
          </w:p>
        </w:tc>
        <w:tc>
          <w:tcPr>
            <w:tcW w:w="2981" w:type="dxa"/>
            <w:vMerge w:val="restart"/>
            <w:noWrap w:val="0"/>
            <w:vAlign w:val="center"/>
          </w:tcPr>
          <w:p w14:paraId="4CB3B8C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违反条款：第二十条第一款；处罚条款：第一百一十一条第一款第（七）项、第二款，责令改正</w:t>
            </w:r>
            <w:r>
              <w:rPr>
                <w:rFonts w:ascii="宋体" w:hAnsi="宋体" w:eastAsia="宋体"/>
                <w:color w:val="auto"/>
                <w:sz w:val="15"/>
                <w:szCs w:val="15"/>
                <w:highlight w:val="none"/>
              </w:rPr>
              <w:t>，没收违法所得</w:t>
            </w:r>
            <w:r>
              <w:rPr>
                <w:rFonts w:hint="eastAsia" w:ascii="宋体" w:hAnsi="宋体" w:eastAsia="宋体"/>
                <w:color w:val="auto"/>
                <w:sz w:val="15"/>
                <w:szCs w:val="15"/>
                <w:highlight w:val="none"/>
              </w:rPr>
              <w:t>，对单位五万元以上五十万元以下的罚款；对个人处一百元以上五百元以下的罚款。</w:t>
            </w:r>
          </w:p>
        </w:tc>
        <w:tc>
          <w:tcPr>
            <w:tcW w:w="851" w:type="dxa"/>
            <w:noWrap w:val="0"/>
            <w:vAlign w:val="center"/>
          </w:tcPr>
          <w:p w14:paraId="6961E62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r>
              <w:rPr>
                <w:rFonts w:ascii="宋体" w:hAnsi="宋体" w:eastAsia="宋体"/>
                <w:color w:val="auto"/>
                <w:sz w:val="15"/>
                <w:szCs w:val="15"/>
                <w:highlight w:val="none"/>
              </w:rPr>
              <w:t>0</w:t>
            </w:r>
          </w:p>
          <w:p w14:paraId="4DF6D87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14:paraId="305A6FF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14F35ABE">
            <w:pPr>
              <w:widowControl w:val="0"/>
              <w:numPr>
                <w:ilvl w:val="0"/>
                <w:numId w:val="0"/>
              </w:numPr>
              <w:jc w:val="both"/>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污染道路长21－30米的，系数1；31－40米的，系数2；41-50米的，系数3；51-60米的，系数4；61-70米的，系数5；以此类推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default"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7B12447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w:t>
            </w:r>
            <w:r>
              <w:rPr>
                <w:rFonts w:ascii="宋体" w:hAnsi="宋体" w:eastAsia="宋体"/>
                <w:color w:val="auto"/>
                <w:sz w:val="15"/>
                <w:szCs w:val="15"/>
                <w:highlight w:val="none"/>
              </w:rPr>
              <w:t>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283398D3">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区域台账与《基准表》情节系数中丢弃、遗撒点位重叠时，不适用区域台账。</w:t>
            </w:r>
          </w:p>
        </w:tc>
        <w:tc>
          <w:tcPr>
            <w:tcW w:w="1304" w:type="dxa"/>
            <w:gridSpan w:val="2"/>
            <w:vMerge w:val="restart"/>
            <w:noWrap w:val="0"/>
            <w:vAlign w:val="center"/>
          </w:tcPr>
          <w:p w14:paraId="1689716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6645FE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6FF822FB">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C4600500</w:t>
            </w:r>
          </w:p>
        </w:tc>
      </w:tr>
      <w:tr w14:paraId="55B8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09" w:hRule="atLeast"/>
        </w:trPr>
        <w:tc>
          <w:tcPr>
            <w:tcW w:w="714" w:type="dxa"/>
            <w:vMerge w:val="continue"/>
            <w:noWrap w:val="0"/>
            <w:vAlign w:val="center"/>
          </w:tcPr>
          <w:p w14:paraId="79678D2B">
            <w:pPr>
              <w:spacing w:line="232" w:lineRule="exact"/>
              <w:jc w:val="center"/>
              <w:rPr>
                <w:rFonts w:ascii="宋体" w:hAnsi="宋体" w:eastAsia="宋体" w:cs="宋体"/>
                <w:color w:val="auto"/>
                <w:sz w:val="15"/>
                <w:szCs w:val="15"/>
                <w:highlight w:val="none"/>
              </w:rPr>
            </w:pPr>
          </w:p>
        </w:tc>
        <w:tc>
          <w:tcPr>
            <w:tcW w:w="1626" w:type="dxa"/>
            <w:gridSpan w:val="2"/>
            <w:vMerge w:val="continue"/>
            <w:noWrap w:val="0"/>
            <w:vAlign w:val="center"/>
          </w:tcPr>
          <w:p w14:paraId="475F3919">
            <w:pPr>
              <w:spacing w:line="232" w:lineRule="exact"/>
              <w:rPr>
                <w:rFonts w:ascii="宋体" w:hAnsi="宋体" w:eastAsia="宋体" w:cs="宋体"/>
                <w:color w:val="auto"/>
                <w:sz w:val="15"/>
                <w:szCs w:val="15"/>
                <w:highlight w:val="none"/>
              </w:rPr>
            </w:pPr>
          </w:p>
        </w:tc>
        <w:tc>
          <w:tcPr>
            <w:tcW w:w="2981" w:type="dxa"/>
            <w:vMerge w:val="continue"/>
            <w:noWrap w:val="0"/>
            <w:vAlign w:val="center"/>
          </w:tcPr>
          <w:p w14:paraId="54222412">
            <w:pPr>
              <w:spacing w:line="232" w:lineRule="exact"/>
              <w:jc w:val="center"/>
              <w:rPr>
                <w:rFonts w:ascii="宋体" w:hAnsi="宋体" w:eastAsia="宋体" w:cs="宋体"/>
                <w:color w:val="auto"/>
                <w:sz w:val="15"/>
                <w:szCs w:val="15"/>
                <w:highlight w:val="none"/>
              </w:rPr>
            </w:pPr>
          </w:p>
        </w:tc>
        <w:tc>
          <w:tcPr>
            <w:tcW w:w="851" w:type="dxa"/>
            <w:noWrap w:val="0"/>
            <w:vAlign w:val="center"/>
          </w:tcPr>
          <w:p w14:paraId="6A30826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w:t>
            </w:r>
          </w:p>
          <w:p w14:paraId="1599490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14:paraId="58B76FF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3B02D2C0">
            <w:pPr>
              <w:numPr>
                <w:ilvl w:val="0"/>
                <w:numId w:val="0"/>
              </w:numPr>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w:t>
            </w:r>
            <w:r>
              <w:rPr>
                <w:rFonts w:hint="eastAsia" w:ascii="宋体" w:hAnsi="宋体" w:eastAsia="宋体"/>
                <w:color w:val="auto"/>
                <w:sz w:val="15"/>
                <w:szCs w:val="15"/>
                <w:highlight w:val="none"/>
                <w:lang w:eastAsia="zh-CN"/>
              </w:rPr>
              <w:t>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eastAsia" w:ascii="宋体" w:hAnsi="宋体" w:eastAsia="宋体"/>
                <w:color w:val="auto"/>
                <w:sz w:val="15"/>
                <w:szCs w:val="15"/>
                <w:highlight w:val="none"/>
                <w:lang w:val="en-US" w:eastAsia="zh-CN"/>
              </w:rPr>
              <w:t>2-4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795A7BF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0FACB848">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区域台账与《基准表》情节系数中丢弃、遗撒点位重叠时，不适用区域台账。</w:t>
            </w:r>
          </w:p>
        </w:tc>
        <w:tc>
          <w:tcPr>
            <w:tcW w:w="1304" w:type="dxa"/>
            <w:gridSpan w:val="2"/>
            <w:vMerge w:val="continue"/>
            <w:noWrap w:val="0"/>
            <w:vAlign w:val="center"/>
          </w:tcPr>
          <w:p w14:paraId="17CD656A">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14:paraId="2391530F">
            <w:pPr>
              <w:spacing w:line="232" w:lineRule="exact"/>
              <w:jc w:val="center"/>
              <w:rPr>
                <w:rFonts w:hint="eastAsia" w:ascii="宋体" w:hAnsi="宋体" w:eastAsia="宋体"/>
                <w:color w:val="auto"/>
                <w:sz w:val="15"/>
                <w:szCs w:val="15"/>
                <w:highlight w:val="none"/>
                <w:lang w:eastAsia="zh"/>
              </w:rPr>
            </w:pPr>
          </w:p>
        </w:tc>
      </w:tr>
      <w:tr w14:paraId="20BF8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15" w:hRule="atLeast"/>
        </w:trPr>
        <w:tc>
          <w:tcPr>
            <w:tcW w:w="14587" w:type="dxa"/>
            <w:gridSpan w:val="13"/>
            <w:noWrap w:val="0"/>
            <w:vAlign w:val="center"/>
          </w:tcPr>
          <w:p w14:paraId="5E0F5510">
            <w:pPr>
              <w:pStyle w:val="3"/>
              <w:widowControl w:val="0"/>
              <w:spacing w:line="232" w:lineRule="exact"/>
              <w:jc w:val="center"/>
              <w:rPr>
                <w:rFonts w:ascii="宋体" w:hAnsi="宋体" w:eastAsia="宋体"/>
                <w:color w:val="auto"/>
                <w:sz w:val="15"/>
                <w:szCs w:val="15"/>
                <w:highlight w:val="none"/>
              </w:rPr>
            </w:pPr>
            <w:bookmarkStart w:id="19" w:name="_Toc758126680"/>
            <w:bookmarkStart w:id="20" w:name="_Toc110851442"/>
            <w:bookmarkStart w:id="21" w:name="_Toc1567388814"/>
            <w:r>
              <w:rPr>
                <w:rFonts w:hint="eastAsia" w:ascii="宋体" w:hAnsi="宋体" w:eastAsia="宋体"/>
                <w:color w:val="auto"/>
                <w:sz w:val="21"/>
                <w:szCs w:val="21"/>
                <w:highlight w:val="none"/>
              </w:rPr>
              <w:t>《北京市人民政府关于扫雪铲冰管理的规定》案由1项</w:t>
            </w:r>
            <w:bookmarkEnd w:id="19"/>
            <w:bookmarkEnd w:id="20"/>
            <w:bookmarkEnd w:id="21"/>
          </w:p>
        </w:tc>
        <w:tc>
          <w:tcPr>
            <w:tcW w:w="1869" w:type="dxa"/>
            <w:noWrap w:val="0"/>
            <w:vAlign w:val="center"/>
          </w:tcPr>
          <w:p w14:paraId="46C2730B">
            <w:pPr>
              <w:pStyle w:val="3"/>
              <w:widowControl w:val="0"/>
              <w:spacing w:line="232" w:lineRule="exact"/>
              <w:jc w:val="center"/>
              <w:rPr>
                <w:rFonts w:hint="eastAsia" w:ascii="宋体" w:hAnsi="宋体" w:eastAsia="宋体"/>
                <w:color w:val="auto"/>
                <w:sz w:val="21"/>
                <w:szCs w:val="21"/>
                <w:highlight w:val="none"/>
              </w:rPr>
            </w:pPr>
          </w:p>
        </w:tc>
      </w:tr>
      <w:tr w14:paraId="0D8A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60" w:hRule="atLeast"/>
        </w:trPr>
        <w:tc>
          <w:tcPr>
            <w:tcW w:w="714" w:type="dxa"/>
            <w:noWrap w:val="0"/>
            <w:vAlign w:val="center"/>
          </w:tcPr>
          <w:p w14:paraId="6554652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18BC909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未按规定扫雪铲冰</w:t>
            </w:r>
          </w:p>
        </w:tc>
        <w:tc>
          <w:tcPr>
            <w:tcW w:w="2981" w:type="dxa"/>
            <w:noWrap w:val="0"/>
            <w:vAlign w:val="center"/>
          </w:tcPr>
          <w:p w14:paraId="683AC2E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违反条款：第三条第一款、第二款；处罚条款：第六条，责令改正，并处200元以上1000元以下罚款。</w:t>
            </w:r>
          </w:p>
        </w:tc>
        <w:tc>
          <w:tcPr>
            <w:tcW w:w="851" w:type="dxa"/>
            <w:noWrap w:val="0"/>
            <w:vAlign w:val="center"/>
          </w:tcPr>
          <w:p w14:paraId="7DE69EE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w:t>
            </w:r>
          </w:p>
        </w:tc>
        <w:tc>
          <w:tcPr>
            <w:tcW w:w="840" w:type="dxa"/>
            <w:noWrap w:val="0"/>
            <w:vAlign w:val="center"/>
          </w:tcPr>
          <w:p w14:paraId="6E696B9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6C610CCB">
            <w:pPr>
              <w:spacing w:line="232" w:lineRule="exact"/>
              <w:rPr>
                <w:rFonts w:ascii="宋体" w:hAnsi="宋体" w:eastAsia="宋体"/>
                <w:color w:val="auto"/>
                <w:sz w:val="15"/>
                <w:szCs w:val="15"/>
                <w:highlight w:val="none"/>
              </w:rPr>
            </w:pP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6C808DA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3102AB4A">
            <w:pPr>
              <w:spacing w:line="232" w:lineRule="exact"/>
              <w:rPr>
                <w:rFonts w:ascii="宋体" w:hAnsi="宋体" w:eastAsia="宋体"/>
                <w:color w:val="auto"/>
                <w:sz w:val="15"/>
                <w:szCs w:val="15"/>
                <w:highlight w:val="none"/>
              </w:rPr>
            </w:pPr>
          </w:p>
        </w:tc>
        <w:tc>
          <w:tcPr>
            <w:tcW w:w="1304" w:type="dxa"/>
            <w:gridSpan w:val="2"/>
            <w:noWrap w:val="0"/>
            <w:vAlign w:val="center"/>
          </w:tcPr>
          <w:p w14:paraId="2542774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8DF895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C6A6BF9">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C4611400</w:t>
            </w:r>
          </w:p>
        </w:tc>
      </w:tr>
      <w:tr w14:paraId="6502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79" w:hRule="atLeast"/>
        </w:trPr>
        <w:tc>
          <w:tcPr>
            <w:tcW w:w="14587" w:type="dxa"/>
            <w:gridSpan w:val="13"/>
            <w:noWrap w:val="0"/>
            <w:vAlign w:val="center"/>
          </w:tcPr>
          <w:p w14:paraId="2DE946E9">
            <w:pPr>
              <w:pStyle w:val="3"/>
              <w:widowControl w:val="0"/>
              <w:spacing w:line="232" w:lineRule="exact"/>
              <w:jc w:val="center"/>
              <w:rPr>
                <w:rFonts w:ascii="宋体" w:hAnsi="宋体" w:eastAsia="宋体"/>
                <w:color w:val="auto"/>
                <w:sz w:val="15"/>
                <w:szCs w:val="15"/>
                <w:highlight w:val="none"/>
              </w:rPr>
            </w:pPr>
            <w:bookmarkStart w:id="22" w:name="_Toc110851443"/>
            <w:bookmarkStart w:id="23" w:name="_Toc764526123"/>
            <w:bookmarkStart w:id="24" w:name="_Toc577705582"/>
            <w:r>
              <w:rPr>
                <w:rFonts w:hint="eastAsia" w:ascii="宋体" w:hAnsi="宋体" w:eastAsia="宋体"/>
                <w:color w:val="auto"/>
                <w:sz w:val="21"/>
                <w:szCs w:val="21"/>
                <w:highlight w:val="none"/>
              </w:rPr>
              <w:t>《北京市户外广告设施、牌匾标识和标语宣传品设置管理条例》案由14项</w:t>
            </w:r>
            <w:bookmarkEnd w:id="22"/>
            <w:bookmarkEnd w:id="23"/>
            <w:bookmarkEnd w:id="24"/>
          </w:p>
        </w:tc>
        <w:tc>
          <w:tcPr>
            <w:tcW w:w="1869" w:type="dxa"/>
            <w:noWrap w:val="0"/>
            <w:vAlign w:val="center"/>
          </w:tcPr>
          <w:p w14:paraId="30AED4D2">
            <w:pPr>
              <w:pStyle w:val="3"/>
              <w:widowControl w:val="0"/>
              <w:spacing w:line="232" w:lineRule="exact"/>
              <w:jc w:val="center"/>
              <w:rPr>
                <w:rFonts w:hint="eastAsia" w:ascii="宋体" w:hAnsi="宋体" w:eastAsia="宋体"/>
                <w:color w:val="auto"/>
                <w:sz w:val="21"/>
                <w:szCs w:val="21"/>
                <w:highlight w:val="none"/>
              </w:rPr>
            </w:pPr>
          </w:p>
        </w:tc>
      </w:tr>
      <w:tr w14:paraId="58D2E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311" w:hRule="atLeast"/>
        </w:trPr>
        <w:tc>
          <w:tcPr>
            <w:tcW w:w="714" w:type="dxa"/>
            <w:noWrap w:val="0"/>
            <w:vAlign w:val="center"/>
          </w:tcPr>
          <w:p w14:paraId="64E0A0C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358755E5">
            <w:pPr>
              <w:spacing w:line="232" w:lineRule="exact"/>
              <w:rPr>
                <w:rFonts w:ascii="宋体" w:hAnsi="宋体" w:eastAsia="宋体" w:cs="宋体"/>
                <w:color w:val="auto"/>
                <w:kern w:val="0"/>
                <w:sz w:val="15"/>
                <w:szCs w:val="15"/>
                <w:highlight w:val="none"/>
              </w:rPr>
            </w:pPr>
            <w:r>
              <w:rPr>
                <w:rFonts w:hint="eastAsia" w:ascii="宋体" w:hAnsi="宋体" w:eastAsia="宋体"/>
                <w:snapToGrid w:val="0"/>
                <w:color w:val="auto"/>
                <w:kern w:val="32"/>
                <w:sz w:val="15"/>
                <w:szCs w:val="15"/>
                <w:highlight w:val="none"/>
              </w:rPr>
              <w:t>违法设置户外广告设施</w:t>
            </w:r>
          </w:p>
        </w:tc>
        <w:tc>
          <w:tcPr>
            <w:tcW w:w="2981" w:type="dxa"/>
            <w:noWrap w:val="0"/>
            <w:vAlign w:val="center"/>
          </w:tcPr>
          <w:p w14:paraId="3DCF7FEE">
            <w:pPr>
              <w:spacing w:line="232" w:lineRule="exact"/>
              <w:rPr>
                <w:rFonts w:ascii="宋体" w:hAnsi="宋体" w:eastAsia="宋体"/>
                <w:snapToGrid w:val="0"/>
                <w:color w:val="auto"/>
                <w:kern w:val="32"/>
                <w:sz w:val="15"/>
                <w:szCs w:val="15"/>
                <w:highlight w:val="none"/>
              </w:rPr>
            </w:pPr>
            <w:r>
              <w:rPr>
                <w:rFonts w:hint="eastAsia" w:ascii="宋体" w:hAnsi="宋体" w:eastAsia="宋体"/>
                <w:color w:val="auto"/>
                <w:sz w:val="15"/>
                <w:szCs w:val="15"/>
                <w:highlight w:val="none"/>
              </w:rPr>
              <w:t>违反条款：第十五条；第十六条第一款；第十七条；第十八条第三款；第二十四条；第二十五条；</w:t>
            </w:r>
            <w:r>
              <w:rPr>
                <w:rFonts w:hint="eastAsia" w:ascii="宋体" w:hAnsi="宋体" w:eastAsia="宋体"/>
                <w:snapToGrid w:val="0"/>
                <w:color w:val="auto"/>
                <w:kern w:val="32"/>
                <w:sz w:val="15"/>
                <w:szCs w:val="15"/>
                <w:highlight w:val="none"/>
              </w:rPr>
              <w:t>（根据发生违法行为选择适用）</w:t>
            </w:r>
          </w:p>
          <w:p w14:paraId="4D10644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noWrap w:val="0"/>
            <w:vAlign w:val="center"/>
          </w:tcPr>
          <w:p w14:paraId="1F3D8B36">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023B2C58">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AC9712F">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olor w:val="auto"/>
                <w:sz w:val="15"/>
                <w:szCs w:val="15"/>
                <w:highlight w:val="none"/>
              </w:rPr>
              <w:t>.违法设置大型户外广告设施的，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p>
          <w:p w14:paraId="4DA42543">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3.违法设置2处</w:t>
            </w:r>
            <w:r>
              <w:rPr>
                <w:rFonts w:hint="eastAsia" w:ascii="宋体" w:hAnsi="宋体" w:eastAsia="宋体"/>
                <w:color w:val="auto"/>
                <w:sz w:val="15"/>
                <w:szCs w:val="15"/>
                <w:highlight w:val="none"/>
                <w:lang w:eastAsia="zh-CN"/>
              </w:rPr>
              <w:t>户外广告设施</w:t>
            </w:r>
            <w:r>
              <w:rPr>
                <w:rFonts w:hint="eastAsia" w:ascii="宋体" w:hAnsi="宋体" w:eastAsia="宋体"/>
                <w:color w:val="auto"/>
                <w:sz w:val="15"/>
                <w:szCs w:val="15"/>
                <w:highlight w:val="none"/>
              </w:rPr>
              <w:t>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2D46D70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　</w:t>
            </w:r>
          </w:p>
        </w:tc>
        <w:tc>
          <w:tcPr>
            <w:tcW w:w="2020" w:type="dxa"/>
            <w:gridSpan w:val="2"/>
            <w:noWrap w:val="0"/>
            <w:vAlign w:val="center"/>
          </w:tcPr>
          <w:p w14:paraId="7E346B07">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14:paraId="7DDCE99F">
            <w:pPr>
              <w:spacing w:line="232" w:lineRule="exact"/>
              <w:rPr>
                <w:rFonts w:hint="eastAsia" w:ascii="宋体" w:hAnsi="宋体" w:eastAsia="宋体"/>
                <w:strike/>
                <w:dstrike w:val="0"/>
                <w:color w:val="auto"/>
                <w:sz w:val="15"/>
                <w:szCs w:val="15"/>
                <w:highlight w:val="none"/>
              </w:rPr>
            </w:pPr>
          </w:p>
        </w:tc>
        <w:tc>
          <w:tcPr>
            <w:tcW w:w="1304" w:type="dxa"/>
            <w:gridSpan w:val="2"/>
            <w:noWrap w:val="0"/>
            <w:vAlign w:val="center"/>
          </w:tcPr>
          <w:p w14:paraId="76DC427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7035FA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5FC0C70">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C4602100</w:t>
            </w:r>
          </w:p>
        </w:tc>
      </w:tr>
      <w:tr w14:paraId="395A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28" w:hRule="atLeast"/>
        </w:trPr>
        <w:tc>
          <w:tcPr>
            <w:tcW w:w="714" w:type="dxa"/>
            <w:noWrap w:val="0"/>
            <w:vAlign w:val="center"/>
          </w:tcPr>
          <w:p w14:paraId="3BC3301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14:paraId="137098DB">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为违法设置的户外广告设施提供载体</w:t>
            </w:r>
          </w:p>
        </w:tc>
        <w:tc>
          <w:tcPr>
            <w:tcW w:w="2981" w:type="dxa"/>
            <w:noWrap w:val="0"/>
            <w:vAlign w:val="center"/>
          </w:tcPr>
          <w:p w14:paraId="3769479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w:t>
            </w:r>
            <w:r>
              <w:rPr>
                <w:rFonts w:ascii="宋体" w:hAnsi="宋体" w:eastAsia="宋体"/>
                <w:color w:val="auto"/>
                <w:sz w:val="15"/>
                <w:szCs w:val="15"/>
                <w:highlight w:val="none"/>
              </w:rPr>
              <w:t>十八条第二款</w:t>
            </w:r>
            <w:r>
              <w:rPr>
                <w:rFonts w:hint="eastAsia" w:ascii="宋体" w:hAnsi="宋体" w:eastAsia="宋体"/>
                <w:color w:val="auto"/>
                <w:sz w:val="15"/>
                <w:szCs w:val="15"/>
                <w:highlight w:val="none"/>
              </w:rPr>
              <w:t>；</w:t>
            </w:r>
          </w:p>
          <w:p w14:paraId="0BC5CD8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第四十九条第二款，</w:t>
            </w:r>
            <w:r>
              <w:rPr>
                <w:rFonts w:hint="eastAsia" w:ascii="宋体" w:hAnsi="宋体" w:eastAsia="宋体"/>
                <w:color w:val="auto"/>
                <w:sz w:val="15"/>
                <w:szCs w:val="15"/>
                <w:highlight w:val="none"/>
              </w:rPr>
              <w:t>责令限期改正；逾期不改正的，处一万元以上十万元以下罚款。</w:t>
            </w:r>
          </w:p>
        </w:tc>
        <w:tc>
          <w:tcPr>
            <w:tcW w:w="851" w:type="dxa"/>
            <w:noWrap w:val="0"/>
            <w:vAlign w:val="center"/>
          </w:tcPr>
          <w:p w14:paraId="13B53D8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3082EAA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7E9DA0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1.违法设置大型户外广告设施的，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2；2.违法设置距地十米以上的户外广告设施的，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14:paraId="677BE85F">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3.为2处违法设置户外广告设施提供载体的，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5020F0E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4BD888AD">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14:paraId="1071409D">
            <w:pPr>
              <w:spacing w:line="232" w:lineRule="exact"/>
              <w:rPr>
                <w:rFonts w:ascii="宋体" w:hAnsi="宋体" w:eastAsia="宋体"/>
                <w:color w:val="auto"/>
                <w:sz w:val="15"/>
                <w:szCs w:val="15"/>
                <w:highlight w:val="none"/>
              </w:rPr>
            </w:pPr>
          </w:p>
        </w:tc>
        <w:tc>
          <w:tcPr>
            <w:tcW w:w="1304" w:type="dxa"/>
            <w:gridSpan w:val="2"/>
            <w:noWrap w:val="0"/>
            <w:vAlign w:val="center"/>
          </w:tcPr>
          <w:p w14:paraId="6FD6732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D6DF81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78CA21B">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C4651300</w:t>
            </w:r>
          </w:p>
        </w:tc>
      </w:tr>
      <w:tr w14:paraId="7A29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951" w:hRule="atLeast"/>
        </w:trPr>
        <w:tc>
          <w:tcPr>
            <w:tcW w:w="714" w:type="dxa"/>
            <w:noWrap w:val="0"/>
            <w:vAlign w:val="center"/>
          </w:tcPr>
          <w:p w14:paraId="347774D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14:paraId="3A5D7EC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违法设置固定式牌匾标识</w:t>
            </w:r>
          </w:p>
          <w:p w14:paraId="55E28E17">
            <w:pPr>
              <w:spacing w:line="232" w:lineRule="exact"/>
              <w:rPr>
                <w:rFonts w:ascii="宋体" w:hAnsi="宋体" w:eastAsia="宋体" w:cs="宋体"/>
                <w:color w:val="auto"/>
                <w:kern w:val="0"/>
                <w:sz w:val="15"/>
                <w:szCs w:val="15"/>
                <w:highlight w:val="none"/>
              </w:rPr>
            </w:pPr>
          </w:p>
        </w:tc>
        <w:tc>
          <w:tcPr>
            <w:tcW w:w="2981" w:type="dxa"/>
            <w:noWrap w:val="0"/>
            <w:vAlign w:val="center"/>
          </w:tcPr>
          <w:p w14:paraId="40D7A3DC">
            <w:pPr>
              <w:spacing w:line="232" w:lineRule="exact"/>
              <w:rPr>
                <w:rFonts w:ascii="宋体" w:hAnsi="宋体" w:eastAsia="宋体"/>
                <w:snapToGrid w:val="0"/>
                <w:color w:val="auto"/>
                <w:kern w:val="32"/>
                <w:sz w:val="15"/>
                <w:szCs w:val="15"/>
                <w:highlight w:val="none"/>
              </w:rPr>
            </w:pPr>
            <w:r>
              <w:rPr>
                <w:rFonts w:hint="eastAsia" w:ascii="宋体" w:hAnsi="宋体" w:eastAsia="宋体"/>
                <w:color w:val="auto"/>
                <w:sz w:val="15"/>
                <w:szCs w:val="15"/>
                <w:highlight w:val="none"/>
              </w:rPr>
              <w:t>违反条款：第三十条；第三十一条；第三十五条第二款；</w:t>
            </w:r>
            <w:r>
              <w:rPr>
                <w:rFonts w:hint="eastAsia" w:ascii="宋体" w:hAnsi="宋体" w:eastAsia="宋体"/>
                <w:snapToGrid w:val="0"/>
                <w:color w:val="auto"/>
                <w:kern w:val="32"/>
                <w:sz w:val="15"/>
                <w:szCs w:val="15"/>
                <w:highlight w:val="none"/>
              </w:rPr>
              <w:t>（根据发生违法行为选择适用）</w:t>
            </w:r>
          </w:p>
          <w:p w14:paraId="2F080B1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noWrap w:val="0"/>
            <w:vAlign w:val="center"/>
          </w:tcPr>
          <w:p w14:paraId="4E26DFD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13F64A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E114CE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1.违法设置大型固定式牌匾标识的，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2；2.违法设置距地十米以上的固定式牌匾标识的，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2；3.违法设置2处牌匾标识的，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387B1E0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2987689C">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ascii="宋体" w:hAnsi="宋体" w:eastAsia="宋体" w:cs="Times New Roman"/>
                <w:color w:val="auto"/>
                <w:kern w:val="2"/>
                <w:sz w:val="15"/>
                <w:szCs w:val="15"/>
                <w:highlight w:val="none"/>
                <w:lang w:val="en-US" w:eastAsia="zh-CN" w:bidi="ar-SA"/>
              </w:rPr>
              <w:t>大型固定式牌匾标识，是指任意边长大于等于四米，或者面积大于等于十平方米的牌匾标识。</w:t>
            </w:r>
          </w:p>
          <w:p w14:paraId="13E9A228">
            <w:pPr>
              <w:spacing w:line="232" w:lineRule="exact"/>
              <w:rPr>
                <w:rFonts w:ascii="宋体" w:hAnsi="宋体" w:eastAsia="宋体"/>
                <w:color w:val="auto"/>
                <w:sz w:val="15"/>
                <w:szCs w:val="15"/>
                <w:highlight w:val="none"/>
              </w:rPr>
            </w:pPr>
          </w:p>
        </w:tc>
        <w:tc>
          <w:tcPr>
            <w:tcW w:w="1304" w:type="dxa"/>
            <w:gridSpan w:val="2"/>
            <w:noWrap w:val="0"/>
            <w:vAlign w:val="center"/>
          </w:tcPr>
          <w:p w14:paraId="3916F77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CFD4C5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D2D92FF">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C4602500</w:t>
            </w:r>
          </w:p>
        </w:tc>
      </w:tr>
      <w:tr w14:paraId="4EA8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5C25894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14:paraId="74A79071">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电子显示装置不符合设置规范（或者运行时间要求）</w:t>
            </w:r>
          </w:p>
        </w:tc>
        <w:tc>
          <w:tcPr>
            <w:tcW w:w="2981" w:type="dxa"/>
            <w:noWrap w:val="0"/>
            <w:vAlign w:val="center"/>
          </w:tcPr>
          <w:p w14:paraId="5D00619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w:t>
            </w:r>
          </w:p>
          <w:p w14:paraId="6643530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处罚条款：第五十条，责令限期改正；逾期不改正的，处一千元以上一万元以下罚款。</w:t>
            </w:r>
          </w:p>
        </w:tc>
        <w:tc>
          <w:tcPr>
            <w:tcW w:w="851" w:type="dxa"/>
            <w:noWrap w:val="0"/>
            <w:vAlign w:val="center"/>
          </w:tcPr>
          <w:p w14:paraId="1225CE6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279469C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34C035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1.大型电子显示装置，</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p>
          <w:p w14:paraId="75488D9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2.距地十米以上的电子显示装置，</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64E53E7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30E06989">
            <w:pPr>
              <w:spacing w:line="232" w:lineRule="exact"/>
              <w:rPr>
                <w:rFonts w:hint="eastAsia" w:ascii="宋体" w:hAnsi="宋体" w:eastAsia="宋体"/>
                <w:color w:val="auto"/>
                <w:sz w:val="15"/>
                <w:szCs w:val="15"/>
                <w:highlight w:val="none"/>
                <w:lang w:eastAsia="zh-CN"/>
              </w:rPr>
            </w:pPr>
          </w:p>
        </w:tc>
        <w:tc>
          <w:tcPr>
            <w:tcW w:w="1304" w:type="dxa"/>
            <w:gridSpan w:val="2"/>
            <w:noWrap w:val="0"/>
            <w:vAlign w:val="center"/>
          </w:tcPr>
          <w:p w14:paraId="10622C2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3B42AC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4909A6A">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C4650900</w:t>
            </w:r>
          </w:p>
        </w:tc>
      </w:tr>
      <w:tr w14:paraId="35B3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48" w:hRule="atLeast"/>
        </w:trPr>
        <w:tc>
          <w:tcPr>
            <w:tcW w:w="714" w:type="dxa"/>
            <w:noWrap w:val="0"/>
            <w:vAlign w:val="center"/>
          </w:tcPr>
          <w:p w14:paraId="00A3A62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14:paraId="5A22C4BB">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未按照公共汽电车车身户外广告设置方案设置户外广告</w:t>
            </w:r>
          </w:p>
        </w:tc>
        <w:tc>
          <w:tcPr>
            <w:tcW w:w="2981" w:type="dxa"/>
            <w:noWrap w:val="0"/>
            <w:vAlign w:val="center"/>
          </w:tcPr>
          <w:p w14:paraId="016147B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违反条款：第二十六条第一款；</w:t>
            </w:r>
          </w:p>
          <w:p w14:paraId="060B457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处罚条款：第五十一条，责令限期改正；逾期不改正的，按照每辆车五千元处以罚款。</w:t>
            </w:r>
          </w:p>
        </w:tc>
        <w:tc>
          <w:tcPr>
            <w:tcW w:w="851" w:type="dxa"/>
            <w:noWrap w:val="0"/>
            <w:vAlign w:val="center"/>
          </w:tcPr>
          <w:p w14:paraId="4AD0880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11C7DA42">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3D44487F">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14:paraId="127B4725">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罚款数额＝5000×N（N为车辆数）</w:t>
            </w:r>
          </w:p>
        </w:tc>
        <w:tc>
          <w:tcPr>
            <w:tcW w:w="2020" w:type="dxa"/>
            <w:gridSpan w:val="2"/>
            <w:noWrap w:val="0"/>
            <w:vAlign w:val="center"/>
          </w:tcPr>
          <w:p w14:paraId="383A9B03">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1A664B8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583DFBD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142EAE8F">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C4651000</w:t>
            </w:r>
          </w:p>
        </w:tc>
      </w:tr>
      <w:tr w14:paraId="102FC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80" w:hRule="atLeast"/>
        </w:trPr>
        <w:tc>
          <w:tcPr>
            <w:tcW w:w="714" w:type="dxa"/>
            <w:noWrap w:val="0"/>
            <w:vAlign w:val="center"/>
          </w:tcPr>
          <w:p w14:paraId="5D9DF5F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14:paraId="59D59705">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在非公共汽电车车身上设置广告</w:t>
            </w:r>
          </w:p>
        </w:tc>
        <w:tc>
          <w:tcPr>
            <w:tcW w:w="2981" w:type="dxa"/>
            <w:noWrap w:val="0"/>
            <w:vAlign w:val="center"/>
          </w:tcPr>
          <w:p w14:paraId="56E9F29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违反条款：第二十六条第二款。</w:t>
            </w:r>
          </w:p>
          <w:p w14:paraId="66A939C0">
            <w:pPr>
              <w:spacing w:line="232" w:lineRule="exact"/>
              <w:rPr>
                <w:rFonts w:ascii="宋体" w:hAnsi="宋体" w:eastAsia="宋体"/>
                <w:color w:val="auto"/>
                <w:spacing w:val="-6"/>
                <w:sz w:val="15"/>
                <w:szCs w:val="15"/>
                <w:highlight w:val="none"/>
              </w:rPr>
            </w:pPr>
            <w:r>
              <w:rPr>
                <w:rFonts w:hint="eastAsia" w:ascii="宋体" w:hAnsi="宋体" w:eastAsia="宋体"/>
                <w:color w:val="auto"/>
                <w:spacing w:val="-6"/>
                <w:sz w:val="15"/>
                <w:szCs w:val="15"/>
                <w:highlight w:val="none"/>
              </w:rPr>
              <w:t>处罚条款：第五十一条，责令限期改正；逾期不改正的，按照每辆车五千元处以罚款。</w:t>
            </w:r>
          </w:p>
        </w:tc>
        <w:tc>
          <w:tcPr>
            <w:tcW w:w="851" w:type="dxa"/>
            <w:noWrap w:val="0"/>
            <w:vAlign w:val="center"/>
          </w:tcPr>
          <w:p w14:paraId="46019E6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50AA73EB">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526BF8BF">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14:paraId="2FB68461">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罚款数额＝5000×N（N为车辆数）</w:t>
            </w:r>
          </w:p>
        </w:tc>
        <w:tc>
          <w:tcPr>
            <w:tcW w:w="2020" w:type="dxa"/>
            <w:gridSpan w:val="2"/>
            <w:noWrap w:val="0"/>
            <w:vAlign w:val="center"/>
          </w:tcPr>
          <w:p w14:paraId="5FC10EA6">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0980267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189318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07F82D0E">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C4651000</w:t>
            </w:r>
          </w:p>
        </w:tc>
      </w:tr>
      <w:tr w14:paraId="39E39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11" w:hRule="atLeast"/>
        </w:trPr>
        <w:tc>
          <w:tcPr>
            <w:tcW w:w="714" w:type="dxa"/>
            <w:noWrap w:val="0"/>
            <w:vAlign w:val="center"/>
          </w:tcPr>
          <w:p w14:paraId="59B5B5D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14:paraId="2F1EF5E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公交候车亭户外广告设施不符合设置方案</w:t>
            </w:r>
          </w:p>
          <w:p w14:paraId="60AF500C">
            <w:pPr>
              <w:spacing w:line="232" w:lineRule="exact"/>
              <w:rPr>
                <w:rFonts w:ascii="宋体" w:hAnsi="宋体" w:eastAsia="宋体" w:cs="宋体"/>
                <w:color w:val="auto"/>
                <w:kern w:val="0"/>
                <w:sz w:val="15"/>
                <w:szCs w:val="15"/>
                <w:highlight w:val="none"/>
              </w:rPr>
            </w:pPr>
          </w:p>
        </w:tc>
        <w:tc>
          <w:tcPr>
            <w:tcW w:w="2981" w:type="dxa"/>
            <w:noWrap w:val="0"/>
            <w:vAlign w:val="center"/>
          </w:tcPr>
          <w:p w14:paraId="18F52B6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违反条款：第二十七条第二款。</w:t>
            </w:r>
          </w:p>
          <w:p w14:paraId="15A484E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处罚条款：第五十二条，责令限期改正；逾期不改正的，按照每个公交候车亭五千元处以罚款。</w:t>
            </w:r>
          </w:p>
        </w:tc>
        <w:tc>
          <w:tcPr>
            <w:tcW w:w="851" w:type="dxa"/>
            <w:noWrap w:val="0"/>
            <w:vAlign w:val="center"/>
          </w:tcPr>
          <w:p w14:paraId="51B9F00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44F77DD7">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418567D6">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14:paraId="5F4FCB6C">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罚款数额＝5000×N（N为公交候车亭数）</w:t>
            </w:r>
          </w:p>
        </w:tc>
        <w:tc>
          <w:tcPr>
            <w:tcW w:w="2020" w:type="dxa"/>
            <w:gridSpan w:val="2"/>
            <w:noWrap w:val="0"/>
            <w:vAlign w:val="center"/>
          </w:tcPr>
          <w:p w14:paraId="6ABE78CB">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28A2904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318487C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72D5D002">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C4650700</w:t>
            </w:r>
          </w:p>
        </w:tc>
      </w:tr>
      <w:tr w14:paraId="36201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15" w:hRule="atLeast"/>
        </w:trPr>
        <w:tc>
          <w:tcPr>
            <w:tcW w:w="714" w:type="dxa"/>
            <w:noWrap w:val="0"/>
            <w:vAlign w:val="center"/>
          </w:tcPr>
          <w:p w14:paraId="32CF18C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14:paraId="53243391">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设置的车身标识不符合要求</w:t>
            </w:r>
          </w:p>
        </w:tc>
        <w:tc>
          <w:tcPr>
            <w:tcW w:w="2981" w:type="dxa"/>
            <w:noWrap w:val="0"/>
            <w:vAlign w:val="center"/>
          </w:tcPr>
          <w:p w14:paraId="40C3FDC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w:t>
            </w:r>
          </w:p>
          <w:p w14:paraId="5FDB5B9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处罚条款：第五十三条，责令限期改正；逾期不改正的，按照每辆车二千元处以罚款。</w:t>
            </w:r>
          </w:p>
        </w:tc>
        <w:tc>
          <w:tcPr>
            <w:tcW w:w="851" w:type="dxa"/>
            <w:noWrap w:val="0"/>
            <w:vAlign w:val="center"/>
          </w:tcPr>
          <w:p w14:paraId="00A4A69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6CBD075C">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595ECC55">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14:paraId="558549BD">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罚款数额＝2000×N（N为车辆数）</w:t>
            </w:r>
          </w:p>
        </w:tc>
        <w:tc>
          <w:tcPr>
            <w:tcW w:w="2020" w:type="dxa"/>
            <w:gridSpan w:val="2"/>
            <w:noWrap w:val="0"/>
            <w:vAlign w:val="center"/>
          </w:tcPr>
          <w:p w14:paraId="5596CD3D">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1418A53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0057BC1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52C8FAE2">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C4650800</w:t>
            </w:r>
          </w:p>
        </w:tc>
      </w:tr>
      <w:tr w14:paraId="0E95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28" w:hRule="atLeast"/>
        </w:trPr>
        <w:tc>
          <w:tcPr>
            <w:tcW w:w="714" w:type="dxa"/>
            <w:noWrap w:val="0"/>
            <w:vAlign w:val="center"/>
          </w:tcPr>
          <w:p w14:paraId="1A87489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14:paraId="644ABCE9">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未经许可设置标语宣传品</w:t>
            </w:r>
          </w:p>
        </w:tc>
        <w:tc>
          <w:tcPr>
            <w:tcW w:w="2981" w:type="dxa"/>
            <w:noWrap w:val="0"/>
            <w:vAlign w:val="center"/>
          </w:tcPr>
          <w:p w14:paraId="7191911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w:t>
            </w:r>
          </w:p>
          <w:p w14:paraId="6AE4955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处罚条款：第五十四条第一款，责令立即改正；造成恶劣影响或者拒不改正的，处五百元以上五千元以下罚款。</w:t>
            </w:r>
          </w:p>
        </w:tc>
        <w:tc>
          <w:tcPr>
            <w:tcW w:w="851" w:type="dxa"/>
            <w:noWrap w:val="0"/>
            <w:vAlign w:val="center"/>
          </w:tcPr>
          <w:p w14:paraId="360EEAC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20842D9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411AF5F">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1.利用交通、照明、电力、通信、邮政、环境卫生等公共设施设置的，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2；3.未经许可设置标语宣传品引发有关事故的，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407C451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66A88727">
            <w:pPr>
              <w:spacing w:line="232" w:lineRule="exact"/>
              <w:rPr>
                <w:rFonts w:ascii="宋体" w:hAnsi="宋体" w:eastAsia="宋体"/>
                <w:color w:val="auto"/>
                <w:sz w:val="15"/>
                <w:szCs w:val="15"/>
                <w:highlight w:val="none"/>
              </w:rPr>
            </w:pPr>
          </w:p>
        </w:tc>
        <w:tc>
          <w:tcPr>
            <w:tcW w:w="1304" w:type="dxa"/>
            <w:gridSpan w:val="2"/>
            <w:noWrap w:val="0"/>
            <w:vAlign w:val="center"/>
          </w:tcPr>
          <w:p w14:paraId="7FA73DA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18889DC1">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1E82AFA0">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C4602700</w:t>
            </w:r>
          </w:p>
        </w:tc>
      </w:tr>
      <w:tr w14:paraId="627E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20" w:hRule="atLeast"/>
        </w:trPr>
        <w:tc>
          <w:tcPr>
            <w:tcW w:w="714" w:type="dxa"/>
            <w:noWrap w:val="0"/>
            <w:vAlign w:val="center"/>
          </w:tcPr>
          <w:p w14:paraId="56BDB87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14:paraId="1715248C">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设置标语宣传品不符合相关要求</w:t>
            </w:r>
          </w:p>
        </w:tc>
        <w:tc>
          <w:tcPr>
            <w:tcW w:w="2981" w:type="dxa"/>
            <w:noWrap w:val="0"/>
            <w:vAlign w:val="center"/>
          </w:tcPr>
          <w:p w14:paraId="0313437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违反条款：第三十七条、第三十八条、第三十九条；（根据不同情形选择适用）</w:t>
            </w:r>
          </w:p>
          <w:p w14:paraId="1F85C3F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处罚条款：第五十四条第一款，责令立即改正；造成恶劣影响或者拒不改正的，处五百元以上五千元以下罚款。</w:t>
            </w:r>
          </w:p>
        </w:tc>
        <w:tc>
          <w:tcPr>
            <w:tcW w:w="851" w:type="dxa"/>
            <w:noWrap w:val="0"/>
            <w:vAlign w:val="center"/>
          </w:tcPr>
          <w:p w14:paraId="2505ECF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02BCCB4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2A78622">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1.设置2个不符合要求标语宣传品的，</w:t>
            </w:r>
            <w:r>
              <w:rPr>
                <w:rFonts w:hint="eastAsia" w:ascii="宋体" w:hAnsi="宋体" w:eastAsia="宋体"/>
                <w:strike w:val="0"/>
                <w:dstrike w:val="0"/>
                <w:color w:val="auto"/>
                <w:sz w:val="15"/>
                <w:szCs w:val="15"/>
                <w:highlight w:val="none"/>
                <w:lang w:eastAsia="zh-CN"/>
              </w:rPr>
              <w:t>系数</w:t>
            </w:r>
            <w:r>
              <w:rPr>
                <w:rFonts w:hint="eastAsia" w:ascii="宋体" w:hAnsi="宋体" w:eastAsia="宋体"/>
                <w:strike w:val="0"/>
                <w:dstrike w:val="0"/>
                <w:color w:val="auto"/>
                <w:sz w:val="15"/>
                <w:szCs w:val="15"/>
                <w:highlight w:val="none"/>
              </w:rPr>
              <w:t>2，以此类推</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9个及以上的，系数9</w:t>
            </w:r>
            <w:r>
              <w:rPr>
                <w:rFonts w:hint="eastAsia" w:ascii="宋体" w:hAnsi="宋体" w:eastAsia="宋体"/>
                <w:strike w:val="0"/>
                <w:dstrike w:val="0"/>
                <w:color w:val="auto"/>
                <w:sz w:val="15"/>
                <w:szCs w:val="15"/>
                <w:highlight w:val="none"/>
              </w:rPr>
              <w:t>；</w:t>
            </w:r>
            <w:r>
              <w:rPr>
                <w:rFonts w:hint="eastAsia" w:ascii="宋体" w:hAnsi="宋体" w:eastAsia="宋体"/>
                <w:color w:val="auto"/>
                <w:sz w:val="15"/>
                <w:szCs w:val="15"/>
                <w:highlight w:val="none"/>
              </w:rPr>
              <w:t>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2；3.设置标语宣传品不符合要求引发有关事故的，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657355F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40E7D53C">
            <w:pPr>
              <w:spacing w:line="232" w:lineRule="exact"/>
              <w:rPr>
                <w:rFonts w:ascii="宋体" w:hAnsi="宋体" w:eastAsia="宋体"/>
                <w:color w:val="auto"/>
                <w:sz w:val="15"/>
                <w:szCs w:val="15"/>
                <w:highlight w:val="none"/>
              </w:rPr>
            </w:pPr>
          </w:p>
        </w:tc>
        <w:tc>
          <w:tcPr>
            <w:tcW w:w="1304" w:type="dxa"/>
            <w:gridSpan w:val="2"/>
            <w:noWrap w:val="0"/>
            <w:vAlign w:val="center"/>
          </w:tcPr>
          <w:p w14:paraId="445E44E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3891F5CB">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21CBB4A0">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C4602700</w:t>
            </w:r>
          </w:p>
        </w:tc>
      </w:tr>
      <w:tr w14:paraId="07DE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293" w:hRule="atLeast"/>
        </w:trPr>
        <w:tc>
          <w:tcPr>
            <w:tcW w:w="714" w:type="dxa"/>
            <w:noWrap w:val="0"/>
            <w:vAlign w:val="center"/>
          </w:tcPr>
          <w:p w14:paraId="7BBE8E8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14:paraId="24CD4649">
            <w:pPr>
              <w:spacing w:line="204"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所有人未履行安全管理责任</w:t>
            </w:r>
          </w:p>
        </w:tc>
        <w:tc>
          <w:tcPr>
            <w:tcW w:w="2981" w:type="dxa"/>
            <w:noWrap w:val="0"/>
            <w:vAlign w:val="center"/>
          </w:tcPr>
          <w:p w14:paraId="4F00026B">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违反条款：第四十条第一款第(一)项、第(三)项、第(四)项、第(五)项；（根据不同情形选择适用）</w:t>
            </w:r>
          </w:p>
          <w:p w14:paraId="6DDF76A7">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处罚条款：第五十五条第一款，责令其履行相关责任，恢复相关设施正常功能，处一千元以上一万元以下罚款。</w:t>
            </w:r>
          </w:p>
        </w:tc>
        <w:tc>
          <w:tcPr>
            <w:tcW w:w="851" w:type="dxa"/>
            <w:noWrap w:val="0"/>
            <w:vAlign w:val="center"/>
          </w:tcPr>
          <w:p w14:paraId="371AA23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65A8383D">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3ACB044">
            <w:pPr>
              <w:spacing w:line="232" w:lineRule="exact"/>
              <w:rPr>
                <w:rFonts w:hint="default" w:eastAsia="宋体"/>
                <w:color w:val="auto"/>
                <w:highlight w:val="none"/>
                <w:lang w:val="en-US" w:eastAsia="zh-CN"/>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1.设置在环路、高（快）速路两侧，或者车站、机场、居民小区、医院、学校、体育场馆、影剧院、繁华商业街区、旅游景区等人口集中地区的，系数2；2.大型户外广告设施、固定式牌匾标识，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2；3.距地十米以上的户外广告设施、牌匾标识，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4.其他存在严重安全隐患或者造成安全事故的，系数9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3BB04B1E">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3CDAC7A0">
            <w:pPr>
              <w:spacing w:line="204"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1304" w:type="dxa"/>
            <w:gridSpan w:val="2"/>
            <w:noWrap w:val="0"/>
            <w:vAlign w:val="center"/>
          </w:tcPr>
          <w:p w14:paraId="090DE2CC">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781F1B93">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3E3A83C1">
            <w:pPr>
              <w:spacing w:line="204"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C4651100</w:t>
            </w:r>
          </w:p>
        </w:tc>
      </w:tr>
      <w:tr w14:paraId="0A582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093" w:hRule="atLeast"/>
        </w:trPr>
        <w:tc>
          <w:tcPr>
            <w:tcW w:w="714" w:type="dxa"/>
            <w:noWrap w:val="0"/>
            <w:vAlign w:val="center"/>
          </w:tcPr>
          <w:p w14:paraId="3837B9E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14:paraId="340CE292">
            <w:pPr>
              <w:spacing w:line="204"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未定期对大型（或者距地十米以上的）户外广告设施进行安全鉴定</w:t>
            </w:r>
          </w:p>
        </w:tc>
        <w:tc>
          <w:tcPr>
            <w:tcW w:w="2981" w:type="dxa"/>
            <w:noWrap w:val="0"/>
            <w:vAlign w:val="center"/>
          </w:tcPr>
          <w:p w14:paraId="44B4A881">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违反条款：第四十条第一款第(二)项；</w:t>
            </w:r>
          </w:p>
          <w:p w14:paraId="7433F88E">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处罚条款：第五十五条第二款，责令限期改正；逾期不改正的，按照违法设置户外广告设施的行为处理，</w:t>
            </w:r>
            <w:r>
              <w:rPr>
                <w:rFonts w:ascii="宋体" w:hAnsi="宋体" w:eastAsia="宋体"/>
                <w:color w:val="auto"/>
                <w:sz w:val="15"/>
                <w:szCs w:val="15"/>
                <w:highlight w:val="none"/>
              </w:rPr>
              <w:t>以及</w:t>
            </w:r>
            <w:r>
              <w:rPr>
                <w:rFonts w:hint="eastAsia" w:ascii="宋体" w:hAnsi="宋体" w:eastAsia="宋体"/>
                <w:color w:val="auto"/>
                <w:sz w:val="15"/>
                <w:szCs w:val="15"/>
                <w:highlight w:val="none"/>
              </w:rPr>
              <w:t>《北京市市容环境卫生条例》第三十八条第二款，责令限期拆除，逾期未拆除的，强制拆除，并可处1万元以上10万元以下罚款。</w:t>
            </w:r>
          </w:p>
        </w:tc>
        <w:tc>
          <w:tcPr>
            <w:tcW w:w="851" w:type="dxa"/>
            <w:noWrap w:val="0"/>
            <w:vAlign w:val="center"/>
          </w:tcPr>
          <w:p w14:paraId="65EBB5DD">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35621DD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BA00B14">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2；2.因未安全鉴定引发户外广告设施掉落等行为影响公共安全的，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3D86F01E">
            <w:pPr>
              <w:keepNext w:val="0"/>
              <w:keepLines w:val="0"/>
              <w:pageBreakBefore w:val="0"/>
              <w:widowControl w:val="0"/>
              <w:kinsoku/>
              <w:wordWrap/>
              <w:overflowPunct/>
              <w:topLinePunct w:val="0"/>
              <w:autoSpaceDE/>
              <w:autoSpaceDN/>
              <w:bidi w:val="0"/>
              <w:adjustRightInd/>
              <w:snapToGrid/>
              <w:spacing w:line="224"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0A268F9F">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1C4AAC3C">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p>
          <w:p w14:paraId="3F2CC5DC">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实施处罚援引法律依据时，应当同时援引《条例》第五十五条第二款，以及《北京市市容环境卫生条例》第三十八条第二款规定</w:t>
            </w:r>
            <w:r>
              <w:rPr>
                <w:rFonts w:hint="eastAsia" w:ascii="宋体" w:hAnsi="宋体" w:eastAsia="宋体"/>
                <w:color w:val="auto"/>
                <w:sz w:val="15"/>
                <w:szCs w:val="15"/>
                <w:highlight w:val="none"/>
                <w:lang w:eastAsia="zh-CN"/>
              </w:rPr>
              <w:t>。</w:t>
            </w:r>
          </w:p>
        </w:tc>
        <w:tc>
          <w:tcPr>
            <w:tcW w:w="1304" w:type="dxa"/>
            <w:gridSpan w:val="2"/>
            <w:noWrap w:val="0"/>
            <w:vAlign w:val="center"/>
          </w:tcPr>
          <w:p w14:paraId="125DFF5A">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4D86EDE7">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2027CE4F">
            <w:pPr>
              <w:spacing w:line="204"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C4651400</w:t>
            </w:r>
          </w:p>
        </w:tc>
      </w:tr>
      <w:tr w14:paraId="5E74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58" w:hRule="atLeast"/>
        </w:trPr>
        <w:tc>
          <w:tcPr>
            <w:tcW w:w="714" w:type="dxa"/>
            <w:noWrap w:val="0"/>
            <w:vAlign w:val="center"/>
          </w:tcPr>
          <w:p w14:paraId="3A04601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3</w:t>
            </w:r>
          </w:p>
        </w:tc>
        <w:tc>
          <w:tcPr>
            <w:tcW w:w="1626" w:type="dxa"/>
            <w:gridSpan w:val="2"/>
            <w:noWrap w:val="0"/>
            <w:vAlign w:val="center"/>
          </w:tcPr>
          <w:p w14:paraId="190A35B5">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未定期对大型（或者距地十米以上的）固定式牌匾标识进行安全鉴定</w:t>
            </w:r>
          </w:p>
        </w:tc>
        <w:tc>
          <w:tcPr>
            <w:tcW w:w="2981" w:type="dxa"/>
            <w:noWrap w:val="0"/>
            <w:vAlign w:val="center"/>
          </w:tcPr>
          <w:p w14:paraId="40D5C044">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违反条款：第四十条第一款第(二)项；</w:t>
            </w:r>
          </w:p>
          <w:p w14:paraId="27B85D54">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处罚条款：第五十五条第二款，责令限期改正；逾期不改正的，按照违法设置固定式牌匾标识的行为处理，</w:t>
            </w:r>
            <w:r>
              <w:rPr>
                <w:rFonts w:ascii="宋体" w:hAnsi="宋体" w:eastAsia="宋体"/>
                <w:color w:val="auto"/>
                <w:sz w:val="15"/>
                <w:szCs w:val="15"/>
                <w:highlight w:val="none"/>
              </w:rPr>
              <w:t>以及</w:t>
            </w:r>
            <w:r>
              <w:rPr>
                <w:rFonts w:hint="eastAsia" w:ascii="宋体" w:hAnsi="宋体" w:eastAsia="宋体"/>
                <w:color w:val="auto"/>
                <w:sz w:val="15"/>
                <w:szCs w:val="15"/>
                <w:highlight w:val="none"/>
              </w:rPr>
              <w:t>《北京市市容环境卫生条例》第三十九条第一款，责令限期改正，逾期不改正的，予以强制拆除，并可处500元以上5000元以下罚款。</w:t>
            </w:r>
          </w:p>
        </w:tc>
        <w:tc>
          <w:tcPr>
            <w:tcW w:w="851" w:type="dxa"/>
            <w:noWrap w:val="0"/>
            <w:vAlign w:val="center"/>
          </w:tcPr>
          <w:p w14:paraId="78EC8A6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6874F9D">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80B27AD">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1.设置在车站、机场、居民小区、医院、学校、体育场馆、影剧院、繁华商业街区、旅游景区等人口集中地区的，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2；2.因未安全鉴定引发牌匾标识掉落等行为影响公共安全的，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057A1D98">
            <w:pPr>
              <w:keepNext w:val="0"/>
              <w:keepLines w:val="0"/>
              <w:pageBreakBefore w:val="0"/>
              <w:widowControl w:val="0"/>
              <w:kinsoku/>
              <w:wordWrap/>
              <w:overflowPunct/>
              <w:topLinePunct w:val="0"/>
              <w:autoSpaceDE/>
              <w:autoSpaceDN/>
              <w:bidi w:val="0"/>
              <w:adjustRightInd/>
              <w:snapToGrid/>
              <w:spacing w:line="224"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5BB00510">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5405D9F2">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实施处罚援引法律依据时，应当同时援引《条例》第五十五条第二款，以及《北京市市容环境卫生条例》第三十九条第一款规定</w:t>
            </w:r>
            <w:r>
              <w:rPr>
                <w:rFonts w:hint="eastAsia" w:ascii="宋体" w:hAnsi="宋体" w:eastAsia="宋体"/>
                <w:color w:val="auto"/>
                <w:sz w:val="15"/>
                <w:szCs w:val="15"/>
                <w:highlight w:val="none"/>
                <w:lang w:eastAsia="zh-CN"/>
              </w:rPr>
              <w:t>。</w:t>
            </w:r>
          </w:p>
        </w:tc>
        <w:tc>
          <w:tcPr>
            <w:tcW w:w="1304" w:type="dxa"/>
            <w:gridSpan w:val="2"/>
            <w:noWrap w:val="0"/>
            <w:vAlign w:val="center"/>
          </w:tcPr>
          <w:p w14:paraId="56AF803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032D46DF">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09CA538D">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C4651200</w:t>
            </w:r>
          </w:p>
        </w:tc>
      </w:tr>
      <w:tr w14:paraId="60EB0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231" w:hRule="atLeast"/>
        </w:trPr>
        <w:tc>
          <w:tcPr>
            <w:tcW w:w="714" w:type="dxa"/>
            <w:noWrap w:val="0"/>
            <w:vAlign w:val="center"/>
          </w:tcPr>
          <w:p w14:paraId="4C2F716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4</w:t>
            </w:r>
          </w:p>
        </w:tc>
        <w:tc>
          <w:tcPr>
            <w:tcW w:w="1626" w:type="dxa"/>
            <w:gridSpan w:val="2"/>
            <w:noWrap w:val="0"/>
            <w:vAlign w:val="center"/>
          </w:tcPr>
          <w:p w14:paraId="7701FADE">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所有人未履行日常维护责任</w:t>
            </w:r>
          </w:p>
        </w:tc>
        <w:tc>
          <w:tcPr>
            <w:tcW w:w="2981" w:type="dxa"/>
            <w:noWrap w:val="0"/>
            <w:vAlign w:val="center"/>
          </w:tcPr>
          <w:p w14:paraId="0A458460">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违反条款：第四十一条第(一)项、第（二）项、第(三)项、第(四)项；（根据不同情形选择适用）</w:t>
            </w:r>
          </w:p>
          <w:p w14:paraId="2736C5A2">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处罚条款：第五十五条第一款，责令其履行相关责任，恢复相关设施正常功能，处一千元以上一万元以下罚款。</w:t>
            </w:r>
          </w:p>
        </w:tc>
        <w:tc>
          <w:tcPr>
            <w:tcW w:w="851" w:type="dxa"/>
            <w:noWrap w:val="0"/>
            <w:vAlign w:val="center"/>
          </w:tcPr>
          <w:p w14:paraId="2EDA67C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0F5F131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8F5B354">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1.设置在环路、高（快）速路两侧，或者车站、机场、居民小区、医院、学校、体育场馆、影剧院、繁华商业街区、旅游景区等人口集中地区的，系数2；2.大型户外广告设施、固定式牌匾标识，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2；3.距地十米以上的户外广告设施、牌匾标识，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0BFDED1E">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69135E81">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0D76D515">
            <w:pPr>
              <w:spacing w:line="232" w:lineRule="exact"/>
              <w:rPr>
                <w:rFonts w:ascii="宋体" w:hAnsi="宋体" w:eastAsia="宋体"/>
                <w:color w:val="auto"/>
                <w:sz w:val="15"/>
                <w:szCs w:val="15"/>
                <w:highlight w:val="none"/>
              </w:rPr>
            </w:pPr>
          </w:p>
        </w:tc>
        <w:tc>
          <w:tcPr>
            <w:tcW w:w="1304" w:type="dxa"/>
            <w:gridSpan w:val="2"/>
            <w:noWrap w:val="0"/>
            <w:vAlign w:val="center"/>
          </w:tcPr>
          <w:p w14:paraId="35209FC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1FD68462">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015A0D41">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C4651100</w:t>
            </w:r>
          </w:p>
        </w:tc>
      </w:tr>
      <w:tr w14:paraId="3973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72" w:hRule="atLeast"/>
        </w:trPr>
        <w:tc>
          <w:tcPr>
            <w:tcW w:w="14587" w:type="dxa"/>
            <w:gridSpan w:val="13"/>
            <w:noWrap w:val="0"/>
            <w:vAlign w:val="center"/>
          </w:tcPr>
          <w:p w14:paraId="5A0E3BFC">
            <w:pPr>
              <w:pStyle w:val="3"/>
              <w:widowControl w:val="0"/>
              <w:spacing w:line="232" w:lineRule="exact"/>
              <w:jc w:val="center"/>
              <w:rPr>
                <w:rFonts w:ascii="宋体" w:hAnsi="宋体" w:eastAsia="宋体"/>
                <w:color w:val="auto"/>
                <w:sz w:val="15"/>
                <w:szCs w:val="15"/>
                <w:highlight w:val="none"/>
              </w:rPr>
            </w:pPr>
            <w:bookmarkStart w:id="25" w:name="_Toc1488943236"/>
            <w:bookmarkStart w:id="26" w:name="_Toc295250662"/>
            <w:bookmarkStart w:id="27" w:name="_Toc110851445"/>
            <w:r>
              <w:rPr>
                <w:rFonts w:hint="eastAsia" w:ascii="宋体" w:hAnsi="宋体" w:eastAsia="宋体"/>
                <w:color w:val="auto"/>
                <w:sz w:val="21"/>
                <w:szCs w:val="21"/>
                <w:highlight w:val="none"/>
              </w:rPr>
              <w:t>《北京市标语宣传品设置管理规定》案由6项</w:t>
            </w:r>
            <w:bookmarkEnd w:id="25"/>
            <w:bookmarkEnd w:id="26"/>
            <w:bookmarkEnd w:id="27"/>
          </w:p>
        </w:tc>
        <w:tc>
          <w:tcPr>
            <w:tcW w:w="1869" w:type="dxa"/>
            <w:noWrap w:val="0"/>
            <w:vAlign w:val="center"/>
          </w:tcPr>
          <w:p w14:paraId="6B411D13">
            <w:pPr>
              <w:pStyle w:val="3"/>
              <w:widowControl w:val="0"/>
              <w:spacing w:line="232" w:lineRule="exact"/>
              <w:jc w:val="center"/>
              <w:rPr>
                <w:rFonts w:hint="eastAsia" w:ascii="宋体" w:hAnsi="宋体" w:eastAsia="宋体"/>
                <w:color w:val="auto"/>
                <w:sz w:val="21"/>
                <w:szCs w:val="21"/>
                <w:highlight w:val="none"/>
              </w:rPr>
            </w:pPr>
          </w:p>
        </w:tc>
      </w:tr>
      <w:tr w14:paraId="3F00B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64" w:hRule="atLeast"/>
        </w:trPr>
        <w:tc>
          <w:tcPr>
            <w:tcW w:w="714" w:type="dxa"/>
            <w:noWrap w:val="0"/>
            <w:vAlign w:val="center"/>
          </w:tcPr>
          <w:p w14:paraId="6FD0F60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11BE6CF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标语宣传品含有商业广告内容</w:t>
            </w:r>
          </w:p>
        </w:tc>
        <w:tc>
          <w:tcPr>
            <w:tcW w:w="2981" w:type="dxa"/>
            <w:noWrap w:val="0"/>
            <w:vAlign w:val="center"/>
          </w:tcPr>
          <w:p w14:paraId="3DE44EA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p>
          <w:p w14:paraId="16EAEF1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 责令改正，处1000元以上1万元以下罚款</w:t>
            </w:r>
          </w:p>
        </w:tc>
        <w:tc>
          <w:tcPr>
            <w:tcW w:w="851" w:type="dxa"/>
            <w:noWrap w:val="0"/>
            <w:vAlign w:val="center"/>
          </w:tcPr>
          <w:p w14:paraId="1D37F16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0069805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A430E74">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1992AB3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69CA1513">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7F1A83F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6055DCF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52CC5171">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C4611700</w:t>
            </w:r>
          </w:p>
        </w:tc>
      </w:tr>
      <w:tr w14:paraId="01D9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92" w:hRule="atLeast"/>
        </w:trPr>
        <w:tc>
          <w:tcPr>
            <w:tcW w:w="714" w:type="dxa"/>
            <w:noWrap w:val="0"/>
            <w:vAlign w:val="center"/>
          </w:tcPr>
          <w:p w14:paraId="534A0F1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14:paraId="7B42590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改变固定宣传设施的使用性质用于商业广告</w:t>
            </w:r>
          </w:p>
        </w:tc>
        <w:tc>
          <w:tcPr>
            <w:tcW w:w="2981" w:type="dxa"/>
            <w:noWrap w:val="0"/>
            <w:vAlign w:val="center"/>
          </w:tcPr>
          <w:p w14:paraId="7208B79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p>
          <w:p w14:paraId="1398CB2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 责令改正，处1000元以上1万元以下罚款</w:t>
            </w:r>
          </w:p>
        </w:tc>
        <w:tc>
          <w:tcPr>
            <w:tcW w:w="851" w:type="dxa"/>
            <w:noWrap w:val="0"/>
            <w:vAlign w:val="center"/>
          </w:tcPr>
          <w:p w14:paraId="30F3F0A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108F33E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A9035B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16AC24E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2D49A5F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处罚额度决定的，说明理由</w:t>
            </w:r>
            <w:r>
              <w:rPr>
                <w:rFonts w:hint="eastAsia" w:ascii="宋体" w:hAnsi="宋体" w:eastAsia="宋体" w:cs="宋体"/>
                <w:color w:val="auto"/>
                <w:kern w:val="0"/>
                <w:sz w:val="15"/>
                <w:szCs w:val="15"/>
                <w:highlight w:val="none"/>
                <w:lang w:eastAsia="zh-CN"/>
              </w:rPr>
              <w:t>并</w:t>
            </w:r>
            <w:r>
              <w:rPr>
                <w:rFonts w:hint="eastAsia" w:ascii="宋体" w:hAnsi="宋体" w:eastAsia="宋体" w:cs="宋体"/>
                <w:color w:val="auto"/>
                <w:kern w:val="0"/>
                <w:sz w:val="15"/>
                <w:szCs w:val="15"/>
                <w:highlight w:val="none"/>
              </w:rPr>
              <w:t>报案审会决定</w:t>
            </w:r>
            <w:r>
              <w:rPr>
                <w:rFonts w:ascii="宋体" w:hAnsi="宋体" w:eastAsia="宋体" w:cs="宋体"/>
                <w:color w:val="auto"/>
                <w:kern w:val="0"/>
                <w:sz w:val="15"/>
                <w:szCs w:val="15"/>
                <w:highlight w:val="none"/>
              </w:rPr>
              <w:t>。</w:t>
            </w:r>
          </w:p>
        </w:tc>
        <w:tc>
          <w:tcPr>
            <w:tcW w:w="1304" w:type="dxa"/>
            <w:gridSpan w:val="2"/>
            <w:noWrap w:val="0"/>
            <w:vAlign w:val="center"/>
          </w:tcPr>
          <w:p w14:paraId="255F153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1BD0F63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1D29644B">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C4611800</w:t>
            </w:r>
          </w:p>
        </w:tc>
      </w:tr>
      <w:tr w14:paraId="78CB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78" w:hRule="atLeast"/>
        </w:trPr>
        <w:tc>
          <w:tcPr>
            <w:tcW w:w="714" w:type="dxa"/>
            <w:noWrap w:val="0"/>
            <w:vAlign w:val="center"/>
          </w:tcPr>
          <w:p w14:paraId="2A36421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14:paraId="1BCC950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未经批准设置标语宣传品</w:t>
            </w:r>
          </w:p>
        </w:tc>
        <w:tc>
          <w:tcPr>
            <w:tcW w:w="2981" w:type="dxa"/>
            <w:noWrap w:val="0"/>
            <w:vAlign w:val="center"/>
          </w:tcPr>
          <w:p w14:paraId="3BCE610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p>
          <w:p w14:paraId="3ABE71C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处罚条款：第十九条，责令限期改正，并可处500元以上5000以下罚款。</w:t>
            </w:r>
          </w:p>
        </w:tc>
        <w:tc>
          <w:tcPr>
            <w:tcW w:w="851" w:type="dxa"/>
            <w:noWrap w:val="0"/>
            <w:vAlign w:val="center"/>
          </w:tcPr>
          <w:p w14:paraId="22BB16B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3CC2D22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9BB32A9">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1.利用交通、照明、电力、通信、邮政、环境卫生等公共设施设置的，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2；3.未经许可设置标语宣传品引发有关事故的，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29D9568E">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5AF2E66F">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5EB3991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0DB91BA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70363560">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C4602700</w:t>
            </w:r>
          </w:p>
        </w:tc>
      </w:tr>
      <w:tr w14:paraId="486C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50" w:hRule="atLeast"/>
        </w:trPr>
        <w:tc>
          <w:tcPr>
            <w:tcW w:w="714" w:type="dxa"/>
            <w:noWrap w:val="0"/>
            <w:vAlign w:val="center"/>
          </w:tcPr>
          <w:p w14:paraId="75A4137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14:paraId="31F7BCB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未按批准要求设置标语宣传品</w:t>
            </w:r>
          </w:p>
        </w:tc>
        <w:tc>
          <w:tcPr>
            <w:tcW w:w="2981" w:type="dxa"/>
            <w:noWrap w:val="0"/>
            <w:vAlign w:val="center"/>
          </w:tcPr>
          <w:p w14:paraId="78D74DF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p>
          <w:p w14:paraId="1B5D82A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处罚条款：第十九条，责令限期改正，并可处500元以上5000以下罚款。</w:t>
            </w:r>
          </w:p>
        </w:tc>
        <w:tc>
          <w:tcPr>
            <w:tcW w:w="851" w:type="dxa"/>
            <w:noWrap w:val="0"/>
            <w:vAlign w:val="center"/>
          </w:tcPr>
          <w:p w14:paraId="66CAA37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471D9E2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2E30EE1">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1.设置2个不符合要求标语宣传品的，系数2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3个的，系数3；4个的，系数4；5个的，系数5；</w:t>
            </w:r>
            <w:r>
              <w:rPr>
                <w:rFonts w:hint="eastAsia" w:ascii="宋体" w:hAnsi="宋体" w:eastAsia="宋体"/>
                <w:color w:val="auto"/>
                <w:sz w:val="15"/>
                <w:szCs w:val="15"/>
                <w:highlight w:val="none"/>
              </w:rPr>
              <w:t>以此类推</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9个及以上的，系数9</w:t>
            </w:r>
            <w:r>
              <w:rPr>
                <w:rFonts w:hint="eastAsia" w:ascii="宋体" w:hAnsi="宋体" w:eastAsia="宋体"/>
                <w:color w:val="auto"/>
                <w:sz w:val="15"/>
                <w:szCs w:val="15"/>
                <w:highlight w:val="none"/>
              </w:rPr>
              <w:t>；2.影响设施载体正常使用的，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2；3.设置标语宣传品不符合要求引发有关事故的，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1A000A00">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07BCA2CE">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2E2A05F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7D99C89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591F279D">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C4602700</w:t>
            </w:r>
          </w:p>
        </w:tc>
      </w:tr>
      <w:tr w14:paraId="2F775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25" w:hRule="atLeast"/>
        </w:trPr>
        <w:tc>
          <w:tcPr>
            <w:tcW w:w="714" w:type="dxa"/>
            <w:noWrap w:val="0"/>
            <w:vAlign w:val="center"/>
          </w:tcPr>
          <w:p w14:paraId="2A24E7D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14:paraId="3D59979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未按规定管护宣传设施或者标语宣传品</w:t>
            </w:r>
          </w:p>
        </w:tc>
        <w:tc>
          <w:tcPr>
            <w:tcW w:w="2981" w:type="dxa"/>
            <w:noWrap w:val="0"/>
            <w:vAlign w:val="center"/>
          </w:tcPr>
          <w:p w14:paraId="032971B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14:paraId="1767DD0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处罚条款：第二十条第一款 责令限期改正，可处100元以上1000元以下罚款。</w:t>
            </w:r>
          </w:p>
        </w:tc>
        <w:tc>
          <w:tcPr>
            <w:tcW w:w="851" w:type="dxa"/>
            <w:noWrap w:val="0"/>
            <w:vAlign w:val="center"/>
          </w:tcPr>
          <w:p w14:paraId="35C249B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14:paraId="2E2005F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A7E8FC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车站、机场、居民小区、医院、学校、体育场馆、影剧院、繁华商业街区、旅游景区等人口集中地区的固定宣传设施不安全不牢固的，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5；上述区域污损、残缺的，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15ED4C6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43195E15">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5CCF3043">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255F3F5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09EC8DC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325E22C4">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C4611900</w:t>
            </w:r>
          </w:p>
        </w:tc>
      </w:tr>
      <w:tr w14:paraId="70C0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92" w:hRule="atLeast"/>
        </w:trPr>
        <w:tc>
          <w:tcPr>
            <w:tcW w:w="714" w:type="dxa"/>
            <w:noWrap w:val="0"/>
            <w:vAlign w:val="center"/>
          </w:tcPr>
          <w:p w14:paraId="2BBFB36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14:paraId="01CA9BC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未及时撤除标语宣传品</w:t>
            </w:r>
          </w:p>
        </w:tc>
        <w:tc>
          <w:tcPr>
            <w:tcW w:w="2981" w:type="dxa"/>
            <w:noWrap w:val="0"/>
            <w:vAlign w:val="center"/>
          </w:tcPr>
          <w:p w14:paraId="11D50E1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违反条款：第十五条第二款；</w:t>
            </w:r>
          </w:p>
          <w:p w14:paraId="3907642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处罚条款：第二十条第一款 责令限期改正，可处100元以上1000元以下罚款。</w:t>
            </w:r>
          </w:p>
        </w:tc>
        <w:tc>
          <w:tcPr>
            <w:tcW w:w="851" w:type="dxa"/>
            <w:noWrap w:val="0"/>
            <w:vAlign w:val="center"/>
          </w:tcPr>
          <w:p w14:paraId="40C7D27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75E6C01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C7F4DA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0B4326C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0AD4766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处罚额度决定的，说明理由</w:t>
            </w:r>
            <w:r>
              <w:rPr>
                <w:rFonts w:hint="eastAsia" w:ascii="宋体" w:hAnsi="宋体" w:eastAsia="宋体" w:cs="宋体"/>
                <w:color w:val="auto"/>
                <w:kern w:val="0"/>
                <w:sz w:val="15"/>
                <w:szCs w:val="15"/>
                <w:highlight w:val="none"/>
                <w:lang w:eastAsia="zh-CN"/>
              </w:rPr>
              <w:t>并</w:t>
            </w:r>
            <w:r>
              <w:rPr>
                <w:rFonts w:hint="eastAsia" w:ascii="宋体" w:hAnsi="宋体" w:eastAsia="宋体" w:cs="宋体"/>
                <w:color w:val="auto"/>
                <w:kern w:val="0"/>
                <w:sz w:val="15"/>
                <w:szCs w:val="15"/>
                <w:highlight w:val="none"/>
              </w:rPr>
              <w:t>报案审会决定</w:t>
            </w:r>
            <w:r>
              <w:rPr>
                <w:rFonts w:ascii="宋体" w:hAnsi="宋体" w:eastAsia="宋体" w:cs="宋体"/>
                <w:color w:val="auto"/>
                <w:kern w:val="0"/>
                <w:sz w:val="15"/>
                <w:szCs w:val="15"/>
                <w:highlight w:val="none"/>
              </w:rPr>
              <w:t>。</w:t>
            </w:r>
          </w:p>
        </w:tc>
        <w:tc>
          <w:tcPr>
            <w:tcW w:w="1304" w:type="dxa"/>
            <w:gridSpan w:val="2"/>
            <w:noWrap w:val="0"/>
            <w:vAlign w:val="center"/>
          </w:tcPr>
          <w:p w14:paraId="3FCDD8B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7C23295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6D092E39">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C4612000</w:t>
            </w:r>
          </w:p>
        </w:tc>
      </w:tr>
      <w:tr w14:paraId="321F7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27" w:hRule="atLeast"/>
        </w:trPr>
        <w:tc>
          <w:tcPr>
            <w:tcW w:w="14587" w:type="dxa"/>
            <w:gridSpan w:val="13"/>
            <w:noWrap w:val="0"/>
            <w:vAlign w:val="center"/>
          </w:tcPr>
          <w:p w14:paraId="15EEE4EA">
            <w:pPr>
              <w:pStyle w:val="3"/>
              <w:widowControl w:val="0"/>
              <w:spacing w:line="232" w:lineRule="exact"/>
              <w:jc w:val="center"/>
              <w:rPr>
                <w:rFonts w:ascii="宋体" w:hAnsi="宋体" w:eastAsia="宋体"/>
                <w:color w:val="auto"/>
                <w:sz w:val="15"/>
                <w:szCs w:val="15"/>
                <w:highlight w:val="none"/>
              </w:rPr>
            </w:pPr>
            <w:bookmarkStart w:id="28" w:name="_Toc2072230684"/>
            <w:bookmarkStart w:id="29" w:name="_Toc666726954"/>
            <w:bookmarkStart w:id="30" w:name="_Toc110851446"/>
            <w:r>
              <w:rPr>
                <w:rFonts w:hint="eastAsia" w:ascii="宋体" w:hAnsi="宋体" w:eastAsia="宋体"/>
                <w:color w:val="auto"/>
                <w:sz w:val="21"/>
                <w:szCs w:val="21"/>
                <w:highlight w:val="none"/>
              </w:rPr>
              <w:t>《北京市城市道路和公共场所环境卫生管理若干规定》案由7项</w:t>
            </w:r>
            <w:bookmarkEnd w:id="28"/>
            <w:bookmarkEnd w:id="29"/>
            <w:bookmarkEnd w:id="30"/>
          </w:p>
        </w:tc>
        <w:tc>
          <w:tcPr>
            <w:tcW w:w="1869" w:type="dxa"/>
            <w:noWrap w:val="0"/>
            <w:vAlign w:val="center"/>
          </w:tcPr>
          <w:p w14:paraId="60BBCB67">
            <w:pPr>
              <w:pStyle w:val="3"/>
              <w:widowControl w:val="0"/>
              <w:spacing w:line="232" w:lineRule="exact"/>
              <w:jc w:val="center"/>
              <w:rPr>
                <w:rFonts w:hint="eastAsia" w:ascii="宋体" w:hAnsi="宋体" w:eastAsia="宋体"/>
                <w:color w:val="auto"/>
                <w:sz w:val="21"/>
                <w:szCs w:val="21"/>
                <w:highlight w:val="none"/>
              </w:rPr>
            </w:pPr>
          </w:p>
        </w:tc>
      </w:tr>
      <w:tr w14:paraId="13E4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86" w:hRule="atLeast"/>
        </w:trPr>
        <w:tc>
          <w:tcPr>
            <w:tcW w:w="714" w:type="dxa"/>
            <w:noWrap w:val="0"/>
            <w:vAlign w:val="center"/>
          </w:tcPr>
          <w:p w14:paraId="05583AE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77DE78B5">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未按规定清扫保洁</w:t>
            </w:r>
          </w:p>
        </w:tc>
        <w:tc>
          <w:tcPr>
            <w:tcW w:w="2981" w:type="dxa"/>
            <w:noWrap w:val="0"/>
            <w:vAlign w:val="center"/>
          </w:tcPr>
          <w:p w14:paraId="784F209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noWrap w:val="0"/>
            <w:vAlign w:val="center"/>
          </w:tcPr>
          <w:p w14:paraId="37922C4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14:paraId="4F70675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799F2E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69DB3E0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022E64D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根据实际情况，选择对应款项。</w:t>
            </w:r>
          </w:p>
        </w:tc>
        <w:tc>
          <w:tcPr>
            <w:tcW w:w="1304" w:type="dxa"/>
            <w:gridSpan w:val="2"/>
            <w:noWrap w:val="0"/>
            <w:vAlign w:val="center"/>
          </w:tcPr>
          <w:p w14:paraId="528168B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2742B22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181FFB57">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C4603600</w:t>
            </w:r>
          </w:p>
        </w:tc>
      </w:tr>
      <w:tr w14:paraId="26B6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21" w:hRule="atLeast"/>
        </w:trPr>
        <w:tc>
          <w:tcPr>
            <w:tcW w:w="714" w:type="dxa"/>
            <w:noWrap w:val="0"/>
            <w:vAlign w:val="center"/>
          </w:tcPr>
          <w:p w14:paraId="6709EC6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14:paraId="594E1BE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不及时清理果皮箱、垃圾箱</w:t>
            </w:r>
          </w:p>
        </w:tc>
        <w:tc>
          <w:tcPr>
            <w:tcW w:w="2981" w:type="dxa"/>
            <w:noWrap w:val="0"/>
            <w:vAlign w:val="center"/>
          </w:tcPr>
          <w:p w14:paraId="51F730B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noWrap w:val="0"/>
            <w:vAlign w:val="center"/>
          </w:tcPr>
          <w:p w14:paraId="0FB325A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40BB7A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2B0453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6C8DC25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519179DE">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3AB42C9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0CAFDCE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7E118E22">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C4610100</w:t>
            </w:r>
          </w:p>
        </w:tc>
      </w:tr>
      <w:tr w14:paraId="59F8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55" w:hRule="atLeast"/>
        </w:trPr>
        <w:tc>
          <w:tcPr>
            <w:tcW w:w="714" w:type="dxa"/>
            <w:noWrap w:val="0"/>
            <w:vAlign w:val="center"/>
          </w:tcPr>
          <w:p w14:paraId="1ABA4FA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14:paraId="57CCD58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未保持果皮箱、垃圾箱箱体整洁</w:t>
            </w:r>
          </w:p>
        </w:tc>
        <w:tc>
          <w:tcPr>
            <w:tcW w:w="2981" w:type="dxa"/>
            <w:noWrap w:val="0"/>
            <w:vAlign w:val="center"/>
          </w:tcPr>
          <w:p w14:paraId="690D5EE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noWrap w:val="0"/>
            <w:vAlign w:val="center"/>
          </w:tcPr>
          <w:p w14:paraId="461801B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0AE2E38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B71AF7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141ABEB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78B93CA3">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4C01B4F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67AF97E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17AEB6C6">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C4610100</w:t>
            </w:r>
          </w:p>
        </w:tc>
      </w:tr>
      <w:tr w14:paraId="58F88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98" w:hRule="atLeast"/>
        </w:trPr>
        <w:tc>
          <w:tcPr>
            <w:tcW w:w="714" w:type="dxa"/>
            <w:noWrap w:val="0"/>
            <w:vAlign w:val="center"/>
          </w:tcPr>
          <w:p w14:paraId="7D8A7E3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14:paraId="0D7D144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果皮箱、垃圾箱周围严重脏乱</w:t>
            </w:r>
          </w:p>
        </w:tc>
        <w:tc>
          <w:tcPr>
            <w:tcW w:w="2981" w:type="dxa"/>
            <w:noWrap w:val="0"/>
            <w:vAlign w:val="center"/>
          </w:tcPr>
          <w:p w14:paraId="2B56994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noWrap w:val="0"/>
            <w:vAlign w:val="center"/>
          </w:tcPr>
          <w:p w14:paraId="60C73D8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0E29E76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1BF844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6107554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1768D030">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46C9A0B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3F2D4E4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6CBD67C4">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C4610100</w:t>
            </w:r>
          </w:p>
        </w:tc>
      </w:tr>
      <w:tr w14:paraId="29521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96" w:hRule="atLeast"/>
        </w:trPr>
        <w:tc>
          <w:tcPr>
            <w:tcW w:w="714" w:type="dxa"/>
            <w:noWrap w:val="0"/>
            <w:vAlign w:val="center"/>
          </w:tcPr>
          <w:p w14:paraId="6711B7E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14:paraId="1472A37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公共设施管护作业（绿化作业）未按规定清除废弃物</w:t>
            </w:r>
          </w:p>
        </w:tc>
        <w:tc>
          <w:tcPr>
            <w:tcW w:w="2981" w:type="dxa"/>
            <w:noWrap w:val="0"/>
            <w:vAlign w:val="center"/>
          </w:tcPr>
          <w:p w14:paraId="540BD26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违反条款：第七条第二款；处罚条款：第十条第（三）项，责令限期清理，并可处500元以上5000元以下罚款。</w:t>
            </w:r>
          </w:p>
        </w:tc>
        <w:tc>
          <w:tcPr>
            <w:tcW w:w="851" w:type="dxa"/>
            <w:noWrap w:val="0"/>
            <w:vAlign w:val="center"/>
          </w:tcPr>
          <w:p w14:paraId="0EBAE3E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22F2B1D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5AF8E0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509AAEB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37FE77BC">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0DFD1D6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6DDEF48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02074A68">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C4604300</w:t>
            </w:r>
          </w:p>
        </w:tc>
      </w:tr>
      <w:tr w14:paraId="76EE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64" w:hRule="atLeast"/>
        </w:trPr>
        <w:tc>
          <w:tcPr>
            <w:tcW w:w="714" w:type="dxa"/>
            <w:noWrap w:val="0"/>
            <w:vAlign w:val="center"/>
          </w:tcPr>
          <w:p w14:paraId="43B10C29">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14:paraId="6A9634F9">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未做好施工期间压尘和清扫保洁</w:t>
            </w:r>
          </w:p>
        </w:tc>
        <w:tc>
          <w:tcPr>
            <w:tcW w:w="2981" w:type="dxa"/>
            <w:noWrap w:val="0"/>
            <w:vAlign w:val="center"/>
          </w:tcPr>
          <w:p w14:paraId="4712DCEF">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违反条款：第八条；处罚条款：第十条第（四）项，责令限期改正，并处2000元以上2万元以下罚款。</w:t>
            </w:r>
          </w:p>
        </w:tc>
        <w:tc>
          <w:tcPr>
            <w:tcW w:w="851" w:type="dxa"/>
            <w:noWrap w:val="0"/>
            <w:vAlign w:val="center"/>
          </w:tcPr>
          <w:p w14:paraId="4F6CF85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1C05868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D9D70DB">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；41-55㎡的，系数3；56-70㎡的，系数4；71-85㎡的，系数5；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14BA2DD3">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12D3A13E">
            <w:pPr>
              <w:spacing w:line="180" w:lineRule="exact"/>
              <w:rPr>
                <w:rFonts w:ascii="宋体" w:hAnsi="宋体" w:eastAsia="宋体" w:cs="宋体"/>
                <w:color w:val="auto"/>
                <w:kern w:val="0"/>
                <w:sz w:val="15"/>
                <w:szCs w:val="15"/>
                <w:highlight w:val="none"/>
              </w:rPr>
            </w:pPr>
          </w:p>
        </w:tc>
        <w:tc>
          <w:tcPr>
            <w:tcW w:w="1304" w:type="dxa"/>
            <w:gridSpan w:val="2"/>
            <w:noWrap w:val="0"/>
            <w:vAlign w:val="center"/>
          </w:tcPr>
          <w:p w14:paraId="1D2A1E30">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2B274BF8">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60491C2B">
            <w:pPr>
              <w:spacing w:line="18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C4610200</w:t>
            </w:r>
          </w:p>
        </w:tc>
      </w:tr>
      <w:tr w14:paraId="6A5B4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460" w:hRule="atLeast"/>
        </w:trPr>
        <w:tc>
          <w:tcPr>
            <w:tcW w:w="714" w:type="dxa"/>
            <w:noWrap w:val="0"/>
            <w:vAlign w:val="center"/>
          </w:tcPr>
          <w:p w14:paraId="33B79B04">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14:paraId="140307EC">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建设工程竣工后未及时清除弃物弃料、围挡</w:t>
            </w:r>
          </w:p>
        </w:tc>
        <w:tc>
          <w:tcPr>
            <w:tcW w:w="2981" w:type="dxa"/>
            <w:noWrap w:val="0"/>
            <w:vAlign w:val="center"/>
          </w:tcPr>
          <w:p w14:paraId="37075C0C">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违反条款：第八条；处罚条款：第十条第（四）项，责令限期改正，并处2000元以上2万元以下罚款。</w:t>
            </w:r>
          </w:p>
        </w:tc>
        <w:tc>
          <w:tcPr>
            <w:tcW w:w="851" w:type="dxa"/>
            <w:noWrap w:val="0"/>
            <w:vAlign w:val="center"/>
          </w:tcPr>
          <w:p w14:paraId="4C86580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130C85E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1C5F3C9">
            <w:pPr>
              <w:keepNext w:val="0"/>
              <w:keepLines w:val="0"/>
              <w:pageBreakBefore w:val="0"/>
              <w:widowControl w:val="0"/>
              <w:kinsoku/>
              <w:wordWrap/>
              <w:overflowPunct/>
              <w:topLinePunct w:val="0"/>
              <w:autoSpaceDE/>
              <w:autoSpaceDN/>
              <w:bidi w:val="0"/>
              <w:adjustRightInd/>
              <w:snapToGrid/>
              <w:spacing w:line="232" w:lineRule="exact"/>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经责令改正</w:t>
            </w:r>
            <w:r>
              <w:rPr>
                <w:rFonts w:hint="eastAsia" w:ascii="宋体" w:hAnsi="宋体" w:eastAsia="宋体" w:cs="宋体"/>
                <w:color w:val="auto"/>
                <w:kern w:val="0"/>
                <w:sz w:val="15"/>
                <w:szCs w:val="15"/>
                <w:highlight w:val="none"/>
              </w:rPr>
              <w:t>逾期不清除</w:t>
            </w:r>
            <w:r>
              <w:rPr>
                <w:rFonts w:hint="eastAsia" w:ascii="宋体" w:hAnsi="宋体" w:eastAsia="宋体" w:cs="宋体"/>
                <w:color w:val="auto"/>
                <w:kern w:val="0"/>
                <w:sz w:val="15"/>
                <w:szCs w:val="15"/>
                <w:highlight w:val="none"/>
                <w:lang w:eastAsia="zh-CN"/>
              </w:rPr>
              <w:t>围挡</w:t>
            </w:r>
            <w:r>
              <w:rPr>
                <w:rFonts w:hint="eastAsia" w:ascii="宋体" w:hAnsi="宋体" w:eastAsia="宋体" w:cs="宋体"/>
                <w:color w:val="auto"/>
                <w:kern w:val="0"/>
                <w:sz w:val="15"/>
                <w:szCs w:val="15"/>
                <w:highlight w:val="none"/>
              </w:rPr>
              <w:t>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0574A7EE">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254572E1">
            <w:pPr>
              <w:spacing w:line="180" w:lineRule="exact"/>
              <w:rPr>
                <w:rFonts w:ascii="宋体" w:hAnsi="宋体" w:eastAsia="宋体" w:cs="宋体"/>
                <w:color w:val="auto"/>
                <w:kern w:val="0"/>
                <w:sz w:val="15"/>
                <w:szCs w:val="15"/>
                <w:highlight w:val="none"/>
              </w:rPr>
            </w:pPr>
          </w:p>
        </w:tc>
        <w:tc>
          <w:tcPr>
            <w:tcW w:w="1304" w:type="dxa"/>
            <w:gridSpan w:val="2"/>
            <w:noWrap w:val="0"/>
            <w:vAlign w:val="center"/>
          </w:tcPr>
          <w:p w14:paraId="7B0E0215">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3982D923">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3EC60B43">
            <w:pPr>
              <w:spacing w:line="18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C4610200</w:t>
            </w:r>
          </w:p>
        </w:tc>
      </w:tr>
      <w:tr w14:paraId="1DB3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05" w:hRule="atLeast"/>
        </w:trPr>
        <w:tc>
          <w:tcPr>
            <w:tcW w:w="14587" w:type="dxa"/>
            <w:gridSpan w:val="13"/>
            <w:noWrap w:val="0"/>
            <w:vAlign w:val="center"/>
          </w:tcPr>
          <w:p w14:paraId="70462A69">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1"/>
                <w:rFonts w:ascii="宋体" w:hAnsi="宋体" w:eastAsia="宋体"/>
                <w:color w:val="auto"/>
                <w:sz w:val="15"/>
                <w:szCs w:val="15"/>
                <w:highlight w:val="none"/>
              </w:rPr>
            </w:pPr>
            <w:bookmarkStart w:id="31" w:name="_Toc110851447"/>
            <w:bookmarkStart w:id="32" w:name="_Toc660874911"/>
            <w:bookmarkStart w:id="33" w:name="_Toc938704773"/>
            <w:r>
              <w:rPr>
                <w:rStyle w:val="31"/>
                <w:rFonts w:hint="eastAsia" w:ascii="宋体" w:hAnsi="宋体" w:eastAsia="宋体"/>
                <w:color w:val="auto"/>
                <w:sz w:val="21"/>
                <w:szCs w:val="21"/>
                <w:highlight w:val="none"/>
              </w:rPr>
              <w:t>《北京市建筑</w:t>
            </w:r>
            <w:r>
              <w:rPr>
                <w:rStyle w:val="31"/>
                <w:rFonts w:ascii="宋体" w:hAnsi="宋体" w:eastAsia="宋体"/>
                <w:color w:val="auto"/>
                <w:sz w:val="21"/>
                <w:szCs w:val="21"/>
                <w:highlight w:val="none"/>
              </w:rPr>
              <w:t>垃圾处置管理规定</w:t>
            </w:r>
            <w:r>
              <w:rPr>
                <w:rStyle w:val="31"/>
                <w:rFonts w:hint="eastAsia" w:ascii="宋体" w:hAnsi="宋体" w:eastAsia="宋体"/>
                <w:color w:val="auto"/>
                <w:sz w:val="21"/>
                <w:szCs w:val="21"/>
                <w:highlight w:val="none"/>
              </w:rPr>
              <w:t>》案由</w:t>
            </w:r>
            <w:r>
              <w:rPr>
                <w:rStyle w:val="31"/>
                <w:rFonts w:ascii="宋体" w:hAnsi="宋体" w:eastAsia="宋体"/>
                <w:color w:val="auto"/>
                <w:sz w:val="21"/>
                <w:szCs w:val="21"/>
                <w:highlight w:val="none"/>
              </w:rPr>
              <w:t>24</w:t>
            </w:r>
            <w:r>
              <w:rPr>
                <w:rStyle w:val="31"/>
                <w:rFonts w:hint="eastAsia" w:ascii="宋体" w:hAnsi="宋体" w:eastAsia="宋体"/>
                <w:color w:val="auto"/>
                <w:sz w:val="21"/>
                <w:szCs w:val="21"/>
                <w:highlight w:val="none"/>
              </w:rPr>
              <w:t>项</w:t>
            </w:r>
            <w:bookmarkEnd w:id="31"/>
          </w:p>
          <w:bookmarkEnd w:id="32"/>
          <w:bookmarkEnd w:id="33"/>
        </w:tc>
        <w:tc>
          <w:tcPr>
            <w:tcW w:w="1869" w:type="dxa"/>
            <w:noWrap w:val="0"/>
            <w:vAlign w:val="center"/>
          </w:tcPr>
          <w:p w14:paraId="1236D5D3">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1"/>
                <w:rFonts w:hint="eastAsia" w:ascii="宋体" w:hAnsi="宋体" w:eastAsia="宋体"/>
                <w:color w:val="auto"/>
                <w:sz w:val="21"/>
                <w:szCs w:val="21"/>
                <w:highlight w:val="none"/>
              </w:rPr>
            </w:pPr>
          </w:p>
        </w:tc>
      </w:tr>
      <w:tr w14:paraId="29A0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vMerge w:val="restart"/>
            <w:noWrap w:val="0"/>
            <w:vAlign w:val="center"/>
          </w:tcPr>
          <w:p w14:paraId="1907AD7F">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626" w:type="dxa"/>
            <w:gridSpan w:val="2"/>
            <w:vMerge w:val="restart"/>
            <w:noWrap w:val="0"/>
            <w:vAlign w:val="center"/>
          </w:tcPr>
          <w:p w14:paraId="5F8B3D71">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随意倾倒、抛撒或者堆放建筑垃圾</w:t>
            </w:r>
          </w:p>
        </w:tc>
        <w:tc>
          <w:tcPr>
            <w:tcW w:w="2981" w:type="dxa"/>
            <w:vMerge w:val="restart"/>
            <w:noWrap w:val="0"/>
            <w:vAlign w:val="center"/>
          </w:tcPr>
          <w:p w14:paraId="0FFBBC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违反条款：第六条第二款；</w:t>
            </w:r>
          </w:p>
          <w:p w14:paraId="276A1BF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处罚条款：第三十四条第一款 责令限期改正，对施工单位依法处10万元以上100万元以下罚款，没收违法所得；对运输服务单位依法处5万元以上50万元以下罚款，没收违法所得，情节严重的，由城市管理综合执法部门吊销生活垃圾运输经营许可；对产生建筑垃圾的个人处200元以下罚款。</w:t>
            </w:r>
          </w:p>
        </w:tc>
        <w:tc>
          <w:tcPr>
            <w:tcW w:w="851" w:type="dxa"/>
            <w:noWrap w:val="0"/>
            <w:vAlign w:val="center"/>
          </w:tcPr>
          <w:p w14:paraId="630285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100000</w:t>
            </w:r>
          </w:p>
          <w:p w14:paraId="2D905B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eastAsia="zh-CN"/>
              </w:rPr>
              <w:t>施工</w:t>
            </w:r>
            <w:r>
              <w:rPr>
                <w:rFonts w:hint="eastAsia" w:ascii="宋体" w:hAnsi="宋体" w:eastAsia="宋体" w:cs="宋体"/>
                <w:color w:val="auto"/>
                <w:sz w:val="15"/>
                <w:szCs w:val="15"/>
                <w:highlight w:val="none"/>
              </w:rPr>
              <w:t>单位）</w:t>
            </w:r>
          </w:p>
        </w:tc>
        <w:tc>
          <w:tcPr>
            <w:tcW w:w="840" w:type="dxa"/>
            <w:noWrap w:val="0"/>
            <w:vAlign w:val="center"/>
          </w:tcPr>
          <w:p w14:paraId="125852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1</w:t>
            </w:r>
          </w:p>
        </w:tc>
        <w:tc>
          <w:tcPr>
            <w:tcW w:w="2376" w:type="dxa"/>
            <w:noWrap w:val="0"/>
            <w:vAlign w:val="center"/>
          </w:tcPr>
          <w:p w14:paraId="329E0D9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ascii="宋体" w:hAnsi="宋体" w:eastAsia="宋体"/>
                <w:color w:val="auto"/>
                <w:sz w:val="15"/>
                <w:szCs w:val="15"/>
                <w:highlight w:val="none"/>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建筑垃圾占地面积11</w:t>
            </w:r>
            <w:r>
              <w:rPr>
                <w:rFonts w:hint="eastAsia" w:ascii="宋体" w:hAnsi="宋体" w:cs="宋体"/>
                <w:b w:val="0"/>
                <w:bCs w:val="0"/>
                <w:color w:val="auto"/>
                <w:sz w:val="15"/>
                <w:szCs w:val="15"/>
                <w:highlight w:val="none"/>
                <w:lang w:val="en-US" w:eastAsia="zh-CN"/>
              </w:rPr>
              <w:t>-</w:t>
            </w:r>
            <w:r>
              <w:rPr>
                <w:rFonts w:hint="eastAsia" w:ascii="宋体" w:hAnsi="宋体" w:eastAsia="宋体" w:cs="宋体"/>
                <w:b w:val="0"/>
                <w:bCs w:val="0"/>
                <w:color w:val="auto"/>
                <w:sz w:val="15"/>
                <w:szCs w:val="15"/>
                <w:highlight w:val="none"/>
              </w:rPr>
              <w:t>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），系数</w:t>
            </w:r>
            <w:r>
              <w:rPr>
                <w:rFonts w:hint="eastAsia" w:ascii="宋体" w:hAnsi="宋体"/>
                <w:color w:val="auto"/>
                <w:sz w:val="15"/>
                <w:szCs w:val="15"/>
                <w:highlight w:val="none"/>
                <w:lang w:val="en-US" w:eastAsia="zh-CN"/>
              </w:rPr>
              <w:t>5-6</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744BFD33">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罚款数额＝100000×（1＋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2020" w:type="dxa"/>
            <w:gridSpan w:val="2"/>
            <w:noWrap w:val="0"/>
            <w:vAlign w:val="center"/>
          </w:tcPr>
          <w:p w14:paraId="5F38A6B3">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w:t>
            </w:r>
            <w:r>
              <w:rPr>
                <w:rFonts w:hint="eastAsia" w:ascii="宋体" w:hAnsi="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lang w:eastAsia="zh-CN"/>
              </w:rPr>
              <w:t>与倾倒、抛撒、堆放点位重叠时，不适用区域台账。</w:t>
            </w:r>
          </w:p>
          <w:p w14:paraId="384788B9">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14:paraId="67C132C5">
            <w:pPr>
              <w:pStyle w:val="8"/>
              <w:keepNext w:val="0"/>
              <w:keepLines w:val="0"/>
              <w:pageBreakBefore w:val="0"/>
              <w:kinsoku/>
              <w:wordWrap/>
              <w:overflowPunct/>
              <w:topLinePunct w:val="0"/>
              <w:autoSpaceDE/>
              <w:autoSpaceDN/>
              <w:bidi w:val="0"/>
              <w:adjustRightInd/>
              <w:snapToGrid/>
              <w:spacing w:line="240" w:lineRule="auto"/>
              <w:rPr>
                <w:color w:val="auto"/>
                <w:highlight w:val="none"/>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1304" w:type="dxa"/>
            <w:gridSpan w:val="2"/>
            <w:vMerge w:val="restart"/>
            <w:noWrap w:val="0"/>
            <w:vAlign w:val="center"/>
          </w:tcPr>
          <w:p w14:paraId="32A47ADB">
            <w:pPr>
              <w:spacing w:line="180"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区级</w:t>
            </w:r>
          </w:p>
          <w:p w14:paraId="5DBD0E8F">
            <w:pPr>
              <w:spacing w:line="180" w:lineRule="exact"/>
              <w:jc w:val="center"/>
              <w:rPr>
                <w:rFonts w:ascii="宋体" w:hAnsi="宋体" w:eastAsia="宋体" w:cs="宋体"/>
                <w:b/>
                <w:bCs/>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vMerge w:val="restart"/>
            <w:noWrap w:val="0"/>
            <w:vAlign w:val="center"/>
          </w:tcPr>
          <w:p w14:paraId="66431159">
            <w:pPr>
              <w:spacing w:line="180" w:lineRule="exact"/>
              <w:jc w:val="center"/>
              <w:rPr>
                <w:rFonts w:hint="eastAsia" w:ascii="宋体" w:hAnsi="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C4614000</w:t>
            </w:r>
          </w:p>
          <w:p w14:paraId="28AC3364">
            <w:pPr>
              <w:spacing w:line="204" w:lineRule="exact"/>
              <w:jc w:val="center"/>
              <w:rPr>
                <w:rFonts w:hint="eastAsia" w:ascii="宋体" w:hAnsi="宋体" w:eastAsia="宋体"/>
                <w:color w:val="auto"/>
                <w:sz w:val="15"/>
                <w:szCs w:val="15"/>
                <w:highlight w:val="none"/>
                <w:lang w:eastAsia="zh"/>
              </w:rPr>
            </w:pPr>
          </w:p>
        </w:tc>
      </w:tr>
      <w:tr w14:paraId="01EC7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98" w:hRule="atLeast"/>
        </w:trPr>
        <w:tc>
          <w:tcPr>
            <w:tcW w:w="714" w:type="dxa"/>
            <w:vMerge w:val="continue"/>
            <w:noWrap w:val="0"/>
            <w:vAlign w:val="center"/>
          </w:tcPr>
          <w:p w14:paraId="4B76562D">
            <w:pPr>
              <w:spacing w:line="180"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2A6DE0CE">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p>
        </w:tc>
        <w:tc>
          <w:tcPr>
            <w:tcW w:w="2981" w:type="dxa"/>
            <w:vMerge w:val="continue"/>
            <w:noWrap w:val="0"/>
            <w:vAlign w:val="center"/>
          </w:tcPr>
          <w:p w14:paraId="18544540">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p>
        </w:tc>
        <w:tc>
          <w:tcPr>
            <w:tcW w:w="851" w:type="dxa"/>
            <w:noWrap w:val="0"/>
            <w:vAlign w:val="center"/>
          </w:tcPr>
          <w:p w14:paraId="35E840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50000（</w:t>
            </w:r>
            <w:r>
              <w:rPr>
                <w:rFonts w:hint="eastAsia" w:ascii="宋体" w:hAnsi="宋体" w:eastAsia="宋体" w:cs="宋体"/>
                <w:color w:val="auto"/>
                <w:sz w:val="15"/>
                <w:szCs w:val="15"/>
                <w:highlight w:val="none"/>
              </w:rPr>
              <w:t>运输服务单位</w:t>
            </w:r>
            <w:r>
              <w:rPr>
                <w:rFonts w:hint="eastAsia" w:ascii="宋体" w:hAnsi="宋体" w:eastAsia="宋体" w:cs="宋体"/>
                <w:color w:val="auto"/>
                <w:sz w:val="15"/>
                <w:szCs w:val="15"/>
                <w:highlight w:val="none"/>
                <w:lang w:val="en-US" w:eastAsia="zh-CN"/>
              </w:rPr>
              <w:t>）</w:t>
            </w:r>
          </w:p>
        </w:tc>
        <w:tc>
          <w:tcPr>
            <w:tcW w:w="840" w:type="dxa"/>
            <w:noWrap w:val="0"/>
            <w:vAlign w:val="center"/>
          </w:tcPr>
          <w:p w14:paraId="2F9153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2376" w:type="dxa"/>
            <w:noWrap w:val="0"/>
            <w:vAlign w:val="center"/>
          </w:tcPr>
          <w:p w14:paraId="59CEB3F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建筑垃圾占地面积11—15㎡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cs="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），系数</w:t>
            </w:r>
            <w:r>
              <w:rPr>
                <w:rFonts w:hint="eastAsia" w:ascii="宋体" w:hAnsi="宋体"/>
                <w:color w:val="auto"/>
                <w:sz w:val="15"/>
                <w:szCs w:val="15"/>
                <w:highlight w:val="none"/>
                <w:lang w:val="en-US" w:eastAsia="zh-CN"/>
              </w:rPr>
              <w:t xml:space="preserve">5-6 </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62A15180">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2020" w:type="dxa"/>
            <w:gridSpan w:val="2"/>
            <w:noWrap w:val="0"/>
            <w:vAlign w:val="center"/>
          </w:tcPr>
          <w:p w14:paraId="145B59EA">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w:t>
            </w:r>
            <w:r>
              <w:rPr>
                <w:rFonts w:hint="eastAsia" w:ascii="宋体" w:hAnsi="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lang w:eastAsia="zh-CN"/>
              </w:rPr>
              <w:t>与倾倒、抛撒、堆放点位重叠时，不适用区域台账。</w:t>
            </w:r>
          </w:p>
          <w:p w14:paraId="4CD1C8F2">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14:paraId="202E72C9">
            <w:pPr>
              <w:pStyle w:val="8"/>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1304" w:type="dxa"/>
            <w:gridSpan w:val="2"/>
            <w:vMerge w:val="continue"/>
            <w:noWrap w:val="0"/>
            <w:vAlign w:val="center"/>
          </w:tcPr>
          <w:p w14:paraId="19CA509A">
            <w:pPr>
              <w:spacing w:line="204" w:lineRule="exact"/>
              <w:jc w:val="center"/>
              <w:rPr>
                <w:rFonts w:ascii="宋体" w:hAnsi="宋体" w:eastAsia="宋体"/>
                <w:color w:val="auto"/>
                <w:sz w:val="15"/>
                <w:szCs w:val="15"/>
                <w:highlight w:val="none"/>
              </w:rPr>
            </w:pPr>
          </w:p>
        </w:tc>
        <w:tc>
          <w:tcPr>
            <w:tcW w:w="1869" w:type="dxa"/>
            <w:vMerge w:val="continue"/>
            <w:noWrap w:val="0"/>
            <w:vAlign w:val="center"/>
          </w:tcPr>
          <w:p w14:paraId="1CBC42E5">
            <w:pPr>
              <w:spacing w:line="204" w:lineRule="exact"/>
              <w:jc w:val="center"/>
              <w:rPr>
                <w:rFonts w:hint="eastAsia" w:ascii="宋体" w:hAnsi="宋体" w:eastAsia="宋体"/>
                <w:color w:val="auto"/>
                <w:sz w:val="15"/>
                <w:szCs w:val="15"/>
                <w:highlight w:val="none"/>
                <w:lang w:eastAsia="zh"/>
              </w:rPr>
            </w:pPr>
          </w:p>
        </w:tc>
      </w:tr>
      <w:tr w14:paraId="277B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45" w:hRule="atLeast"/>
        </w:trPr>
        <w:tc>
          <w:tcPr>
            <w:tcW w:w="714" w:type="dxa"/>
            <w:vMerge w:val="continue"/>
            <w:noWrap w:val="0"/>
            <w:vAlign w:val="center"/>
          </w:tcPr>
          <w:p w14:paraId="7ED28F3F">
            <w:pPr>
              <w:spacing w:line="204"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69B87FB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kern w:val="0"/>
                <w:sz w:val="15"/>
                <w:szCs w:val="15"/>
                <w:highlight w:val="none"/>
              </w:rPr>
            </w:pPr>
          </w:p>
        </w:tc>
        <w:tc>
          <w:tcPr>
            <w:tcW w:w="2981" w:type="dxa"/>
            <w:vMerge w:val="continue"/>
            <w:noWrap w:val="0"/>
            <w:vAlign w:val="center"/>
          </w:tcPr>
          <w:p w14:paraId="11987B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851" w:type="dxa"/>
            <w:noWrap w:val="0"/>
            <w:vAlign w:val="center"/>
          </w:tcPr>
          <w:p w14:paraId="604752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个人</w:t>
            </w:r>
          </w:p>
        </w:tc>
        <w:tc>
          <w:tcPr>
            <w:tcW w:w="840" w:type="dxa"/>
            <w:noWrap w:val="0"/>
            <w:vAlign w:val="center"/>
          </w:tcPr>
          <w:p w14:paraId="304D6C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2376" w:type="dxa"/>
            <w:noWrap w:val="0"/>
            <w:vAlign w:val="center"/>
          </w:tcPr>
          <w:p w14:paraId="6FC8C8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1875" w:type="dxa"/>
            <w:gridSpan w:val="2"/>
            <w:noWrap w:val="0"/>
            <w:vAlign w:val="center"/>
          </w:tcPr>
          <w:p w14:paraId="0DB23A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2020" w:type="dxa"/>
            <w:gridSpan w:val="2"/>
            <w:noWrap w:val="0"/>
            <w:vAlign w:val="center"/>
          </w:tcPr>
          <w:p w14:paraId="1B9FCD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参照基准规定，并根据实际情况处罚。</w:t>
            </w:r>
          </w:p>
        </w:tc>
        <w:tc>
          <w:tcPr>
            <w:tcW w:w="1304" w:type="dxa"/>
            <w:gridSpan w:val="2"/>
            <w:vMerge w:val="continue"/>
            <w:noWrap w:val="0"/>
            <w:vAlign w:val="center"/>
          </w:tcPr>
          <w:p w14:paraId="5A2BCE14">
            <w:pPr>
              <w:spacing w:line="204" w:lineRule="exact"/>
              <w:jc w:val="center"/>
              <w:rPr>
                <w:rFonts w:ascii="宋体" w:hAnsi="宋体" w:eastAsia="宋体"/>
                <w:color w:val="auto"/>
                <w:sz w:val="15"/>
                <w:szCs w:val="15"/>
                <w:highlight w:val="none"/>
              </w:rPr>
            </w:pPr>
          </w:p>
        </w:tc>
        <w:tc>
          <w:tcPr>
            <w:tcW w:w="1869" w:type="dxa"/>
            <w:vMerge w:val="continue"/>
            <w:noWrap w:val="0"/>
            <w:vAlign w:val="center"/>
          </w:tcPr>
          <w:p w14:paraId="1B58F927">
            <w:pPr>
              <w:spacing w:line="204" w:lineRule="exact"/>
              <w:jc w:val="center"/>
              <w:rPr>
                <w:rFonts w:hint="eastAsia" w:ascii="宋体" w:hAnsi="宋体" w:eastAsia="宋体"/>
                <w:color w:val="auto"/>
                <w:sz w:val="15"/>
                <w:szCs w:val="15"/>
                <w:highlight w:val="none"/>
                <w:lang w:eastAsia="zh"/>
              </w:rPr>
            </w:pPr>
          </w:p>
        </w:tc>
      </w:tr>
      <w:tr w14:paraId="7637B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vMerge w:val="restart"/>
            <w:noWrap w:val="0"/>
            <w:vAlign w:val="center"/>
          </w:tcPr>
          <w:p w14:paraId="0787B740">
            <w:pPr>
              <w:spacing w:line="204"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626" w:type="dxa"/>
            <w:gridSpan w:val="2"/>
            <w:vMerge w:val="restart"/>
            <w:noWrap w:val="0"/>
            <w:vAlign w:val="center"/>
          </w:tcPr>
          <w:p w14:paraId="2D480426">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建筑垃圾与其他</w:t>
            </w:r>
            <w:r>
              <w:rPr>
                <w:rFonts w:ascii="宋体" w:hAnsi="宋体" w:eastAsia="宋体"/>
                <w:color w:val="auto"/>
                <w:sz w:val="15"/>
                <w:szCs w:val="15"/>
                <w:highlight w:val="none"/>
              </w:rPr>
              <w:t>生活垃圾</w:t>
            </w:r>
            <w:r>
              <w:rPr>
                <w:rFonts w:hint="eastAsia" w:ascii="宋体" w:hAnsi="宋体" w:eastAsia="宋体"/>
                <w:color w:val="auto"/>
                <w:sz w:val="15"/>
                <w:szCs w:val="15"/>
                <w:highlight w:val="none"/>
              </w:rPr>
              <w:t>、</w:t>
            </w:r>
            <w:r>
              <w:rPr>
                <w:rFonts w:ascii="宋体" w:hAnsi="宋体" w:eastAsia="宋体"/>
                <w:color w:val="auto"/>
                <w:sz w:val="15"/>
                <w:szCs w:val="15"/>
                <w:highlight w:val="none"/>
              </w:rPr>
              <w:t>危险</w:t>
            </w:r>
            <w:r>
              <w:rPr>
                <w:rFonts w:hint="eastAsia" w:ascii="宋体" w:hAnsi="宋体" w:eastAsia="宋体"/>
                <w:color w:val="auto"/>
                <w:sz w:val="15"/>
                <w:szCs w:val="15"/>
                <w:highlight w:val="none"/>
              </w:rPr>
              <w:t>废物</w:t>
            </w:r>
            <w:r>
              <w:rPr>
                <w:rFonts w:ascii="宋体" w:hAnsi="宋体" w:eastAsia="宋体"/>
                <w:color w:val="auto"/>
                <w:sz w:val="15"/>
                <w:szCs w:val="15"/>
                <w:highlight w:val="none"/>
              </w:rPr>
              <w:t>混合</w:t>
            </w:r>
          </w:p>
        </w:tc>
        <w:tc>
          <w:tcPr>
            <w:tcW w:w="2981" w:type="dxa"/>
            <w:vMerge w:val="restart"/>
            <w:noWrap w:val="0"/>
            <w:vAlign w:val="center"/>
          </w:tcPr>
          <w:p w14:paraId="08A346A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第六条第二款；</w:t>
            </w:r>
            <w:r>
              <w:rPr>
                <w:rFonts w:ascii="宋体" w:hAnsi="宋体" w:eastAsia="宋体"/>
                <w:color w:val="auto"/>
                <w:sz w:val="15"/>
                <w:szCs w:val="15"/>
                <w:highlight w:val="none"/>
              </w:rPr>
              <w:br w:type="textWrapping"/>
            </w: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w:t>
            </w:r>
            <w:r>
              <w:rPr>
                <w:rFonts w:ascii="宋体" w:hAnsi="宋体" w:eastAsia="宋体"/>
                <w:color w:val="auto"/>
                <w:sz w:val="15"/>
                <w:szCs w:val="15"/>
                <w:highlight w:val="none"/>
              </w:rPr>
              <w:t>四条第三款</w:t>
            </w:r>
            <w:r>
              <w:rPr>
                <w:rFonts w:hint="eastAsia" w:ascii="宋体" w:hAnsi="宋体" w:eastAsia="宋体"/>
                <w:color w:val="auto"/>
                <w:sz w:val="15"/>
                <w:szCs w:val="15"/>
                <w:highlight w:val="none"/>
              </w:rPr>
              <w:t xml:space="preserve"> 责令立即改正，处1000元罚款；再次违反规定的，处1万元以上5万元以下罚款。</w:t>
            </w:r>
          </w:p>
        </w:tc>
        <w:tc>
          <w:tcPr>
            <w:tcW w:w="851" w:type="dxa"/>
            <w:noWrap w:val="0"/>
            <w:vAlign w:val="center"/>
          </w:tcPr>
          <w:p w14:paraId="367E99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w:t>
            </w:r>
          </w:p>
          <w:p w14:paraId="36551A6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（单位初次</w:t>
            </w:r>
            <w:r>
              <w:rPr>
                <w:rFonts w:ascii="宋体" w:hAnsi="宋体" w:eastAsia="宋体"/>
                <w:color w:val="auto"/>
                <w:sz w:val="15"/>
                <w:szCs w:val="15"/>
                <w:highlight w:val="none"/>
              </w:rPr>
              <w:t>违反</w:t>
            </w:r>
            <w:r>
              <w:rPr>
                <w:rFonts w:hint="eastAsia" w:ascii="宋体" w:hAnsi="宋体" w:eastAsia="宋体"/>
                <w:color w:val="auto"/>
                <w:sz w:val="15"/>
                <w:szCs w:val="15"/>
                <w:highlight w:val="none"/>
              </w:rPr>
              <w:t>）</w:t>
            </w:r>
          </w:p>
        </w:tc>
        <w:tc>
          <w:tcPr>
            <w:tcW w:w="840" w:type="dxa"/>
            <w:noWrap w:val="0"/>
            <w:vAlign w:val="center"/>
          </w:tcPr>
          <w:p w14:paraId="3A210F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3ACB825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b/>
                <w:bCs/>
                <w:color w:val="auto"/>
                <w:kern w:val="0"/>
                <w:sz w:val="15"/>
                <w:szCs w:val="15"/>
                <w:highlight w:val="none"/>
              </w:rPr>
            </w:pPr>
          </w:p>
        </w:tc>
        <w:tc>
          <w:tcPr>
            <w:tcW w:w="1875" w:type="dxa"/>
            <w:gridSpan w:val="2"/>
            <w:noWrap w:val="0"/>
            <w:vAlign w:val="center"/>
          </w:tcPr>
          <w:p w14:paraId="3EB0001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b/>
                <w:bCs/>
                <w:color w:val="auto"/>
                <w:kern w:val="0"/>
                <w:sz w:val="15"/>
                <w:szCs w:val="15"/>
                <w:highlight w:val="none"/>
              </w:rPr>
            </w:pPr>
          </w:p>
        </w:tc>
        <w:tc>
          <w:tcPr>
            <w:tcW w:w="2020" w:type="dxa"/>
            <w:gridSpan w:val="2"/>
            <w:noWrap w:val="0"/>
            <w:vAlign w:val="center"/>
          </w:tcPr>
          <w:p w14:paraId="3D2732B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w:t>
            </w:r>
            <w:r>
              <w:rPr>
                <w:rFonts w:ascii="宋体" w:hAnsi="宋体" w:eastAsia="宋体"/>
                <w:color w:val="auto"/>
                <w:sz w:val="15"/>
                <w:szCs w:val="15"/>
                <w:highlight w:val="none"/>
              </w:rPr>
              <w:t>规定执行</w:t>
            </w:r>
            <w:r>
              <w:rPr>
                <w:rFonts w:hint="eastAsia" w:ascii="宋体" w:hAnsi="宋体" w:eastAsia="宋体"/>
                <w:color w:val="auto"/>
                <w:sz w:val="15"/>
                <w:szCs w:val="15"/>
                <w:highlight w:val="none"/>
                <w:lang w:eastAsia="zh-CN"/>
              </w:rPr>
              <w:t>。</w:t>
            </w:r>
          </w:p>
        </w:tc>
        <w:tc>
          <w:tcPr>
            <w:tcW w:w="1304" w:type="dxa"/>
            <w:gridSpan w:val="2"/>
            <w:noWrap w:val="0"/>
            <w:vAlign w:val="center"/>
          </w:tcPr>
          <w:p w14:paraId="0BC43D49">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1FCD2096">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vMerge w:val="restart"/>
            <w:noWrap w:val="0"/>
            <w:vAlign w:val="center"/>
          </w:tcPr>
          <w:p w14:paraId="2FC94076">
            <w:pPr>
              <w:keepNext w:val="0"/>
              <w:keepLines w:val="0"/>
              <w:widowControl/>
              <w:suppressLineNumbers w:val="0"/>
              <w:jc w:val="left"/>
              <w:rPr>
                <w:highlight w:val="none"/>
              </w:rPr>
            </w:pPr>
          </w:p>
          <w:p w14:paraId="10103B39">
            <w:pPr>
              <w:spacing w:line="204"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C4613000</w:t>
            </w:r>
          </w:p>
        </w:tc>
      </w:tr>
      <w:tr w14:paraId="6A60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73" w:hRule="atLeast"/>
        </w:trPr>
        <w:tc>
          <w:tcPr>
            <w:tcW w:w="714" w:type="dxa"/>
            <w:vMerge w:val="continue"/>
            <w:noWrap w:val="0"/>
            <w:vAlign w:val="center"/>
          </w:tcPr>
          <w:p w14:paraId="41E16574">
            <w:pPr>
              <w:spacing w:line="204"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2228E1A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981" w:type="dxa"/>
            <w:vMerge w:val="continue"/>
            <w:noWrap w:val="0"/>
            <w:vAlign w:val="center"/>
          </w:tcPr>
          <w:p w14:paraId="203E3F8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851" w:type="dxa"/>
            <w:noWrap w:val="0"/>
            <w:vAlign w:val="center"/>
          </w:tcPr>
          <w:p w14:paraId="04153A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p w14:paraId="05690F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（单位</w:t>
            </w:r>
            <w:r>
              <w:rPr>
                <w:rFonts w:ascii="宋体" w:hAnsi="宋体" w:eastAsia="宋体"/>
                <w:color w:val="auto"/>
                <w:sz w:val="15"/>
                <w:szCs w:val="15"/>
                <w:highlight w:val="none"/>
              </w:rPr>
              <w:t>再次违反）</w:t>
            </w:r>
          </w:p>
        </w:tc>
        <w:tc>
          <w:tcPr>
            <w:tcW w:w="840" w:type="dxa"/>
            <w:noWrap w:val="0"/>
            <w:vAlign w:val="center"/>
          </w:tcPr>
          <w:p w14:paraId="0A47A0D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1A35CCA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.建筑垃圾混合危险废物的，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.建筑垃圾同时混合生活垃圾、危险废物，</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违法事件持续较长，建筑垃圾与其他生活垃圾、危险废物混合产生量较大，造成环境秩序较严重影响的，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13EEA99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68F8F70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曾因此违法行为受到过行政处罚，再次违反的适用此情形。</w:t>
            </w:r>
          </w:p>
        </w:tc>
        <w:tc>
          <w:tcPr>
            <w:tcW w:w="1304" w:type="dxa"/>
            <w:gridSpan w:val="2"/>
            <w:vMerge w:val="restart"/>
            <w:noWrap w:val="0"/>
            <w:vAlign w:val="center"/>
          </w:tcPr>
          <w:p w14:paraId="2F8C3578">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25E2BCA5">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vMerge w:val="continue"/>
            <w:noWrap w:val="0"/>
            <w:vAlign w:val="center"/>
          </w:tcPr>
          <w:p w14:paraId="747A098F">
            <w:pPr>
              <w:spacing w:line="204" w:lineRule="exact"/>
              <w:jc w:val="center"/>
              <w:rPr>
                <w:rFonts w:hint="eastAsia" w:ascii="宋体" w:hAnsi="宋体" w:eastAsia="宋体" w:cs="宋体"/>
                <w:color w:val="auto"/>
                <w:kern w:val="0"/>
                <w:sz w:val="15"/>
                <w:szCs w:val="15"/>
                <w:highlight w:val="none"/>
                <w:lang w:eastAsia="zh"/>
              </w:rPr>
            </w:pPr>
          </w:p>
        </w:tc>
      </w:tr>
      <w:tr w14:paraId="38CD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61" w:hRule="atLeast"/>
        </w:trPr>
        <w:tc>
          <w:tcPr>
            <w:tcW w:w="714" w:type="dxa"/>
            <w:vMerge w:val="continue"/>
            <w:noWrap w:val="0"/>
            <w:vAlign w:val="center"/>
          </w:tcPr>
          <w:p w14:paraId="3D2D13E3">
            <w:pPr>
              <w:spacing w:line="204"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1BD8723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981" w:type="dxa"/>
            <w:vMerge w:val="restart"/>
            <w:noWrap w:val="0"/>
            <w:vAlign w:val="center"/>
          </w:tcPr>
          <w:p w14:paraId="4827B6B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违反条款：第六条第二款；</w:t>
            </w:r>
          </w:p>
          <w:p w14:paraId="51F897B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处罚条款：第三十四条第四款 给予书面警告，再次违反规定的，处50元以上200元以下罚款。</w:t>
            </w:r>
          </w:p>
        </w:tc>
        <w:tc>
          <w:tcPr>
            <w:tcW w:w="851" w:type="dxa"/>
            <w:noWrap w:val="0"/>
            <w:vAlign w:val="center"/>
          </w:tcPr>
          <w:p w14:paraId="7BCA32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警告</w:t>
            </w:r>
          </w:p>
          <w:p w14:paraId="1986E3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ascii="宋体" w:hAnsi="宋体" w:eastAsia="宋体"/>
                <w:color w:val="auto"/>
                <w:sz w:val="15"/>
                <w:szCs w:val="15"/>
                <w:highlight w:val="none"/>
              </w:rPr>
              <w:t>（</w:t>
            </w:r>
            <w:r>
              <w:rPr>
                <w:rFonts w:hint="eastAsia" w:ascii="宋体" w:hAnsi="宋体" w:eastAsia="宋体"/>
                <w:color w:val="auto"/>
                <w:sz w:val="15"/>
                <w:szCs w:val="15"/>
                <w:highlight w:val="none"/>
              </w:rPr>
              <w:t>个人初次</w:t>
            </w:r>
            <w:r>
              <w:rPr>
                <w:rFonts w:ascii="宋体" w:hAnsi="宋体" w:eastAsia="宋体"/>
                <w:color w:val="auto"/>
                <w:sz w:val="15"/>
                <w:szCs w:val="15"/>
                <w:highlight w:val="none"/>
              </w:rPr>
              <w:t>违反）</w:t>
            </w:r>
          </w:p>
        </w:tc>
        <w:tc>
          <w:tcPr>
            <w:tcW w:w="840" w:type="dxa"/>
            <w:noWrap w:val="0"/>
            <w:vAlign w:val="center"/>
          </w:tcPr>
          <w:p w14:paraId="6D9AFD9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2376" w:type="dxa"/>
            <w:noWrap w:val="0"/>
            <w:vAlign w:val="center"/>
          </w:tcPr>
          <w:p w14:paraId="6DFEF0E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1875" w:type="dxa"/>
            <w:gridSpan w:val="2"/>
            <w:noWrap w:val="0"/>
            <w:vAlign w:val="center"/>
          </w:tcPr>
          <w:p w14:paraId="07F4E9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2020" w:type="dxa"/>
            <w:gridSpan w:val="2"/>
            <w:noWrap w:val="0"/>
            <w:vAlign w:val="center"/>
          </w:tcPr>
          <w:p w14:paraId="3D95DD66">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个人拒不听从生活垃圾分类管理责任人劝阻，且拒不改正的，适用此情形。初次违反的，书面警告。</w:t>
            </w:r>
          </w:p>
        </w:tc>
        <w:tc>
          <w:tcPr>
            <w:tcW w:w="1304" w:type="dxa"/>
            <w:gridSpan w:val="2"/>
            <w:vMerge w:val="continue"/>
            <w:noWrap w:val="0"/>
            <w:vAlign w:val="center"/>
          </w:tcPr>
          <w:p w14:paraId="143FE119">
            <w:pPr>
              <w:spacing w:line="204"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341F3B27">
            <w:pPr>
              <w:spacing w:line="204" w:lineRule="exact"/>
              <w:jc w:val="center"/>
              <w:rPr>
                <w:rFonts w:hint="eastAsia" w:ascii="宋体" w:hAnsi="宋体" w:eastAsia="宋体" w:cs="宋体"/>
                <w:color w:val="auto"/>
                <w:kern w:val="0"/>
                <w:sz w:val="15"/>
                <w:szCs w:val="15"/>
                <w:highlight w:val="none"/>
                <w:lang w:eastAsia="zh"/>
              </w:rPr>
            </w:pPr>
          </w:p>
        </w:tc>
      </w:tr>
      <w:tr w14:paraId="4708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vMerge w:val="continue"/>
            <w:noWrap w:val="0"/>
            <w:vAlign w:val="center"/>
          </w:tcPr>
          <w:p w14:paraId="2E83F0F5">
            <w:pPr>
              <w:spacing w:line="204"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61B78C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2981" w:type="dxa"/>
            <w:vMerge w:val="continue"/>
            <w:noWrap w:val="0"/>
            <w:vAlign w:val="center"/>
          </w:tcPr>
          <w:p w14:paraId="696A28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851" w:type="dxa"/>
            <w:noWrap w:val="0"/>
            <w:vAlign w:val="center"/>
          </w:tcPr>
          <w:p w14:paraId="7FE417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w:t>
            </w:r>
          </w:p>
          <w:p w14:paraId="117245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r>
              <w:rPr>
                <w:rFonts w:ascii="宋体" w:hAnsi="宋体" w:eastAsia="宋体"/>
                <w:color w:val="auto"/>
                <w:sz w:val="15"/>
                <w:szCs w:val="15"/>
                <w:highlight w:val="none"/>
              </w:rPr>
              <w:t>再次违反</w:t>
            </w:r>
            <w:r>
              <w:rPr>
                <w:rFonts w:hint="eastAsia" w:ascii="宋体" w:hAnsi="宋体" w:eastAsia="宋体"/>
                <w:color w:val="auto"/>
                <w:sz w:val="15"/>
                <w:szCs w:val="15"/>
                <w:highlight w:val="none"/>
              </w:rPr>
              <w:t>）</w:t>
            </w:r>
          </w:p>
        </w:tc>
        <w:tc>
          <w:tcPr>
            <w:tcW w:w="840" w:type="dxa"/>
            <w:noWrap w:val="0"/>
            <w:vAlign w:val="center"/>
          </w:tcPr>
          <w:p w14:paraId="5CDE9BB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7C90CA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013867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38C18908">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个人拒不听从生活垃圾分类管理责任人劝阻，且拒不改正的，适用此情形。</w:t>
            </w:r>
          </w:p>
          <w:p w14:paraId="11B688A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2.曾因此违法行为受到过行政处罚，再次违反的适用此情形。</w:t>
            </w:r>
          </w:p>
        </w:tc>
        <w:tc>
          <w:tcPr>
            <w:tcW w:w="1304" w:type="dxa"/>
            <w:gridSpan w:val="2"/>
            <w:vMerge w:val="continue"/>
            <w:noWrap w:val="0"/>
            <w:vAlign w:val="center"/>
          </w:tcPr>
          <w:p w14:paraId="449C5145">
            <w:pPr>
              <w:spacing w:line="204"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6412D8AE">
            <w:pPr>
              <w:spacing w:line="204" w:lineRule="exact"/>
              <w:jc w:val="center"/>
              <w:rPr>
                <w:rFonts w:hint="eastAsia" w:ascii="宋体" w:hAnsi="宋体" w:eastAsia="宋体" w:cs="宋体"/>
                <w:color w:val="auto"/>
                <w:kern w:val="0"/>
                <w:sz w:val="15"/>
                <w:szCs w:val="15"/>
                <w:highlight w:val="none"/>
                <w:lang w:eastAsia="zh"/>
              </w:rPr>
            </w:pPr>
          </w:p>
        </w:tc>
      </w:tr>
      <w:tr w14:paraId="0E110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2FAAC845">
            <w:pPr>
              <w:spacing w:line="232" w:lineRule="exact"/>
              <w:jc w:val="center"/>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3</w:t>
            </w:r>
          </w:p>
        </w:tc>
        <w:tc>
          <w:tcPr>
            <w:tcW w:w="1626" w:type="dxa"/>
            <w:gridSpan w:val="2"/>
            <w:noWrap w:val="0"/>
            <w:vAlign w:val="center"/>
          </w:tcPr>
          <w:p w14:paraId="553EE8D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生活垃</w:t>
            </w:r>
            <w:r>
              <w:rPr>
                <w:rFonts w:hint="eastAsia" w:ascii="宋体" w:hAnsi="宋体" w:eastAsia="宋体"/>
                <w:color w:val="auto"/>
                <w:sz w:val="15"/>
                <w:szCs w:val="15"/>
                <w:highlight w:val="none"/>
                <w:shd w:val="clear" w:color="auto" w:fill="auto"/>
              </w:rPr>
              <w:t>圾</w:t>
            </w:r>
            <w:r>
              <w:rPr>
                <w:rFonts w:ascii="宋体" w:hAnsi="宋体" w:eastAsia="宋体"/>
                <w:color w:val="auto"/>
                <w:sz w:val="15"/>
                <w:szCs w:val="15"/>
                <w:highlight w:val="none"/>
                <w:shd w:val="clear" w:color="auto" w:fill="auto"/>
              </w:rPr>
              <w:t>分类管理</w:t>
            </w:r>
            <w:r>
              <w:rPr>
                <w:rFonts w:hint="eastAsia" w:ascii="宋体" w:hAnsi="宋体" w:eastAsia="宋体"/>
                <w:color w:val="auto"/>
                <w:sz w:val="15"/>
                <w:szCs w:val="15"/>
                <w:highlight w:val="none"/>
                <w:shd w:val="clear" w:color="auto" w:fill="auto"/>
                <w:lang w:eastAsia="zh-CN"/>
              </w:rPr>
              <w:t>责任</w:t>
            </w:r>
            <w:r>
              <w:rPr>
                <w:rFonts w:ascii="宋体" w:hAnsi="宋体" w:eastAsia="宋体"/>
                <w:color w:val="auto"/>
                <w:sz w:val="15"/>
                <w:szCs w:val="15"/>
                <w:highlight w:val="none"/>
                <w:shd w:val="clear" w:color="auto" w:fill="auto"/>
              </w:rPr>
              <w:t>人</w:t>
            </w:r>
            <w:r>
              <w:rPr>
                <w:rFonts w:hint="eastAsia" w:ascii="宋体" w:hAnsi="宋体" w:eastAsia="宋体"/>
                <w:color w:val="auto"/>
                <w:sz w:val="15"/>
                <w:szCs w:val="15"/>
                <w:highlight w:val="none"/>
                <w:shd w:val="clear" w:color="auto" w:fill="auto"/>
              </w:rPr>
              <w:t>对居民装</w:t>
            </w:r>
            <w:r>
              <w:rPr>
                <w:rFonts w:hint="eastAsia" w:ascii="宋体" w:hAnsi="宋体" w:eastAsia="宋体"/>
                <w:color w:val="auto"/>
                <w:sz w:val="15"/>
                <w:szCs w:val="15"/>
                <w:highlight w:val="none"/>
              </w:rPr>
              <w:t>饰装修产生的建筑垃圾未制定治理方案</w:t>
            </w:r>
          </w:p>
        </w:tc>
        <w:tc>
          <w:tcPr>
            <w:tcW w:w="2981" w:type="dxa"/>
            <w:noWrap w:val="0"/>
            <w:vAlign w:val="center"/>
          </w:tcPr>
          <w:p w14:paraId="522C1A4B">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第十条第二款规定</w:t>
            </w:r>
          </w:p>
          <w:p w14:paraId="660DCDD8">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第三十五条 责令立即改正，处3000元以上3万元以下罚款。</w:t>
            </w:r>
          </w:p>
        </w:tc>
        <w:tc>
          <w:tcPr>
            <w:tcW w:w="851" w:type="dxa"/>
            <w:noWrap w:val="0"/>
            <w:vAlign w:val="center"/>
          </w:tcPr>
          <w:p w14:paraId="3979D0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3000</w:t>
            </w:r>
          </w:p>
        </w:tc>
        <w:tc>
          <w:tcPr>
            <w:tcW w:w="840" w:type="dxa"/>
            <w:noWrap w:val="0"/>
            <w:vAlign w:val="center"/>
          </w:tcPr>
          <w:p w14:paraId="2FA390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60246182">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宋体"/>
                <w:b w:val="0"/>
                <w:bCs w:val="0"/>
                <w:color w:val="auto"/>
                <w:sz w:val="15"/>
                <w:szCs w:val="15"/>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违规运输处置垃圾2车次及以上的，系数1；4车次及以上的，系数3；6车次及以上的，系数5；8车次及以上的，系数7；10车次及以上的，系数9</w:t>
            </w:r>
            <w:r>
              <w:rPr>
                <w:rFonts w:hint="eastAsia" w:ascii="宋体" w:hAnsi="宋体" w:cs="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w:t>
            </w:r>
            <w:r>
              <w:rPr>
                <w:rFonts w:ascii="宋体" w:hAnsi="宋体" w:eastAsia="宋体"/>
                <w:b w:val="0"/>
                <w:bCs w:val="0"/>
                <w:color w:val="auto"/>
                <w:sz w:val="15"/>
                <w:szCs w:val="15"/>
                <w:highlight w:val="none"/>
              </w:rPr>
              <w:t>对环境造成影响的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6-9。</w:t>
            </w:r>
            <w:r>
              <w:rPr>
                <w:rFonts w:hint="eastAsia" w:ascii="宋体" w:hAnsi="宋体" w:cs="宋体"/>
                <w:b w:val="0"/>
                <w:bCs w:val="0"/>
                <w:color w:val="auto"/>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4F4A6FF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30</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6BC00407">
            <w:pPr>
              <w:widowControl w:val="0"/>
              <w:numPr>
                <w:ilvl w:val="0"/>
                <w:numId w:val="0"/>
              </w:numPr>
              <w:jc w:val="both"/>
              <w:rPr>
                <w:rFonts w:ascii="宋体" w:hAnsi="宋体" w:eastAsia="宋体"/>
                <w:color w:val="auto"/>
                <w:sz w:val="15"/>
                <w:szCs w:val="15"/>
                <w:highlight w:val="none"/>
              </w:rPr>
            </w:pPr>
          </w:p>
        </w:tc>
        <w:tc>
          <w:tcPr>
            <w:tcW w:w="1304" w:type="dxa"/>
            <w:gridSpan w:val="2"/>
            <w:noWrap w:val="0"/>
            <w:vAlign w:val="center"/>
          </w:tcPr>
          <w:p w14:paraId="3D75D4D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6EFB5397">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35979991">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C4608000</w:t>
            </w:r>
          </w:p>
        </w:tc>
      </w:tr>
      <w:tr w14:paraId="46A9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96" w:hRule="atLeast"/>
        </w:trPr>
        <w:tc>
          <w:tcPr>
            <w:tcW w:w="714" w:type="dxa"/>
            <w:noWrap w:val="0"/>
            <w:vAlign w:val="center"/>
          </w:tcPr>
          <w:p w14:paraId="0426093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626" w:type="dxa"/>
            <w:gridSpan w:val="2"/>
            <w:noWrap w:val="0"/>
            <w:vAlign w:val="center"/>
          </w:tcPr>
          <w:p w14:paraId="7314142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生活</w:t>
            </w:r>
            <w:r>
              <w:rPr>
                <w:rFonts w:ascii="宋体" w:hAnsi="宋体" w:eastAsia="宋体"/>
                <w:color w:val="auto"/>
                <w:sz w:val="15"/>
                <w:szCs w:val="15"/>
                <w:highlight w:val="none"/>
              </w:rPr>
              <w:t>垃圾分类管理责任人</w:t>
            </w:r>
            <w:r>
              <w:rPr>
                <w:rFonts w:hint="eastAsia" w:ascii="宋体" w:hAnsi="宋体" w:eastAsia="宋体"/>
                <w:color w:val="auto"/>
                <w:sz w:val="15"/>
                <w:szCs w:val="15"/>
                <w:highlight w:val="none"/>
              </w:rPr>
              <w:t>未明确建筑垃圾投放规范、时间和地点、监督投诉方式等事项</w:t>
            </w:r>
          </w:p>
        </w:tc>
        <w:tc>
          <w:tcPr>
            <w:tcW w:w="2981" w:type="dxa"/>
            <w:noWrap w:val="0"/>
            <w:vAlign w:val="center"/>
          </w:tcPr>
          <w:p w14:paraId="5E9A4AE8">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违反条款：第十条第二款规定</w:t>
            </w:r>
          </w:p>
          <w:p w14:paraId="7910BC0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处罚条款：第三十五条 责令立即改正，处3000元以上3万元以下罚款。</w:t>
            </w:r>
          </w:p>
        </w:tc>
        <w:tc>
          <w:tcPr>
            <w:tcW w:w="851" w:type="dxa"/>
            <w:noWrap w:val="0"/>
            <w:vAlign w:val="center"/>
          </w:tcPr>
          <w:p w14:paraId="58B134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3000</w:t>
            </w:r>
          </w:p>
        </w:tc>
        <w:tc>
          <w:tcPr>
            <w:tcW w:w="840" w:type="dxa"/>
            <w:noWrap w:val="0"/>
            <w:vAlign w:val="center"/>
          </w:tcPr>
          <w:p w14:paraId="18C240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7EC7D8F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b w:val="0"/>
                <w:bCs w:val="0"/>
                <w:color w:val="auto"/>
                <w:sz w:val="15"/>
                <w:szCs w:val="15"/>
                <w:highlight w:val="none"/>
                <w:lang w:eastAsia="zh-CN"/>
              </w:rPr>
            </w:pPr>
            <w:r>
              <w:rPr>
                <w:rFonts w:hint="eastAsia" w:ascii="宋体" w:hAnsi="宋体" w:eastAsia="宋体"/>
                <w:b w:val="0"/>
                <w:bCs w:val="0"/>
                <w:color w:val="auto"/>
                <w:sz w:val="15"/>
                <w:szCs w:val="15"/>
                <w:highlight w:val="none"/>
              </w:rPr>
              <w:t>1.有</w:t>
            </w:r>
            <w:r>
              <w:rPr>
                <w:rFonts w:ascii="宋体" w:hAnsi="宋体" w:eastAsia="宋体"/>
                <w:b w:val="0"/>
                <w:bCs w:val="0"/>
                <w:color w:val="auto"/>
                <w:sz w:val="15"/>
                <w:szCs w:val="15"/>
                <w:highlight w:val="none"/>
              </w:rPr>
              <w:t>治理方案的</w:t>
            </w:r>
            <w:r>
              <w:rPr>
                <w:rFonts w:hint="eastAsia" w:ascii="宋体" w:hAnsi="宋体" w:eastAsia="宋体"/>
                <w:b w:val="0"/>
                <w:bCs w:val="0"/>
                <w:color w:val="auto"/>
                <w:sz w:val="15"/>
                <w:szCs w:val="15"/>
                <w:highlight w:val="none"/>
              </w:rPr>
              <w:t>，但明确</w:t>
            </w:r>
            <w:r>
              <w:rPr>
                <w:rFonts w:ascii="宋体" w:hAnsi="宋体" w:eastAsia="宋体"/>
                <w:b w:val="0"/>
                <w:bCs w:val="0"/>
                <w:color w:val="auto"/>
                <w:sz w:val="15"/>
                <w:szCs w:val="15"/>
                <w:highlight w:val="none"/>
              </w:rPr>
              <w:t>事项造成缺项，</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w:t>
            </w:r>
            <w:r>
              <w:rPr>
                <w:rFonts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rPr>
              <w:t>；2.有</w:t>
            </w:r>
            <w:r>
              <w:rPr>
                <w:rFonts w:ascii="宋体" w:hAnsi="宋体" w:eastAsia="宋体"/>
                <w:b w:val="0"/>
                <w:bCs w:val="0"/>
                <w:color w:val="auto"/>
                <w:sz w:val="15"/>
                <w:szCs w:val="15"/>
                <w:highlight w:val="none"/>
              </w:rPr>
              <w:t>治理方案的，</w:t>
            </w:r>
            <w:r>
              <w:rPr>
                <w:rFonts w:hint="eastAsia" w:ascii="宋体" w:hAnsi="宋体" w:eastAsia="宋体"/>
                <w:b w:val="0"/>
                <w:bCs w:val="0"/>
                <w:color w:val="auto"/>
                <w:sz w:val="15"/>
                <w:szCs w:val="15"/>
                <w:highlight w:val="none"/>
              </w:rPr>
              <w:t>明确</w:t>
            </w:r>
            <w:r>
              <w:rPr>
                <w:rFonts w:ascii="宋体" w:hAnsi="宋体" w:eastAsia="宋体"/>
                <w:b w:val="0"/>
                <w:bCs w:val="0"/>
                <w:color w:val="auto"/>
                <w:sz w:val="15"/>
                <w:szCs w:val="15"/>
                <w:highlight w:val="none"/>
              </w:rPr>
              <w:t>事项造成缺项，且对环境</w:t>
            </w:r>
            <w:r>
              <w:rPr>
                <w:rFonts w:hint="eastAsia" w:ascii="宋体" w:hAnsi="宋体" w:eastAsia="宋体"/>
                <w:b w:val="0"/>
                <w:bCs w:val="0"/>
                <w:color w:val="auto"/>
                <w:sz w:val="15"/>
                <w:szCs w:val="15"/>
                <w:highlight w:val="none"/>
              </w:rPr>
              <w:t>秩序</w:t>
            </w:r>
            <w:r>
              <w:rPr>
                <w:rFonts w:ascii="宋体" w:hAnsi="宋体" w:eastAsia="宋体"/>
                <w:b w:val="0"/>
                <w:bCs w:val="0"/>
                <w:color w:val="auto"/>
                <w:sz w:val="15"/>
                <w:szCs w:val="15"/>
                <w:highlight w:val="none"/>
              </w:rPr>
              <w:t>造成影响的，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3</w:t>
            </w:r>
            <w:r>
              <w:rPr>
                <w:rFonts w:ascii="宋体" w:hAnsi="宋体" w:eastAsia="宋体"/>
                <w:b w:val="0"/>
                <w:bCs w:val="0"/>
                <w:color w:val="auto"/>
                <w:sz w:val="15"/>
                <w:szCs w:val="15"/>
                <w:highlight w:val="none"/>
              </w:rPr>
              <w:t>-4</w:t>
            </w:r>
            <w:r>
              <w:rPr>
                <w:rFonts w:hint="eastAsia" w:ascii="宋体" w:hAnsi="宋体" w:eastAsia="宋体"/>
                <w:b w:val="0"/>
                <w:bCs w:val="0"/>
                <w:color w:val="auto"/>
                <w:sz w:val="15"/>
                <w:szCs w:val="15"/>
                <w:highlight w:val="none"/>
              </w:rPr>
              <w:t>；3.要素</w:t>
            </w:r>
            <w:r>
              <w:rPr>
                <w:rFonts w:ascii="宋体" w:hAnsi="宋体" w:eastAsia="宋体"/>
                <w:b w:val="0"/>
                <w:bCs w:val="0"/>
                <w:color w:val="auto"/>
                <w:sz w:val="15"/>
                <w:szCs w:val="15"/>
                <w:highlight w:val="none"/>
              </w:rPr>
              <w:t>全部缺失</w:t>
            </w:r>
            <w:r>
              <w:rPr>
                <w:rFonts w:hint="eastAsia" w:ascii="宋体" w:hAnsi="宋体" w:eastAsia="宋体"/>
                <w:b w:val="0"/>
                <w:bCs w:val="0"/>
                <w:color w:val="auto"/>
                <w:sz w:val="15"/>
                <w:szCs w:val="15"/>
                <w:highlight w:val="none"/>
              </w:rPr>
              <w:t>，</w:t>
            </w:r>
            <w:r>
              <w:rPr>
                <w:rFonts w:ascii="宋体" w:hAnsi="宋体" w:eastAsia="宋体"/>
                <w:b w:val="0"/>
                <w:bCs w:val="0"/>
                <w:color w:val="auto"/>
                <w:sz w:val="15"/>
                <w:szCs w:val="15"/>
                <w:highlight w:val="none"/>
              </w:rPr>
              <w:t>对环境造成</w:t>
            </w:r>
            <w:r>
              <w:rPr>
                <w:rFonts w:hint="eastAsia" w:ascii="宋体" w:hAnsi="宋体" w:eastAsia="宋体"/>
                <w:b w:val="0"/>
                <w:bCs w:val="0"/>
                <w:color w:val="auto"/>
                <w:sz w:val="15"/>
                <w:szCs w:val="15"/>
                <w:highlight w:val="none"/>
              </w:rPr>
              <w:t>较</w:t>
            </w:r>
            <w:r>
              <w:rPr>
                <w:rFonts w:ascii="宋体" w:hAnsi="宋体" w:eastAsia="宋体"/>
                <w:b w:val="0"/>
                <w:bCs w:val="0"/>
                <w:color w:val="auto"/>
                <w:sz w:val="15"/>
                <w:szCs w:val="15"/>
                <w:highlight w:val="none"/>
              </w:rPr>
              <w:t>严重影响的，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5</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rPr>
              <w:t>9</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4.</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05D20B8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罚款数额＝3000×（1＋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055057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p>
        </w:tc>
        <w:tc>
          <w:tcPr>
            <w:tcW w:w="1304" w:type="dxa"/>
            <w:gridSpan w:val="2"/>
            <w:noWrap w:val="0"/>
            <w:vAlign w:val="center"/>
          </w:tcPr>
          <w:p w14:paraId="70983EE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7F59FD77">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669A6E0E">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C4608000</w:t>
            </w:r>
          </w:p>
        </w:tc>
      </w:tr>
      <w:tr w14:paraId="7CE1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71" w:hRule="atLeast"/>
        </w:trPr>
        <w:tc>
          <w:tcPr>
            <w:tcW w:w="714" w:type="dxa"/>
            <w:noWrap w:val="0"/>
            <w:vAlign w:val="center"/>
          </w:tcPr>
          <w:p w14:paraId="4E24C2D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626" w:type="dxa"/>
            <w:gridSpan w:val="2"/>
            <w:noWrap w:val="0"/>
            <w:vAlign w:val="center"/>
          </w:tcPr>
          <w:p w14:paraId="5FCDC28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建设单位（或生活垃圾分类管理责任人）委托他人</w:t>
            </w:r>
            <w:r>
              <w:rPr>
                <w:rFonts w:ascii="宋体" w:hAnsi="宋体" w:eastAsia="宋体"/>
                <w:color w:val="auto"/>
                <w:sz w:val="15"/>
                <w:szCs w:val="15"/>
                <w:highlight w:val="none"/>
              </w:rPr>
              <w:t>处置建筑垃圾未选择有资质的运输服务单位</w:t>
            </w:r>
          </w:p>
        </w:tc>
        <w:tc>
          <w:tcPr>
            <w:tcW w:w="2981" w:type="dxa"/>
            <w:noWrap w:val="0"/>
            <w:vAlign w:val="center"/>
          </w:tcPr>
          <w:p w14:paraId="328A893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第十三条第一款第(二)项</w:t>
            </w:r>
          </w:p>
          <w:p w14:paraId="7E439E8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第三十六条 责令立即改正，处以1万元以上10万元以下罚款。</w:t>
            </w:r>
          </w:p>
        </w:tc>
        <w:tc>
          <w:tcPr>
            <w:tcW w:w="851" w:type="dxa"/>
            <w:noWrap w:val="0"/>
            <w:vAlign w:val="center"/>
          </w:tcPr>
          <w:p w14:paraId="70F7EF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19DB93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756A2778">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cs="宋体"/>
                <w:b w:val="0"/>
                <w:bCs w:val="0"/>
                <w:color w:val="auto"/>
                <w:sz w:val="15"/>
                <w:szCs w:val="15"/>
                <w:highlight w:val="none"/>
                <w:lang w:val="en-US" w:eastAsia="zh-CN"/>
              </w:rPr>
              <w:t>运输垃圾2车次及以上的，系数1；4车次及以上的，系数3；6车次及以上的，系数5；8车次及以上的，系数7；10车次及以上的，系数9。</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.违法行为持续时间较长、建筑垃圾产生量较大、造成环境较严重影响的，系数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cs="宋体"/>
                <w:b w:val="0"/>
                <w:bCs w:val="0"/>
                <w:color w:val="auto"/>
                <w:sz w:val="15"/>
                <w:szCs w:val="15"/>
                <w:highlight w:val="none"/>
                <w:lang w:val="en-US" w:eastAsia="zh-CN"/>
              </w:rPr>
              <w:t>3</w:t>
            </w:r>
            <w:r>
              <w:rPr>
                <w:rFonts w:hint="eastAsia" w:ascii="宋体" w:hAnsi="宋体" w:cs="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2E7588D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798DDCC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p>
        </w:tc>
        <w:tc>
          <w:tcPr>
            <w:tcW w:w="1304" w:type="dxa"/>
            <w:gridSpan w:val="2"/>
            <w:noWrap w:val="0"/>
            <w:vAlign w:val="center"/>
          </w:tcPr>
          <w:p w14:paraId="7FDBD09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61283834">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3F4D42D9">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C4613500</w:t>
            </w:r>
          </w:p>
        </w:tc>
      </w:tr>
      <w:tr w14:paraId="2959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52" w:hRule="atLeast"/>
        </w:trPr>
        <w:tc>
          <w:tcPr>
            <w:tcW w:w="714" w:type="dxa"/>
            <w:vMerge w:val="restart"/>
            <w:noWrap w:val="0"/>
            <w:vAlign w:val="center"/>
          </w:tcPr>
          <w:p w14:paraId="3238240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6</w:t>
            </w:r>
          </w:p>
        </w:tc>
        <w:tc>
          <w:tcPr>
            <w:tcW w:w="1626" w:type="dxa"/>
            <w:gridSpan w:val="2"/>
            <w:vMerge w:val="restart"/>
            <w:noWrap w:val="0"/>
            <w:vAlign w:val="center"/>
          </w:tcPr>
          <w:p w14:paraId="4CB4C18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未经许可擅自设置建筑垃圾消纳场所</w:t>
            </w:r>
          </w:p>
        </w:tc>
        <w:tc>
          <w:tcPr>
            <w:tcW w:w="2981" w:type="dxa"/>
            <w:vMerge w:val="restart"/>
            <w:noWrap w:val="0"/>
            <w:vAlign w:val="center"/>
          </w:tcPr>
          <w:p w14:paraId="53F7585D">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违反条款：第十四条第一款</w:t>
            </w:r>
          </w:p>
          <w:p w14:paraId="31D60538">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noWrap w:val="0"/>
            <w:vAlign w:val="center"/>
          </w:tcPr>
          <w:p w14:paraId="522AE3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14:paraId="461641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14:paraId="58CE64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3A78D833">
            <w:pPr>
              <w:numPr>
                <w:ilvl w:val="0"/>
                <w:numId w:val="0"/>
              </w:numPr>
              <w:spacing w:line="232" w:lineRule="exact"/>
              <w:rPr>
                <w:rFonts w:hint="default" w:ascii="宋体" w:hAnsi="宋体" w:eastAsia="宋体"/>
                <w:color w:val="auto"/>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7C6D1DB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058F385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olor w:val="auto"/>
                <w:sz w:val="15"/>
                <w:szCs w:val="15"/>
                <w:highlight w:val="none"/>
                <w:lang w:val="en-US" w:eastAsia="zh-CN"/>
              </w:rPr>
            </w:pPr>
          </w:p>
        </w:tc>
        <w:tc>
          <w:tcPr>
            <w:tcW w:w="1304" w:type="dxa"/>
            <w:gridSpan w:val="2"/>
            <w:vMerge w:val="restart"/>
            <w:noWrap w:val="0"/>
            <w:vAlign w:val="center"/>
          </w:tcPr>
          <w:p w14:paraId="324B923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1E4E604B">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vMerge w:val="restart"/>
            <w:noWrap w:val="0"/>
            <w:vAlign w:val="center"/>
          </w:tcPr>
          <w:p w14:paraId="54E24638">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C4607200</w:t>
            </w:r>
          </w:p>
        </w:tc>
      </w:tr>
      <w:tr w14:paraId="7627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32" w:hRule="atLeast"/>
        </w:trPr>
        <w:tc>
          <w:tcPr>
            <w:tcW w:w="714" w:type="dxa"/>
            <w:vMerge w:val="continue"/>
            <w:noWrap w:val="0"/>
            <w:vAlign w:val="center"/>
          </w:tcPr>
          <w:p w14:paraId="31BD30DF">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6713341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981" w:type="dxa"/>
            <w:vMerge w:val="continue"/>
            <w:noWrap w:val="0"/>
            <w:vAlign w:val="center"/>
          </w:tcPr>
          <w:p w14:paraId="0A12455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851" w:type="dxa"/>
            <w:noWrap w:val="0"/>
            <w:vAlign w:val="center"/>
          </w:tcPr>
          <w:p w14:paraId="031AA8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strike w:val="0"/>
                <w:d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1500</w:t>
            </w:r>
          </w:p>
          <w:p w14:paraId="7AC5D288">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14:paraId="51DA8315">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5D5CA4D8">
            <w:pPr>
              <w:numPr>
                <w:ilvl w:val="0"/>
                <w:numId w:val="0"/>
              </w:num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18209EF3">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15</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1D6EEE0B">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eastAsia="zh-CN"/>
              </w:rPr>
              <w:t>拟作出</w:t>
            </w:r>
            <w:r>
              <w:rPr>
                <w:rFonts w:hint="eastAsia" w:ascii="宋体" w:hAnsi="宋体" w:eastAsia="宋体"/>
                <w:color w:val="auto"/>
                <w:sz w:val="15"/>
                <w:szCs w:val="15"/>
                <w:highlight w:val="none"/>
                <w:lang w:val="en-US" w:eastAsia="zh-CN"/>
              </w:rPr>
              <w:t>1500元以下罚款的，说明理由并报案审会决定。</w:t>
            </w:r>
          </w:p>
        </w:tc>
        <w:tc>
          <w:tcPr>
            <w:tcW w:w="1304" w:type="dxa"/>
            <w:gridSpan w:val="2"/>
            <w:vMerge w:val="continue"/>
            <w:noWrap w:val="0"/>
            <w:vAlign w:val="center"/>
          </w:tcPr>
          <w:p w14:paraId="61FB61F2">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2E7D1004">
            <w:pPr>
              <w:spacing w:line="232" w:lineRule="exact"/>
              <w:jc w:val="center"/>
              <w:rPr>
                <w:rFonts w:hint="eastAsia" w:ascii="宋体" w:hAnsi="宋体" w:eastAsia="宋体" w:cs="宋体"/>
                <w:color w:val="auto"/>
                <w:kern w:val="0"/>
                <w:sz w:val="15"/>
                <w:szCs w:val="15"/>
                <w:highlight w:val="none"/>
                <w:lang w:eastAsia="zh"/>
              </w:rPr>
            </w:pPr>
          </w:p>
        </w:tc>
      </w:tr>
      <w:tr w14:paraId="1623E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975" w:hRule="atLeast"/>
        </w:trPr>
        <w:tc>
          <w:tcPr>
            <w:tcW w:w="714" w:type="dxa"/>
            <w:vMerge w:val="continue"/>
            <w:noWrap w:val="0"/>
            <w:vAlign w:val="center"/>
          </w:tcPr>
          <w:p w14:paraId="54ED6737">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343DD2F7">
            <w:pPr>
              <w:spacing w:line="232" w:lineRule="exact"/>
              <w:jc w:val="left"/>
              <w:rPr>
                <w:rFonts w:ascii="宋体" w:hAnsi="宋体" w:eastAsia="宋体" w:cs="宋体"/>
                <w:color w:val="auto"/>
                <w:kern w:val="0"/>
                <w:sz w:val="15"/>
                <w:szCs w:val="15"/>
                <w:highlight w:val="none"/>
              </w:rPr>
            </w:pPr>
          </w:p>
        </w:tc>
        <w:tc>
          <w:tcPr>
            <w:tcW w:w="2981" w:type="dxa"/>
            <w:vMerge w:val="continue"/>
            <w:noWrap w:val="0"/>
            <w:vAlign w:val="center"/>
          </w:tcPr>
          <w:p w14:paraId="6D312E85">
            <w:pPr>
              <w:spacing w:line="232" w:lineRule="exact"/>
              <w:jc w:val="left"/>
              <w:rPr>
                <w:rFonts w:ascii="宋体" w:hAnsi="宋体" w:eastAsia="宋体" w:cs="宋体"/>
                <w:color w:val="auto"/>
                <w:kern w:val="0"/>
                <w:sz w:val="15"/>
                <w:szCs w:val="15"/>
                <w:highlight w:val="none"/>
              </w:rPr>
            </w:pPr>
          </w:p>
        </w:tc>
        <w:tc>
          <w:tcPr>
            <w:tcW w:w="851" w:type="dxa"/>
            <w:noWrap w:val="0"/>
            <w:vAlign w:val="center"/>
          </w:tcPr>
          <w:p w14:paraId="766E902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100000</w:t>
            </w:r>
          </w:p>
        </w:tc>
        <w:tc>
          <w:tcPr>
            <w:tcW w:w="840" w:type="dxa"/>
            <w:noWrap w:val="0"/>
            <w:vAlign w:val="center"/>
          </w:tcPr>
          <w:p w14:paraId="6CB7833C">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2376" w:type="dxa"/>
            <w:noWrap w:val="0"/>
            <w:vAlign w:val="center"/>
          </w:tcPr>
          <w:p w14:paraId="3B5F7A09">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w:t>
            </w:r>
            <w:r>
              <w:rPr>
                <w:rFonts w:hint="eastAsia" w:ascii="宋体" w:hAnsi="宋体" w:eastAsia="宋体" w:cs="宋体"/>
                <w:b w:val="0"/>
                <w:bCs w:val="0"/>
                <w:color w:val="auto"/>
                <w:sz w:val="15"/>
                <w:szCs w:val="15"/>
                <w:highlight w:val="none"/>
                <w:lang w:val="en-US" w:eastAsia="zh-CN"/>
              </w:rPr>
              <w:t>地核心保护区等依法确定的重点保护区域面积达到2亩的，系数1；3亩的，系数2；4亩的，系数3；5亩的，系数4；6亩的，系数5；以此类推。面积10亩及以上的，系数9；2.占用公共用地面积3-6亩（含3亩）的，系数1，6-9亩（含6亩），系数2；9-12亩（含9亩）的，系数3；12-15亩（含15亩）的，系数4；15-18亩（含15亩）的，系数5；以此类推，面积27亩及以上的，系数9；3.存在其他严重污染环境、破坏生态情形的，系数5- 6；</w:t>
            </w:r>
            <w:r>
              <w:rPr>
                <w:rFonts w:hint="eastAsia"/>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14:paraId="3C88E685">
            <w:pPr>
              <w:pStyle w:val="8"/>
              <w:rPr>
                <w:rFonts w:hint="default"/>
                <w:color w:val="auto"/>
                <w:highlight w:val="none"/>
                <w:lang w:val="en-US" w:eastAsia="zh-CN"/>
              </w:rPr>
            </w:pPr>
          </w:p>
        </w:tc>
        <w:tc>
          <w:tcPr>
            <w:tcW w:w="1875" w:type="dxa"/>
            <w:gridSpan w:val="2"/>
            <w:noWrap w:val="0"/>
            <w:vAlign w:val="center"/>
          </w:tcPr>
          <w:p w14:paraId="21913C48">
            <w:pPr>
              <w:spacing w:line="232" w:lineRule="exact"/>
              <w:jc w:val="lef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30DC000F">
            <w:pPr>
              <w:spacing w:line="232" w:lineRule="exact"/>
              <w:rPr>
                <w:rFonts w:hint="default" w:ascii="宋体" w:hAnsi="宋体" w:eastAsia="宋体" w:cs="宋体"/>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c>
          <w:tcPr>
            <w:tcW w:w="1304" w:type="dxa"/>
            <w:gridSpan w:val="2"/>
            <w:noWrap w:val="0"/>
            <w:vAlign w:val="center"/>
          </w:tcPr>
          <w:p w14:paraId="5D34119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5D48117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vMerge w:val="continue"/>
            <w:noWrap w:val="0"/>
            <w:vAlign w:val="center"/>
          </w:tcPr>
          <w:p w14:paraId="3CB30C40">
            <w:pPr>
              <w:spacing w:line="232" w:lineRule="exact"/>
              <w:jc w:val="center"/>
              <w:rPr>
                <w:rFonts w:hint="eastAsia" w:ascii="宋体" w:hAnsi="宋体" w:eastAsia="宋体" w:cs="宋体"/>
                <w:color w:val="auto"/>
                <w:kern w:val="0"/>
                <w:sz w:val="15"/>
                <w:szCs w:val="15"/>
                <w:highlight w:val="none"/>
                <w:lang w:eastAsia="zh"/>
              </w:rPr>
            </w:pPr>
          </w:p>
        </w:tc>
      </w:tr>
      <w:tr w14:paraId="33F5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020" w:hRule="atLeast"/>
        </w:trPr>
        <w:tc>
          <w:tcPr>
            <w:tcW w:w="714" w:type="dxa"/>
            <w:noWrap w:val="0"/>
            <w:vAlign w:val="center"/>
          </w:tcPr>
          <w:p w14:paraId="6C82D45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626" w:type="dxa"/>
            <w:gridSpan w:val="2"/>
            <w:noWrap w:val="0"/>
            <w:vAlign w:val="center"/>
          </w:tcPr>
          <w:p w14:paraId="7161A43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w:t>
            </w:r>
            <w:r>
              <w:rPr>
                <w:rFonts w:ascii="宋体" w:hAnsi="宋体" w:eastAsia="宋体"/>
                <w:color w:val="auto"/>
                <w:sz w:val="15"/>
                <w:szCs w:val="15"/>
                <w:highlight w:val="none"/>
              </w:rPr>
              <w:t>场所（</w:t>
            </w:r>
            <w:r>
              <w:rPr>
                <w:rFonts w:hint="eastAsia" w:ascii="宋体" w:hAnsi="宋体" w:eastAsia="宋体"/>
                <w:color w:val="auto"/>
                <w:sz w:val="15"/>
                <w:szCs w:val="15"/>
                <w:highlight w:val="none"/>
              </w:rPr>
              <w:t>或</w:t>
            </w:r>
            <w:r>
              <w:rPr>
                <w:rFonts w:ascii="宋体" w:hAnsi="宋体" w:eastAsia="宋体"/>
                <w:color w:val="auto"/>
                <w:sz w:val="15"/>
                <w:szCs w:val="15"/>
                <w:highlight w:val="none"/>
              </w:rPr>
              <w:t>临时处置点经营单位）</w:t>
            </w:r>
            <w:r>
              <w:rPr>
                <w:rFonts w:hint="eastAsia" w:ascii="宋体" w:hAnsi="宋体" w:eastAsia="宋体"/>
                <w:color w:val="auto"/>
                <w:sz w:val="15"/>
                <w:szCs w:val="15"/>
                <w:highlight w:val="none"/>
              </w:rPr>
              <w:t>未按照消纳处置协议的约定接收符合分类标准的建筑垃圾</w:t>
            </w:r>
          </w:p>
        </w:tc>
        <w:tc>
          <w:tcPr>
            <w:tcW w:w="2981" w:type="dxa"/>
            <w:noWrap w:val="0"/>
            <w:vAlign w:val="center"/>
          </w:tcPr>
          <w:p w14:paraId="057EB2C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第十七条第一款第(一)项</w:t>
            </w:r>
          </w:p>
          <w:p w14:paraId="720D9FB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第三十八条</w:t>
            </w:r>
            <w:r>
              <w:rPr>
                <w:rFonts w:ascii="宋体" w:hAnsi="宋体" w:eastAsia="宋体"/>
                <w:color w:val="auto"/>
                <w:sz w:val="15"/>
                <w:szCs w:val="15"/>
                <w:highlight w:val="none"/>
              </w:rPr>
              <w:t>第一款</w:t>
            </w:r>
            <w:r>
              <w:rPr>
                <w:rFonts w:hint="eastAsia" w:ascii="宋体" w:hAnsi="宋体" w:eastAsia="宋体"/>
                <w:color w:val="auto"/>
                <w:sz w:val="15"/>
                <w:szCs w:val="15"/>
                <w:highlight w:val="none"/>
              </w:rPr>
              <w:t xml:space="preserve"> 责令限期改正，处5万元以上10万元以下罚款，情节严重的，由城市管理综合执法部门吊销建筑垃圾消纳场所设置许可。</w:t>
            </w:r>
          </w:p>
        </w:tc>
        <w:tc>
          <w:tcPr>
            <w:tcW w:w="851" w:type="dxa"/>
            <w:noWrap w:val="0"/>
            <w:vAlign w:val="center"/>
          </w:tcPr>
          <w:p w14:paraId="6E48337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noWrap w:val="0"/>
            <w:vAlign w:val="center"/>
          </w:tcPr>
          <w:p w14:paraId="71ED8DD4">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691381EC">
            <w:pPr>
              <w:spacing w:line="232" w:lineRule="exact"/>
              <w:jc w:val="left"/>
              <w:rPr>
                <w:rFonts w:hint="default" w:ascii="宋体" w:hAnsi="宋体" w:eastAsia="宋体" w:cs="宋体"/>
                <w:b/>
                <w:bCs/>
                <w:color w:val="auto"/>
                <w:kern w:val="0"/>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w:t>
            </w:r>
            <w:r>
              <w:rPr>
                <w:rFonts w:hint="eastAsia" w:ascii="宋体" w:hAnsi="宋体" w:eastAsia="宋体"/>
                <w:color w:val="auto"/>
                <w:sz w:val="15"/>
                <w:szCs w:val="15"/>
                <w:highlight w:val="none"/>
              </w:rPr>
              <w:t>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0.5-1；</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685C26BA">
            <w:pPr>
              <w:spacing w:line="232" w:lineRule="exact"/>
              <w:jc w:val="center"/>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2C2D7969">
            <w:pPr>
              <w:numPr>
                <w:ilvl w:val="0"/>
                <w:numId w:val="2"/>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14:paraId="6B5DF79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共同会商；对于可能影响公共利益的，提请城市管理部门拟定接管方案。</w:t>
            </w:r>
          </w:p>
        </w:tc>
        <w:tc>
          <w:tcPr>
            <w:tcW w:w="1304" w:type="dxa"/>
            <w:gridSpan w:val="2"/>
            <w:noWrap w:val="0"/>
            <w:vAlign w:val="center"/>
          </w:tcPr>
          <w:p w14:paraId="0C5D938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c>
          <w:tcPr>
            <w:tcW w:w="1869" w:type="dxa"/>
            <w:noWrap w:val="0"/>
            <w:vAlign w:val="center"/>
          </w:tcPr>
          <w:p w14:paraId="2BBDCD52">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C4642400</w:t>
            </w:r>
          </w:p>
        </w:tc>
      </w:tr>
      <w:tr w14:paraId="481A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97" w:hRule="atLeast"/>
        </w:trPr>
        <w:tc>
          <w:tcPr>
            <w:tcW w:w="714" w:type="dxa"/>
            <w:noWrap w:val="0"/>
            <w:vAlign w:val="center"/>
          </w:tcPr>
          <w:p w14:paraId="3E382A5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626" w:type="dxa"/>
            <w:gridSpan w:val="2"/>
            <w:noWrap w:val="0"/>
            <w:vAlign w:val="center"/>
          </w:tcPr>
          <w:p w14:paraId="7A6A05E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建筑垃圾消纳场所（或临时处置点经营单位）未按照规定采取扬尘污染防治措施或者采取措施不当</w:t>
            </w:r>
          </w:p>
        </w:tc>
        <w:tc>
          <w:tcPr>
            <w:tcW w:w="2981" w:type="dxa"/>
            <w:noWrap w:val="0"/>
            <w:vAlign w:val="center"/>
          </w:tcPr>
          <w:p w14:paraId="25C3D4B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第十七条第一款第(二)项</w:t>
            </w:r>
          </w:p>
          <w:p w14:paraId="59EFEAF7">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w:t>
            </w:r>
            <w:r>
              <w:rPr>
                <w:rFonts w:hint="eastAsia" w:ascii="宋体" w:hAnsi="宋体" w:eastAsia="宋体"/>
                <w:color w:val="auto"/>
                <w:sz w:val="15"/>
                <w:szCs w:val="15"/>
                <w:highlight w:val="none"/>
              </w:rPr>
              <w:t>第</w:t>
            </w:r>
            <w:r>
              <w:rPr>
                <w:rFonts w:ascii="宋体" w:hAnsi="宋体" w:eastAsia="宋体"/>
                <w:color w:val="auto"/>
                <w:sz w:val="15"/>
                <w:szCs w:val="15"/>
                <w:highlight w:val="none"/>
              </w:rPr>
              <w:t>三十八条第二款</w:t>
            </w:r>
            <w:r>
              <w:rPr>
                <w:rFonts w:hint="eastAsia" w:ascii="宋体" w:hAnsi="宋体" w:eastAsia="宋体"/>
                <w:color w:val="auto"/>
                <w:sz w:val="15"/>
                <w:szCs w:val="15"/>
                <w:highlight w:val="none"/>
              </w:rPr>
              <w:t xml:space="preserve"> 责令限期改正，处1万元以上10万元以下罚款；逾期未改正的，责令停工整治或者停业整治。</w:t>
            </w:r>
          </w:p>
        </w:tc>
        <w:tc>
          <w:tcPr>
            <w:tcW w:w="851" w:type="dxa"/>
            <w:noWrap w:val="0"/>
            <w:vAlign w:val="center"/>
          </w:tcPr>
          <w:p w14:paraId="38980DB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105B8395">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53F59B2C">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cs="宋体"/>
                <w:b w:val="0"/>
                <w:bCs w:val="0"/>
                <w:color w:val="auto"/>
                <w:sz w:val="15"/>
                <w:szCs w:val="15"/>
                <w:highlight w:val="none"/>
                <w:lang w:eastAsia="zh-CN"/>
              </w:rPr>
              <w:t>未苫盖</w:t>
            </w:r>
            <w:r>
              <w:rPr>
                <w:rFonts w:hint="eastAsia" w:ascii="宋体" w:hAnsi="宋体" w:eastAsia="宋体" w:cs="宋体"/>
                <w:b w:val="0"/>
                <w:bCs w:val="0"/>
                <w:color w:val="auto"/>
                <w:sz w:val="15"/>
                <w:szCs w:val="15"/>
                <w:highlight w:val="none"/>
              </w:rPr>
              <w:t>面积10</w:t>
            </w:r>
            <w:r>
              <w:rPr>
                <w:rFonts w:hint="eastAsia" w:ascii="宋体" w:hAnsi="宋体" w:eastAsia="宋体" w:cs="宋体"/>
                <w:b w:val="0"/>
                <w:bCs w:val="0"/>
                <w:color w:val="auto"/>
                <w:sz w:val="15"/>
                <w:szCs w:val="15"/>
                <w:highlight w:val="none"/>
                <w:lang w:val="en-US" w:eastAsia="zh-CN"/>
              </w:rPr>
              <w:t>0</w:t>
            </w:r>
            <w:r>
              <w:rPr>
                <w:rFonts w:hint="eastAsia" w:ascii="宋体" w:hAnsi="宋体" w:eastAsia="宋体" w:cs="宋体"/>
                <w:b w:val="0"/>
                <w:bCs w:val="0"/>
                <w:color w:val="auto"/>
                <w:sz w:val="15"/>
                <w:szCs w:val="15"/>
                <w:highlight w:val="none"/>
              </w:rPr>
              <w:t>㎡以下的，系数0；1</w:t>
            </w:r>
            <w:r>
              <w:rPr>
                <w:rFonts w:hint="eastAsia" w:ascii="宋体" w:hAnsi="宋体" w:eastAsia="宋体" w:cs="宋体"/>
                <w:b w:val="0"/>
                <w:bCs w:val="0"/>
                <w:color w:val="auto"/>
                <w:sz w:val="15"/>
                <w:szCs w:val="15"/>
                <w:highlight w:val="none"/>
                <w:lang w:val="en-US" w:eastAsia="zh-CN"/>
              </w:rPr>
              <w:t>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300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cs="宋体"/>
                <w:b w:val="0"/>
                <w:bCs w:val="0"/>
                <w:color w:val="auto"/>
                <w:sz w:val="15"/>
                <w:szCs w:val="15"/>
                <w:highlight w:val="none"/>
                <w:lang w:val="en-US" w:eastAsia="zh-CN"/>
              </w:rPr>
              <w:t>300-400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3</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400-500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4；500-600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900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。2.</w:t>
            </w:r>
            <w:r>
              <w:rPr>
                <w:rFonts w:hint="eastAsia" w:ascii="宋体" w:hAnsi="宋体" w:eastAsia="宋体"/>
                <w:color w:val="auto"/>
                <w:sz w:val="15"/>
                <w:szCs w:val="15"/>
                <w:highlight w:val="none"/>
              </w:rPr>
              <w:t>造成社会恶劣影响或者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较严重后果的，</w:t>
            </w:r>
            <w:r>
              <w:rPr>
                <w:rFonts w:hint="eastAsia" w:ascii="宋体" w:hAnsi="宋体" w:eastAsia="宋体"/>
                <w:color w:val="auto"/>
                <w:sz w:val="15"/>
                <w:szCs w:val="15"/>
                <w:highlight w:val="none"/>
                <w:lang w:eastAsia="zh-CN"/>
              </w:rPr>
              <w:t>系数</w:t>
            </w:r>
            <w:r>
              <w:rPr>
                <w:rFonts w:hint="default" w:ascii="宋体" w:hAnsi="宋体" w:eastAsia="宋体"/>
                <w:color w:val="auto"/>
                <w:sz w:val="15"/>
                <w:szCs w:val="15"/>
                <w:highlight w:val="none"/>
                <w:lang w:val="en-US"/>
              </w:rPr>
              <w:t>5-6</w:t>
            </w:r>
            <w:r>
              <w:rPr>
                <w:rFonts w:hint="eastAsia" w:ascii="宋体" w:hAnsi="宋体" w:eastAsia="宋体"/>
                <w:color w:val="auto"/>
                <w:sz w:val="15"/>
                <w:szCs w:val="15"/>
                <w:highlight w:val="none"/>
                <w:lang w:eastAsia="zh-CN"/>
              </w:rPr>
              <w:t>。</w:t>
            </w:r>
            <w:r>
              <w:rPr>
                <w:rFonts w:hint="eastAsia"/>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7347EC7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596148E6">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w:t>
            </w:r>
            <w:r>
              <w:rPr>
                <w:rFonts w:ascii="宋体" w:hAnsi="宋体" w:eastAsia="宋体"/>
                <w:color w:val="auto"/>
                <w:sz w:val="15"/>
                <w:szCs w:val="15"/>
                <w:highlight w:val="none"/>
              </w:rPr>
              <w:t>根据实际情况选择</w:t>
            </w:r>
            <w:r>
              <w:rPr>
                <w:rFonts w:hint="eastAsia" w:ascii="宋体" w:hAnsi="宋体" w:eastAsia="宋体"/>
                <w:color w:val="auto"/>
                <w:sz w:val="15"/>
                <w:szCs w:val="15"/>
                <w:highlight w:val="none"/>
                <w:lang w:eastAsia="zh-CN"/>
              </w:rPr>
              <w:t>。</w:t>
            </w:r>
          </w:p>
        </w:tc>
        <w:tc>
          <w:tcPr>
            <w:tcW w:w="1304" w:type="dxa"/>
            <w:gridSpan w:val="2"/>
            <w:noWrap w:val="0"/>
            <w:vAlign w:val="center"/>
          </w:tcPr>
          <w:p w14:paraId="0AF33602">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区级</w:t>
            </w:r>
          </w:p>
        </w:tc>
        <w:tc>
          <w:tcPr>
            <w:tcW w:w="1869" w:type="dxa"/>
            <w:noWrap w:val="0"/>
            <w:vAlign w:val="center"/>
          </w:tcPr>
          <w:p w14:paraId="7FC53141">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C4639700</w:t>
            </w:r>
          </w:p>
        </w:tc>
      </w:tr>
      <w:tr w14:paraId="3FA20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38" w:hRule="atLeast"/>
        </w:trPr>
        <w:tc>
          <w:tcPr>
            <w:tcW w:w="714" w:type="dxa"/>
            <w:noWrap w:val="0"/>
            <w:vAlign w:val="center"/>
          </w:tcPr>
          <w:p w14:paraId="08F9651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9</w:t>
            </w:r>
          </w:p>
        </w:tc>
        <w:tc>
          <w:tcPr>
            <w:tcW w:w="1626" w:type="dxa"/>
            <w:gridSpan w:val="2"/>
            <w:noWrap w:val="0"/>
            <w:vAlign w:val="center"/>
          </w:tcPr>
          <w:p w14:paraId="698CB09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建筑垃圾消纳场所（或临时处置点经营单位）未按照</w:t>
            </w:r>
            <w:r>
              <w:rPr>
                <w:rFonts w:ascii="宋体" w:hAnsi="宋体" w:eastAsia="宋体"/>
                <w:color w:val="auto"/>
                <w:sz w:val="15"/>
                <w:szCs w:val="15"/>
                <w:highlight w:val="none"/>
              </w:rPr>
              <w:t>规定设置双向称重系统</w:t>
            </w:r>
          </w:p>
        </w:tc>
        <w:tc>
          <w:tcPr>
            <w:tcW w:w="2981" w:type="dxa"/>
            <w:noWrap w:val="0"/>
            <w:vAlign w:val="center"/>
          </w:tcPr>
          <w:p w14:paraId="71858FB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第十七条第一款第(三)项</w:t>
            </w:r>
          </w:p>
          <w:p w14:paraId="54FBBA51">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三十八条第三款</w:t>
            </w:r>
            <w:r>
              <w:rPr>
                <w:rFonts w:hint="eastAsia" w:ascii="宋体" w:hAnsi="宋体" w:eastAsia="宋体"/>
                <w:color w:val="auto"/>
                <w:sz w:val="15"/>
                <w:szCs w:val="15"/>
                <w:highlight w:val="none"/>
              </w:rPr>
              <w:t xml:space="preserve"> 责令限期改正，处1万元以上10万元以下罚款。</w:t>
            </w:r>
          </w:p>
        </w:tc>
        <w:tc>
          <w:tcPr>
            <w:tcW w:w="851" w:type="dxa"/>
            <w:noWrap w:val="0"/>
            <w:vAlign w:val="center"/>
          </w:tcPr>
          <w:p w14:paraId="70F262A9">
            <w:pPr>
              <w:spacing w:line="232" w:lineRule="exact"/>
              <w:jc w:val="center"/>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07241F9D">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33AB7635">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78F17C1B">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1FAA3599">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p w14:paraId="4EE0023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作业场所面积：建筑垃圾消纳场所（临时处置点经营单位）的消纳、处置建筑垃圾的占地面积。可在“北京市建筑垃圾管理与服务平台”查询</w:t>
            </w:r>
            <w:r>
              <w:rPr>
                <w:rFonts w:ascii="宋体" w:hAnsi="宋体" w:eastAsia="宋体"/>
                <w:color w:val="auto"/>
                <w:sz w:val="15"/>
                <w:szCs w:val="15"/>
                <w:highlight w:val="none"/>
              </w:rPr>
              <w:t>。</w:t>
            </w:r>
          </w:p>
          <w:p w14:paraId="41CF995C">
            <w:pPr>
              <w:spacing w:line="232" w:lineRule="exact"/>
              <w:rPr>
                <w:rFonts w:ascii="宋体" w:hAnsi="宋体" w:eastAsia="宋体"/>
                <w:color w:val="auto"/>
                <w:sz w:val="15"/>
                <w:szCs w:val="15"/>
                <w:highlight w:val="none"/>
              </w:rPr>
            </w:pPr>
          </w:p>
        </w:tc>
        <w:tc>
          <w:tcPr>
            <w:tcW w:w="1304" w:type="dxa"/>
            <w:gridSpan w:val="2"/>
            <w:noWrap w:val="0"/>
            <w:vAlign w:val="center"/>
          </w:tcPr>
          <w:p w14:paraId="360D3DE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7AC3863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c>
          <w:tcPr>
            <w:tcW w:w="1869" w:type="dxa"/>
            <w:noWrap w:val="0"/>
            <w:vAlign w:val="center"/>
          </w:tcPr>
          <w:p w14:paraId="4E3E7A45">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C4649100</w:t>
            </w:r>
          </w:p>
        </w:tc>
      </w:tr>
      <w:tr w14:paraId="7682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38" w:hRule="atLeast"/>
        </w:trPr>
        <w:tc>
          <w:tcPr>
            <w:tcW w:w="714" w:type="dxa"/>
            <w:noWrap w:val="0"/>
            <w:vAlign w:val="center"/>
          </w:tcPr>
          <w:p w14:paraId="4D03A6F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626" w:type="dxa"/>
            <w:gridSpan w:val="2"/>
            <w:noWrap w:val="0"/>
            <w:vAlign w:val="center"/>
          </w:tcPr>
          <w:p w14:paraId="32C9E48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建筑垃圾消纳场所（或临时处置点经营单位）未保持双向称重系统正常运转</w:t>
            </w:r>
          </w:p>
        </w:tc>
        <w:tc>
          <w:tcPr>
            <w:tcW w:w="2981" w:type="dxa"/>
            <w:noWrap w:val="0"/>
            <w:vAlign w:val="center"/>
          </w:tcPr>
          <w:p w14:paraId="6848D21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违反条款：第十七条第一款第(三)项</w:t>
            </w:r>
          </w:p>
          <w:p w14:paraId="6534902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处罚条款：第三十八条第三款 责令限期改正，处1万元以上10万元以下罚款。</w:t>
            </w:r>
          </w:p>
        </w:tc>
        <w:tc>
          <w:tcPr>
            <w:tcW w:w="851" w:type="dxa"/>
            <w:noWrap w:val="0"/>
            <w:vAlign w:val="center"/>
          </w:tcPr>
          <w:p w14:paraId="3352F64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5307A517">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6339430A">
            <w:pPr>
              <w:spacing w:line="232" w:lineRule="exact"/>
              <w:rPr>
                <w:rFonts w:ascii="宋体" w:hAnsi="宋体" w:eastAsia="宋体"/>
                <w:color w:val="auto"/>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0DFE22D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4F42B340">
            <w:pPr>
              <w:spacing w:line="232" w:lineRule="exact"/>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1304" w:type="dxa"/>
            <w:gridSpan w:val="2"/>
            <w:noWrap w:val="0"/>
            <w:vAlign w:val="center"/>
          </w:tcPr>
          <w:p w14:paraId="2276428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17681AE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c>
          <w:tcPr>
            <w:tcW w:w="1869" w:type="dxa"/>
            <w:noWrap w:val="0"/>
            <w:vAlign w:val="center"/>
          </w:tcPr>
          <w:p w14:paraId="092E3547">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C4649100</w:t>
            </w:r>
          </w:p>
        </w:tc>
      </w:tr>
      <w:tr w14:paraId="01C2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10" w:hRule="atLeast"/>
        </w:trPr>
        <w:tc>
          <w:tcPr>
            <w:tcW w:w="714" w:type="dxa"/>
            <w:noWrap w:val="0"/>
            <w:vAlign w:val="center"/>
          </w:tcPr>
          <w:p w14:paraId="53EECF7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11</w:t>
            </w:r>
          </w:p>
        </w:tc>
        <w:tc>
          <w:tcPr>
            <w:tcW w:w="1626" w:type="dxa"/>
            <w:gridSpan w:val="2"/>
            <w:noWrap w:val="0"/>
            <w:vAlign w:val="center"/>
          </w:tcPr>
          <w:p w14:paraId="00DE140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建筑垃圾消纳场所（或临时处置点经营单位）未如实记录进出场的建筑垃圾运输车辆载重状况</w:t>
            </w:r>
          </w:p>
        </w:tc>
        <w:tc>
          <w:tcPr>
            <w:tcW w:w="2981" w:type="dxa"/>
            <w:noWrap w:val="0"/>
            <w:vAlign w:val="center"/>
          </w:tcPr>
          <w:p w14:paraId="38745E2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违反条款：第十七条第一款第(三)项</w:t>
            </w:r>
          </w:p>
          <w:p w14:paraId="00C833B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处罚条款：第三十八条第三款 责令限期改正，处1万元以上10万元以下罚款。</w:t>
            </w:r>
          </w:p>
        </w:tc>
        <w:tc>
          <w:tcPr>
            <w:tcW w:w="851" w:type="dxa"/>
            <w:noWrap w:val="0"/>
            <w:vAlign w:val="center"/>
          </w:tcPr>
          <w:p w14:paraId="64BEB13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2C8FCF21">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16CB3E1D">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1.未记录车辆进出场次数1-2次或者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，系数0；3-4次或者</w:t>
            </w:r>
            <w:r>
              <w:rPr>
                <w:rFonts w:hint="eastAsia" w:ascii="宋体" w:hAnsi="宋体" w:eastAsia="宋体"/>
                <w:color w:val="auto"/>
                <w:sz w:val="15"/>
                <w:szCs w:val="15"/>
                <w:highlight w:val="none"/>
              </w:rPr>
              <w:t>20-30亩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系数1；5-6次或者</w:t>
            </w:r>
            <w:r>
              <w:rPr>
                <w:rFonts w:hint="eastAsia" w:ascii="宋体" w:hAnsi="宋体" w:eastAsia="宋体"/>
                <w:color w:val="auto"/>
                <w:sz w:val="15"/>
                <w:szCs w:val="15"/>
                <w:highlight w:val="none"/>
              </w:rPr>
              <w:t>30亩-40亩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系数2；7-8次或者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的，系数3；9-10次或者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的，系数4；11-12次或者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的，系数5；以此类推，19次及以上或者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35B37C9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316E01DB">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1304" w:type="dxa"/>
            <w:gridSpan w:val="2"/>
            <w:noWrap w:val="0"/>
            <w:vAlign w:val="center"/>
          </w:tcPr>
          <w:p w14:paraId="35DF7BF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5E4BC68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c>
          <w:tcPr>
            <w:tcW w:w="1869" w:type="dxa"/>
            <w:noWrap w:val="0"/>
            <w:vAlign w:val="center"/>
          </w:tcPr>
          <w:p w14:paraId="2514BE70">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C4649100</w:t>
            </w:r>
          </w:p>
        </w:tc>
      </w:tr>
      <w:tr w14:paraId="35D7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03" w:hRule="atLeast"/>
        </w:trPr>
        <w:tc>
          <w:tcPr>
            <w:tcW w:w="714" w:type="dxa"/>
            <w:noWrap w:val="0"/>
            <w:vAlign w:val="center"/>
          </w:tcPr>
          <w:p w14:paraId="291F671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12</w:t>
            </w:r>
          </w:p>
        </w:tc>
        <w:tc>
          <w:tcPr>
            <w:tcW w:w="1626" w:type="dxa"/>
            <w:gridSpan w:val="2"/>
            <w:noWrap w:val="0"/>
            <w:vAlign w:val="center"/>
          </w:tcPr>
          <w:p w14:paraId="6A9BBCA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建筑垃圾消纳场所（或临时处置点经营单位）在</w:t>
            </w:r>
            <w:r>
              <w:rPr>
                <w:rFonts w:ascii="宋体" w:hAnsi="宋体" w:eastAsia="宋体"/>
                <w:color w:val="auto"/>
                <w:sz w:val="15"/>
                <w:szCs w:val="15"/>
                <w:highlight w:val="none"/>
              </w:rPr>
              <w:t>作业场所</w:t>
            </w:r>
            <w:r>
              <w:rPr>
                <w:rFonts w:hint="eastAsia" w:ascii="宋体" w:hAnsi="宋体" w:eastAsia="宋体"/>
                <w:color w:val="auto"/>
                <w:sz w:val="15"/>
                <w:szCs w:val="15"/>
                <w:highlight w:val="none"/>
              </w:rPr>
              <w:t>未安装运输车辆识别装置（或扬尘污染实时监控装置）</w:t>
            </w:r>
          </w:p>
        </w:tc>
        <w:tc>
          <w:tcPr>
            <w:tcW w:w="2981" w:type="dxa"/>
            <w:noWrap w:val="0"/>
            <w:vAlign w:val="center"/>
          </w:tcPr>
          <w:p w14:paraId="1A73D33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十七条第一款第（</w:t>
            </w:r>
            <w:r>
              <w:rPr>
                <w:rFonts w:hint="eastAsia" w:ascii="宋体" w:hAnsi="宋体" w:eastAsia="宋体"/>
                <w:color w:val="auto"/>
                <w:sz w:val="15"/>
                <w:szCs w:val="15"/>
                <w:highlight w:val="none"/>
              </w:rPr>
              <w:t>四</w:t>
            </w:r>
            <w:r>
              <w:rPr>
                <w:rFonts w:ascii="宋体" w:hAnsi="宋体" w:eastAsia="宋体"/>
                <w:color w:val="auto"/>
                <w:sz w:val="15"/>
                <w:szCs w:val="15"/>
                <w:highlight w:val="none"/>
              </w:rPr>
              <w:t>）</w:t>
            </w:r>
            <w:r>
              <w:rPr>
                <w:rFonts w:hint="eastAsia" w:ascii="宋体" w:hAnsi="宋体" w:eastAsia="宋体"/>
                <w:color w:val="auto"/>
                <w:sz w:val="15"/>
                <w:szCs w:val="15"/>
                <w:highlight w:val="none"/>
              </w:rPr>
              <w:t>项</w:t>
            </w:r>
          </w:p>
          <w:p w14:paraId="7A57C7D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条款：第三十八条第四款</w:t>
            </w:r>
            <w:r>
              <w:rPr>
                <w:rFonts w:hint="eastAsia" w:ascii="宋体" w:hAnsi="宋体" w:eastAsia="宋体"/>
                <w:color w:val="auto"/>
                <w:sz w:val="15"/>
                <w:szCs w:val="15"/>
                <w:highlight w:val="none"/>
              </w:rPr>
              <w:t xml:space="preserve"> 责令限期改正，处2000元以上2万元以下罚款。</w:t>
            </w:r>
          </w:p>
        </w:tc>
        <w:tc>
          <w:tcPr>
            <w:tcW w:w="851" w:type="dxa"/>
            <w:noWrap w:val="0"/>
            <w:vAlign w:val="center"/>
          </w:tcPr>
          <w:p w14:paraId="3F0795F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14:paraId="7A06821E">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23497BEC">
            <w:pPr>
              <w:spacing w:line="232" w:lineRule="exact"/>
              <w:rPr>
                <w:rFonts w:ascii="宋体" w:hAnsi="宋体" w:eastAsia="宋体"/>
                <w:color w:val="auto"/>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6656AB5E">
            <w:pPr>
              <w:spacing w:line="232"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2000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eastAsia="zh-CN"/>
              </w:rPr>
              <w:t>）</w:t>
            </w:r>
          </w:p>
        </w:tc>
        <w:tc>
          <w:tcPr>
            <w:tcW w:w="2020" w:type="dxa"/>
            <w:gridSpan w:val="2"/>
            <w:noWrap w:val="0"/>
            <w:vAlign w:val="center"/>
          </w:tcPr>
          <w:p w14:paraId="27CC8DC9">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1304" w:type="dxa"/>
            <w:gridSpan w:val="2"/>
            <w:noWrap w:val="0"/>
            <w:vAlign w:val="center"/>
          </w:tcPr>
          <w:p w14:paraId="151ACA5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244787B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c>
          <w:tcPr>
            <w:tcW w:w="1869" w:type="dxa"/>
            <w:noWrap w:val="0"/>
            <w:vAlign w:val="center"/>
          </w:tcPr>
          <w:p w14:paraId="6868FDB8">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C4649300</w:t>
            </w:r>
          </w:p>
        </w:tc>
      </w:tr>
      <w:tr w14:paraId="6ADC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72" w:hRule="atLeast"/>
        </w:trPr>
        <w:tc>
          <w:tcPr>
            <w:tcW w:w="714" w:type="dxa"/>
            <w:noWrap w:val="0"/>
            <w:vAlign w:val="center"/>
          </w:tcPr>
          <w:p w14:paraId="5C1F737A">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3</w:t>
            </w:r>
          </w:p>
        </w:tc>
        <w:tc>
          <w:tcPr>
            <w:tcW w:w="1626" w:type="dxa"/>
            <w:gridSpan w:val="2"/>
            <w:noWrap w:val="0"/>
            <w:vAlign w:val="center"/>
          </w:tcPr>
          <w:p w14:paraId="0A876D3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建筑垃圾消纳场所（或临时处置点经营单位）在作业场所未</w:t>
            </w:r>
            <w:r>
              <w:rPr>
                <w:rFonts w:ascii="宋体" w:hAnsi="宋体" w:eastAsia="宋体"/>
                <w:color w:val="auto"/>
                <w:sz w:val="15"/>
                <w:szCs w:val="15"/>
                <w:highlight w:val="none"/>
              </w:rPr>
              <w:t>正常使用</w:t>
            </w:r>
            <w:r>
              <w:rPr>
                <w:rFonts w:hint="eastAsia" w:ascii="宋体" w:hAnsi="宋体" w:eastAsia="宋体"/>
                <w:color w:val="auto"/>
                <w:sz w:val="15"/>
                <w:szCs w:val="15"/>
                <w:highlight w:val="none"/>
              </w:rPr>
              <w:t>运输车辆识别装置（或扬尘污染实时监控装置）</w:t>
            </w:r>
          </w:p>
        </w:tc>
        <w:tc>
          <w:tcPr>
            <w:tcW w:w="2981" w:type="dxa"/>
            <w:noWrap w:val="0"/>
            <w:vAlign w:val="center"/>
          </w:tcPr>
          <w:p w14:paraId="364D9F1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违反条款：第十七条第一款第（四）项</w:t>
            </w:r>
          </w:p>
          <w:p w14:paraId="32DA215F">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处罚条款：第三十八条第四款 责令限期改正，处2000元以上2万元以下罚款。</w:t>
            </w:r>
          </w:p>
        </w:tc>
        <w:tc>
          <w:tcPr>
            <w:tcW w:w="851" w:type="dxa"/>
            <w:noWrap w:val="0"/>
            <w:vAlign w:val="center"/>
          </w:tcPr>
          <w:p w14:paraId="4048770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14:paraId="4B33E198">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1C8D129C">
            <w:pPr>
              <w:spacing w:line="232" w:lineRule="exact"/>
              <w:rPr>
                <w:rFonts w:ascii="宋体" w:hAnsi="宋体" w:eastAsia="宋体" w:cs="宋体"/>
                <w:b/>
                <w:bCs/>
                <w:color w:val="auto"/>
                <w:kern w:val="0"/>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75743A4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01D0FD5A">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1304" w:type="dxa"/>
            <w:gridSpan w:val="2"/>
            <w:noWrap w:val="0"/>
            <w:vAlign w:val="center"/>
          </w:tcPr>
          <w:p w14:paraId="48F9E27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1D33CA3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c>
          <w:tcPr>
            <w:tcW w:w="1869" w:type="dxa"/>
            <w:noWrap w:val="0"/>
            <w:vAlign w:val="center"/>
          </w:tcPr>
          <w:p w14:paraId="6C7AAB31">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C4649300</w:t>
            </w:r>
          </w:p>
        </w:tc>
      </w:tr>
      <w:tr w14:paraId="3497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118" w:hRule="atLeast"/>
        </w:trPr>
        <w:tc>
          <w:tcPr>
            <w:tcW w:w="714" w:type="dxa"/>
            <w:noWrap w:val="0"/>
            <w:vAlign w:val="center"/>
          </w:tcPr>
          <w:p w14:paraId="525DB04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14</w:t>
            </w:r>
          </w:p>
        </w:tc>
        <w:tc>
          <w:tcPr>
            <w:tcW w:w="1626" w:type="dxa"/>
            <w:gridSpan w:val="2"/>
            <w:noWrap w:val="0"/>
            <w:vAlign w:val="center"/>
          </w:tcPr>
          <w:p w14:paraId="0BA9C86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建筑垃圾消纳场所（或临时处置点经营单位）未将建筑垃圾接收量（或处置量或再生产品生产供应等）数据</w:t>
            </w:r>
            <w:r>
              <w:rPr>
                <w:rFonts w:ascii="宋体" w:hAnsi="宋体" w:eastAsia="宋体"/>
                <w:color w:val="auto"/>
                <w:sz w:val="15"/>
                <w:szCs w:val="15"/>
                <w:highlight w:val="none"/>
              </w:rPr>
              <w:t>实时传输至</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垃圾管理和服务平台</w:t>
            </w:r>
          </w:p>
        </w:tc>
        <w:tc>
          <w:tcPr>
            <w:tcW w:w="2981" w:type="dxa"/>
            <w:noWrap w:val="0"/>
            <w:vAlign w:val="center"/>
          </w:tcPr>
          <w:p w14:paraId="0109B466">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违反条款：第十七条第一款第（五）项</w:t>
            </w:r>
          </w:p>
          <w:p w14:paraId="14A3CBEA">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处罚条款：第三十八条第四款 责令限期改正，处2000元以上2万元以下罚款。</w:t>
            </w:r>
          </w:p>
        </w:tc>
        <w:tc>
          <w:tcPr>
            <w:tcW w:w="851" w:type="dxa"/>
            <w:noWrap w:val="0"/>
            <w:vAlign w:val="center"/>
          </w:tcPr>
          <w:p w14:paraId="52B987C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14:paraId="5BDE976B">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2837A46E">
            <w:pPr>
              <w:spacing w:line="232" w:lineRule="exact"/>
              <w:rPr>
                <w:rFonts w:ascii="宋体" w:hAnsi="宋体" w:eastAsia="宋体" w:cs="宋体"/>
                <w:b/>
                <w:bCs/>
                <w:color w:val="auto"/>
                <w:kern w:val="0"/>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38E8379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30C67C22">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1304" w:type="dxa"/>
            <w:gridSpan w:val="2"/>
            <w:noWrap w:val="0"/>
            <w:vAlign w:val="center"/>
          </w:tcPr>
          <w:p w14:paraId="6C4A35A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4C8048E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c>
          <w:tcPr>
            <w:tcW w:w="1869" w:type="dxa"/>
            <w:noWrap w:val="0"/>
            <w:vAlign w:val="center"/>
          </w:tcPr>
          <w:p w14:paraId="54956F35">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C4649200</w:t>
            </w:r>
          </w:p>
        </w:tc>
      </w:tr>
      <w:tr w14:paraId="5EE4C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07" w:hRule="atLeast"/>
        </w:trPr>
        <w:tc>
          <w:tcPr>
            <w:tcW w:w="714" w:type="dxa"/>
            <w:noWrap w:val="0"/>
            <w:vAlign w:val="center"/>
          </w:tcPr>
          <w:p w14:paraId="55A51BFB">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5</w:t>
            </w:r>
          </w:p>
        </w:tc>
        <w:tc>
          <w:tcPr>
            <w:tcW w:w="1626" w:type="dxa"/>
            <w:gridSpan w:val="2"/>
            <w:noWrap w:val="0"/>
            <w:vAlign w:val="center"/>
          </w:tcPr>
          <w:p w14:paraId="09050BA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未取得生活垃圾运输经营许可擅自运输建筑垃圾</w:t>
            </w:r>
          </w:p>
        </w:tc>
        <w:tc>
          <w:tcPr>
            <w:tcW w:w="2981" w:type="dxa"/>
            <w:noWrap w:val="0"/>
            <w:vAlign w:val="center"/>
          </w:tcPr>
          <w:p w14:paraId="639292E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第十八条第一款</w:t>
            </w:r>
          </w:p>
          <w:p w14:paraId="01C365B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：第</w:t>
            </w:r>
            <w:r>
              <w:rPr>
                <w:rFonts w:hint="eastAsia" w:ascii="宋体" w:hAnsi="宋体" w:eastAsia="宋体"/>
                <w:color w:val="auto"/>
                <w:sz w:val="15"/>
                <w:szCs w:val="15"/>
                <w:highlight w:val="none"/>
              </w:rPr>
              <w:t>三十九条 责令限期改正，给予警告，处5000元以上3万元以下罚款</w:t>
            </w:r>
            <w:r>
              <w:rPr>
                <w:rFonts w:ascii="宋体" w:hAnsi="宋体" w:eastAsia="宋体"/>
                <w:color w:val="auto"/>
                <w:sz w:val="15"/>
                <w:szCs w:val="15"/>
                <w:highlight w:val="none"/>
              </w:rPr>
              <w:t>。</w:t>
            </w:r>
          </w:p>
        </w:tc>
        <w:tc>
          <w:tcPr>
            <w:tcW w:w="851" w:type="dxa"/>
            <w:noWrap w:val="0"/>
            <w:vAlign w:val="center"/>
          </w:tcPr>
          <w:p w14:paraId="1A98F37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14:paraId="5F093966">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1B6E1E84">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b w:val="0"/>
                <w:bCs w:val="0"/>
                <w:color w:val="auto"/>
                <w:sz w:val="15"/>
                <w:szCs w:val="15"/>
                <w:highlight w:val="none"/>
                <w:lang w:val="en-US" w:eastAsia="zh-CN"/>
              </w:rPr>
              <w:t>.</w:t>
            </w:r>
            <w:r>
              <w:rPr>
                <w:rFonts w:hint="eastAsia" w:ascii="宋体" w:hAnsi="宋体" w:cs="宋体"/>
                <w:b w:val="0"/>
                <w:bCs w:val="0"/>
                <w:color w:val="auto"/>
                <w:sz w:val="15"/>
                <w:szCs w:val="15"/>
                <w:highlight w:val="none"/>
                <w:lang w:val="en-US" w:eastAsia="zh-CN"/>
              </w:rPr>
              <w:t>运输垃圾2车次及以上的，系数1；4车次及以上的，系数2；6车次及以上的，系数3；8车次及以上的，系数4；10车次及以上的，系数5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违法时间</w:t>
            </w:r>
            <w:r>
              <w:rPr>
                <w:rFonts w:ascii="宋体" w:hAnsi="宋体" w:eastAsia="宋体"/>
                <w:color w:val="auto"/>
                <w:sz w:val="15"/>
                <w:szCs w:val="15"/>
                <w:highlight w:val="none"/>
              </w:rPr>
              <w:t>持续较长，造成严重环境秩序影响的，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w:t>
            </w:r>
            <w:r>
              <w:rPr>
                <w:rFonts w:ascii="宋体" w:hAnsi="宋体" w:eastAsia="宋体"/>
                <w:color w:val="auto"/>
                <w:sz w:val="15"/>
                <w:szCs w:val="15"/>
                <w:highlight w:val="none"/>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26CBC880">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w:t>
            </w:r>
          </w:p>
        </w:tc>
        <w:tc>
          <w:tcPr>
            <w:tcW w:w="2020" w:type="dxa"/>
            <w:gridSpan w:val="2"/>
            <w:noWrap w:val="0"/>
            <w:vAlign w:val="center"/>
          </w:tcPr>
          <w:p w14:paraId="2F221155">
            <w:pPr>
              <w:spacing w:line="232" w:lineRule="exact"/>
              <w:rPr>
                <w:rFonts w:ascii="宋体" w:hAnsi="宋体" w:eastAsia="宋体"/>
                <w:color w:val="auto"/>
                <w:sz w:val="15"/>
                <w:szCs w:val="15"/>
                <w:highlight w:val="none"/>
              </w:rPr>
            </w:pPr>
          </w:p>
        </w:tc>
        <w:tc>
          <w:tcPr>
            <w:tcW w:w="1304" w:type="dxa"/>
            <w:gridSpan w:val="2"/>
            <w:noWrap w:val="0"/>
            <w:vAlign w:val="center"/>
          </w:tcPr>
          <w:p w14:paraId="120A135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50836E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8D80926">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C4606400</w:t>
            </w:r>
          </w:p>
        </w:tc>
      </w:tr>
      <w:tr w14:paraId="2D443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330" w:hRule="atLeast"/>
        </w:trPr>
        <w:tc>
          <w:tcPr>
            <w:tcW w:w="714" w:type="dxa"/>
            <w:noWrap w:val="0"/>
            <w:vAlign w:val="center"/>
          </w:tcPr>
          <w:p w14:paraId="66C91E28">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6</w:t>
            </w:r>
          </w:p>
        </w:tc>
        <w:tc>
          <w:tcPr>
            <w:tcW w:w="1626" w:type="dxa"/>
            <w:gridSpan w:val="2"/>
            <w:noWrap w:val="0"/>
            <w:vAlign w:val="center"/>
          </w:tcPr>
          <w:p w14:paraId="4EA8A59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垃圾运输服务单位</w:t>
            </w:r>
            <w:r>
              <w:rPr>
                <w:rFonts w:hint="eastAsia" w:ascii="宋体" w:hAnsi="宋体" w:eastAsia="宋体"/>
                <w:color w:val="auto"/>
                <w:sz w:val="15"/>
                <w:szCs w:val="15"/>
                <w:highlight w:val="none"/>
              </w:rPr>
              <w:t>使用不符合</w:t>
            </w:r>
            <w:r>
              <w:rPr>
                <w:rFonts w:ascii="宋体" w:hAnsi="宋体" w:eastAsia="宋体"/>
                <w:color w:val="auto"/>
                <w:sz w:val="15"/>
                <w:szCs w:val="15"/>
                <w:highlight w:val="none"/>
              </w:rPr>
              <w:t>标准的车辆（</w:t>
            </w:r>
            <w:r>
              <w:rPr>
                <w:rFonts w:hint="eastAsia" w:ascii="宋体" w:hAnsi="宋体" w:eastAsia="宋体"/>
                <w:color w:val="auto"/>
                <w:sz w:val="15"/>
                <w:szCs w:val="15"/>
                <w:highlight w:val="none"/>
              </w:rPr>
              <w:t>或未取得建筑垃圾准运许可</w:t>
            </w:r>
            <w:r>
              <w:rPr>
                <w:rFonts w:ascii="宋体" w:hAnsi="宋体" w:eastAsia="宋体"/>
                <w:color w:val="auto"/>
                <w:sz w:val="15"/>
                <w:szCs w:val="15"/>
                <w:highlight w:val="none"/>
              </w:rPr>
              <w:t>）</w:t>
            </w:r>
            <w:r>
              <w:rPr>
                <w:rFonts w:hint="eastAsia" w:ascii="宋体" w:hAnsi="宋体" w:eastAsia="宋体"/>
                <w:color w:val="auto"/>
                <w:sz w:val="15"/>
                <w:szCs w:val="15"/>
                <w:highlight w:val="none"/>
              </w:rPr>
              <w:t>运输建筑垃圾</w:t>
            </w:r>
          </w:p>
        </w:tc>
        <w:tc>
          <w:tcPr>
            <w:tcW w:w="2981" w:type="dxa"/>
            <w:noWrap w:val="0"/>
            <w:vAlign w:val="center"/>
          </w:tcPr>
          <w:p w14:paraId="3CD4A4A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条款：第十八条第一款</w:t>
            </w:r>
          </w:p>
          <w:p w14:paraId="00DB631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第三十九条 责令限期改正，并处1万元以上3万元以下罚款；情节严重的，由城市管理综合执法部门吊销生活垃圾运输经营许可。</w:t>
            </w:r>
          </w:p>
        </w:tc>
        <w:tc>
          <w:tcPr>
            <w:tcW w:w="851" w:type="dxa"/>
            <w:noWrap w:val="0"/>
            <w:vAlign w:val="center"/>
          </w:tcPr>
          <w:p w14:paraId="2535DD7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5CD4718C">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4F6ED217">
            <w:pPr>
              <w:numPr>
                <w:ilvl w:val="0"/>
                <w:numId w:val="0"/>
              </w:numPr>
              <w:spacing w:line="232" w:lineRule="exact"/>
              <w:rPr>
                <w:rFonts w:hint="eastAsia" w:ascii="宋体" w:hAnsi="宋体" w:eastAsia="宋体"/>
                <w:color w:val="auto"/>
                <w:sz w:val="15"/>
                <w:szCs w:val="15"/>
                <w:highlight w:val="none"/>
              </w:rPr>
            </w:pPr>
            <w:r>
              <w:rPr>
                <w:rFonts w:hint="eastAsia" w:ascii="宋体" w:hAnsi="宋体" w:cs="宋体"/>
                <w:b w:val="0"/>
                <w:bCs w:val="0"/>
                <w:color w:val="auto"/>
                <w:sz w:val="15"/>
                <w:szCs w:val="15"/>
                <w:highlight w:val="none"/>
                <w:lang w:val="en-US" w:eastAsia="zh-CN"/>
              </w:rPr>
              <w:t>1.运输垃圾2-3车次的，系数1；4车次及以上的，系数2。</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17D87E4C">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w:t>
            </w:r>
          </w:p>
        </w:tc>
        <w:tc>
          <w:tcPr>
            <w:tcW w:w="2020" w:type="dxa"/>
            <w:gridSpan w:val="2"/>
            <w:noWrap w:val="0"/>
            <w:vAlign w:val="center"/>
          </w:tcPr>
          <w:p w14:paraId="67C3D10B">
            <w:pPr>
              <w:numPr>
                <w:ilvl w:val="0"/>
                <w:numId w:val="3"/>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14:paraId="502F0FE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共同会商；对于可能影响公共利益的，提请城市管理部门拟定接管方案。</w:t>
            </w:r>
          </w:p>
        </w:tc>
        <w:tc>
          <w:tcPr>
            <w:tcW w:w="1304" w:type="dxa"/>
            <w:gridSpan w:val="2"/>
            <w:noWrap w:val="0"/>
            <w:vAlign w:val="center"/>
          </w:tcPr>
          <w:p w14:paraId="293B202C">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14:paraId="2F32D55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869" w:type="dxa"/>
            <w:noWrap w:val="0"/>
            <w:vAlign w:val="center"/>
          </w:tcPr>
          <w:p w14:paraId="141BAD58">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C4642600</w:t>
            </w:r>
          </w:p>
        </w:tc>
      </w:tr>
      <w:tr w14:paraId="44C1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224" w:hRule="atLeast"/>
        </w:trPr>
        <w:tc>
          <w:tcPr>
            <w:tcW w:w="714" w:type="dxa"/>
            <w:noWrap w:val="0"/>
            <w:vAlign w:val="center"/>
          </w:tcPr>
          <w:p w14:paraId="37D2D46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17</w:t>
            </w:r>
          </w:p>
        </w:tc>
        <w:tc>
          <w:tcPr>
            <w:tcW w:w="1626" w:type="dxa"/>
            <w:gridSpan w:val="2"/>
            <w:noWrap w:val="0"/>
            <w:vAlign w:val="center"/>
          </w:tcPr>
          <w:p w14:paraId="288349C5">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建筑垃圾运输服务单位未采取措施</w:t>
            </w:r>
            <w:r>
              <w:rPr>
                <w:rFonts w:hint="eastAsia" w:ascii="宋体" w:hAnsi="宋体" w:eastAsia="宋体" w:cs="宋体"/>
                <w:color w:val="auto"/>
                <w:sz w:val="15"/>
                <w:szCs w:val="15"/>
                <w:highlight w:val="none"/>
                <w:lang w:eastAsia="zh-CN"/>
              </w:rPr>
              <w:t>造成</w:t>
            </w:r>
            <w:r>
              <w:rPr>
                <w:rFonts w:hint="eastAsia" w:ascii="宋体" w:hAnsi="宋体" w:eastAsia="宋体" w:cs="宋体"/>
                <w:color w:val="auto"/>
                <w:sz w:val="15"/>
                <w:szCs w:val="15"/>
                <w:highlight w:val="none"/>
              </w:rPr>
              <w:t>建筑垃圾遗撒、泄漏</w:t>
            </w:r>
          </w:p>
        </w:tc>
        <w:tc>
          <w:tcPr>
            <w:tcW w:w="2981" w:type="dxa"/>
            <w:noWrap w:val="0"/>
            <w:vAlign w:val="center"/>
          </w:tcPr>
          <w:p w14:paraId="3D126FC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违反条款：第十九条第一款；处罚条款：第四十条第一款 责令立即改正并清除遗撒、泄漏的建筑垃圾，</w:t>
            </w:r>
            <w:r>
              <w:rPr>
                <w:rStyle w:val="63"/>
                <w:rFonts w:hint="eastAsia" w:ascii="宋体" w:hAnsi="宋体" w:eastAsia="宋体" w:cs="宋体"/>
                <w:color w:val="auto"/>
                <w:sz w:val="15"/>
                <w:szCs w:val="15"/>
                <w:highlight w:val="none"/>
                <w:lang w:val="en-US" w:eastAsia="zh-CN" w:bidi="ar"/>
              </w:rPr>
              <w:t>处5万元以上50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noWrap w:val="0"/>
            <w:vAlign w:val="center"/>
          </w:tcPr>
          <w:p w14:paraId="029210B9">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noWrap w:val="0"/>
            <w:vAlign w:val="center"/>
          </w:tcPr>
          <w:p w14:paraId="31BC501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1B41F3D7">
            <w:pPr>
              <w:rPr>
                <w:rFonts w:hint="default"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1.</w:t>
            </w:r>
            <w:r>
              <w:rPr>
                <w:rFonts w:hint="eastAsia" w:ascii="宋体" w:hAnsi="宋体" w:eastAsia="宋体" w:cs="宋体"/>
                <w:b w:val="0"/>
                <w:bCs w:val="0"/>
                <w:color w:val="auto"/>
                <w:sz w:val="15"/>
                <w:szCs w:val="15"/>
                <w:highlight w:val="none"/>
              </w:rPr>
              <w:t>建筑垃圾占地面积11</w:t>
            </w:r>
            <w:r>
              <w:rPr>
                <w:rFonts w:hint="eastAsia" w:ascii="宋体" w:hAnsi="宋体" w:cs="宋体"/>
                <w:b w:val="0"/>
                <w:bCs w:val="0"/>
                <w:color w:val="auto"/>
                <w:sz w:val="15"/>
                <w:szCs w:val="15"/>
                <w:highlight w:val="none"/>
                <w:lang w:val="en-US" w:eastAsia="zh-CN"/>
              </w:rPr>
              <w:t>-</w:t>
            </w:r>
            <w:r>
              <w:rPr>
                <w:rFonts w:hint="eastAsia" w:ascii="宋体" w:hAnsi="宋体" w:eastAsia="宋体" w:cs="宋体"/>
                <w:b w:val="0"/>
                <w:bCs w:val="0"/>
                <w:color w:val="auto"/>
                <w:sz w:val="15"/>
                <w:szCs w:val="15"/>
                <w:highlight w:val="none"/>
              </w:rPr>
              <w:t>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sz w:val="15"/>
                <w:szCs w:val="15"/>
                <w:highlight w:val="none"/>
                <w:lang w:val="en-US" w:eastAsia="zh-CN"/>
              </w:rPr>
              <w:t>2</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sz w:val="15"/>
                <w:szCs w:val="15"/>
                <w:highlight w:val="none"/>
              </w:rPr>
              <w:t>产生较大环境污染或者社会影响的，系数</w:t>
            </w:r>
            <w:r>
              <w:rPr>
                <w:rFonts w:hint="eastAsia" w:ascii="宋体" w:hAnsi="宋体" w:eastAsia="宋体" w:cs="宋体"/>
                <w:color w:val="auto"/>
                <w:sz w:val="15"/>
                <w:szCs w:val="15"/>
                <w:highlight w:val="none"/>
                <w:lang w:val="en-US" w:eastAsia="zh-CN"/>
              </w:rPr>
              <w:t>5-</w:t>
            </w:r>
            <w:r>
              <w:rPr>
                <w:rFonts w:hint="eastAsia" w:ascii="宋体" w:hAnsi="宋体" w:cs="宋体"/>
                <w:color w:val="auto"/>
                <w:sz w:val="15"/>
                <w:szCs w:val="15"/>
                <w:highlight w:val="none"/>
                <w:lang w:val="en-US" w:eastAsia="zh-CN"/>
              </w:rPr>
              <w:t>6。3.存在基准2.1.3规定情形的，系数按照相关规定确定。</w:t>
            </w:r>
          </w:p>
          <w:p w14:paraId="4C686481">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b/>
                <w:bCs/>
                <w:color w:val="auto"/>
                <w:kern w:val="0"/>
                <w:sz w:val="15"/>
                <w:szCs w:val="15"/>
                <w:highlight w:val="none"/>
              </w:rPr>
            </w:pPr>
          </w:p>
        </w:tc>
        <w:tc>
          <w:tcPr>
            <w:tcW w:w="1875" w:type="dxa"/>
            <w:gridSpan w:val="2"/>
            <w:noWrap w:val="0"/>
            <w:vAlign w:val="center"/>
          </w:tcPr>
          <w:p w14:paraId="29709070">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2020" w:type="dxa"/>
            <w:gridSpan w:val="2"/>
            <w:noWrap w:val="0"/>
            <w:vAlign w:val="center"/>
          </w:tcPr>
          <w:p w14:paraId="772893E4">
            <w:pPr>
              <w:numPr>
                <w:ilvl w:val="0"/>
                <w:numId w:val="4"/>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14:paraId="2F99F66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京政发〔2017〕32号），拟作出吊销处罚的，作出处罚决定前，要邀请城市管理部门共同会商；对于可能影响公共利益的，提请城市管理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拟定接管方案。</w:t>
            </w:r>
          </w:p>
        </w:tc>
        <w:tc>
          <w:tcPr>
            <w:tcW w:w="1304" w:type="dxa"/>
            <w:gridSpan w:val="2"/>
            <w:noWrap w:val="0"/>
            <w:vAlign w:val="center"/>
          </w:tcPr>
          <w:p w14:paraId="20A71784">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14:paraId="4AE8FEB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869" w:type="dxa"/>
            <w:noWrap w:val="0"/>
            <w:vAlign w:val="center"/>
          </w:tcPr>
          <w:p w14:paraId="57B8735C">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C4641400</w:t>
            </w:r>
          </w:p>
        </w:tc>
      </w:tr>
      <w:tr w14:paraId="045A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490" w:hRule="atLeast"/>
        </w:trPr>
        <w:tc>
          <w:tcPr>
            <w:tcW w:w="714" w:type="dxa"/>
            <w:noWrap w:val="0"/>
            <w:vAlign w:val="center"/>
          </w:tcPr>
          <w:p w14:paraId="1596BB13">
            <w:pPr>
              <w:spacing w:line="232" w:lineRule="exact"/>
              <w:jc w:val="center"/>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lang w:val="en-US" w:eastAsia="zh-CN"/>
              </w:rPr>
              <w:t>18</w:t>
            </w:r>
          </w:p>
        </w:tc>
        <w:tc>
          <w:tcPr>
            <w:tcW w:w="1626" w:type="dxa"/>
            <w:gridSpan w:val="2"/>
            <w:noWrap w:val="0"/>
            <w:vAlign w:val="center"/>
          </w:tcPr>
          <w:p w14:paraId="2CBA82B9">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建筑垃圾运输服务单位将建筑垃圾与其他生活垃圾、危险废物混装混运</w:t>
            </w:r>
          </w:p>
        </w:tc>
        <w:tc>
          <w:tcPr>
            <w:tcW w:w="2981" w:type="dxa"/>
            <w:noWrap w:val="0"/>
            <w:vAlign w:val="center"/>
          </w:tcPr>
          <w:p w14:paraId="7D7AFCF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违反条款：第十九条第一款；处罚条款：第四十条第一款 责令立即改正并清除遗撒、泄漏的建筑垃圾，</w:t>
            </w:r>
            <w:r>
              <w:rPr>
                <w:rStyle w:val="63"/>
                <w:rFonts w:hint="eastAsia" w:ascii="宋体" w:hAnsi="宋体" w:eastAsia="宋体" w:cs="宋体"/>
                <w:color w:val="auto"/>
                <w:sz w:val="15"/>
                <w:szCs w:val="15"/>
                <w:highlight w:val="none"/>
                <w:lang w:val="en-US" w:eastAsia="zh-CN" w:bidi="ar"/>
              </w:rPr>
              <w:t>处5万元以上50万元以下罚款；情节严重的，由城市管理综合执法部门吊销生活垃圾运输经营许可。</w:t>
            </w:r>
          </w:p>
        </w:tc>
        <w:tc>
          <w:tcPr>
            <w:tcW w:w="851" w:type="dxa"/>
            <w:noWrap w:val="0"/>
            <w:vAlign w:val="center"/>
          </w:tcPr>
          <w:p w14:paraId="5F43CFEA">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noWrap w:val="0"/>
            <w:vAlign w:val="center"/>
          </w:tcPr>
          <w:p w14:paraId="05D914C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068F8E70">
            <w:pPr>
              <w:keepNext w:val="0"/>
              <w:keepLines w:val="0"/>
              <w:pageBreakBefore w:val="0"/>
              <w:kinsoku/>
              <w:wordWrap/>
              <w:overflowPunct/>
              <w:topLinePunct w:val="0"/>
              <w:autoSpaceDE/>
              <w:autoSpaceDN/>
              <w:bidi w:val="0"/>
              <w:adjustRightInd/>
              <w:snapToGrid/>
              <w:spacing w:line="240" w:lineRule="auto"/>
              <w:rPr>
                <w:rFonts w:hint="default" w:ascii="宋体" w:hAnsi="宋体" w:eastAsia="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rPr>
              <w:t>.运输车辆（4.5吨以上），</w:t>
            </w:r>
            <w:r>
              <w:rPr>
                <w:rFonts w:hint="eastAsia" w:ascii="宋体" w:hAnsi="宋体" w:cs="宋体"/>
                <w:color w:val="auto"/>
                <w:sz w:val="15"/>
                <w:szCs w:val="15"/>
                <w:highlight w:val="none"/>
                <w:lang w:eastAsia="zh-CN"/>
              </w:rPr>
              <w:t>系数</w:t>
            </w:r>
            <w:r>
              <w:rPr>
                <w:rFonts w:hint="eastAsia" w:ascii="宋体" w:hAnsi="宋体" w:eastAsia="宋体" w:cs="宋体"/>
                <w:color w:val="auto"/>
                <w:sz w:val="15"/>
                <w:szCs w:val="15"/>
                <w:highlight w:val="none"/>
                <w:lang w:val="en-US" w:eastAsia="zh-CN"/>
              </w:rPr>
              <w:t>1-</w:t>
            </w:r>
            <w:r>
              <w:rPr>
                <w:rFonts w:hint="eastAsia" w:ascii="宋体" w:hAnsi="宋体" w:cs="宋体"/>
                <w:color w:val="auto"/>
                <w:sz w:val="15"/>
                <w:szCs w:val="15"/>
                <w:highlight w:val="none"/>
                <w:lang w:val="en-US" w:eastAsia="zh-CN"/>
              </w:rPr>
              <w:t>2</w:t>
            </w: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.与危险废物混装混运，</w:t>
            </w:r>
            <w:r>
              <w:rPr>
                <w:rFonts w:hint="eastAsia" w:ascii="宋体" w:hAnsi="宋体" w:cs="宋体"/>
                <w:color w:val="auto"/>
                <w:sz w:val="15"/>
                <w:szCs w:val="15"/>
                <w:highlight w:val="none"/>
                <w:lang w:eastAsia="zh-CN"/>
              </w:rPr>
              <w:t>系数</w:t>
            </w:r>
            <w:r>
              <w:rPr>
                <w:rFonts w:hint="default" w:ascii="宋体" w:hAnsi="宋体" w:cs="宋体"/>
                <w:color w:val="auto"/>
                <w:sz w:val="15"/>
                <w:szCs w:val="15"/>
                <w:highlight w:val="none"/>
                <w:lang w:val="en-US"/>
              </w:rPr>
              <w:t>5</w:t>
            </w:r>
            <w:r>
              <w:rPr>
                <w:rFonts w:hint="eastAsia" w:ascii="宋体" w:hAnsi="宋体" w:eastAsia="宋体" w:cs="宋体"/>
                <w:color w:val="auto"/>
                <w:sz w:val="15"/>
                <w:szCs w:val="15"/>
                <w:highlight w:val="none"/>
                <w:lang w:val="en-US" w:eastAsia="zh-CN"/>
              </w:rPr>
              <w:t>-</w:t>
            </w:r>
            <w:r>
              <w:rPr>
                <w:rFonts w:hint="default" w:ascii="宋体" w:hAnsi="宋体" w:cs="宋体"/>
                <w:color w:val="auto"/>
                <w:sz w:val="15"/>
                <w:szCs w:val="15"/>
                <w:highlight w:val="none"/>
                <w:lang w:val="en-US" w:eastAsia="zh-CN"/>
              </w:rPr>
              <w:t>6</w:t>
            </w:r>
            <w:r>
              <w:rPr>
                <w:rFonts w:hint="eastAsia" w:ascii="宋体" w:hAnsi="宋体" w:eastAsia="宋体" w:cs="宋体"/>
                <w:color w:val="auto"/>
                <w:sz w:val="15"/>
                <w:szCs w:val="15"/>
                <w:highlight w:val="none"/>
                <w:lang w:val="en-US" w:eastAsia="zh-CN"/>
              </w:rPr>
              <w:t>；3.同一运输单位存在多辆车辆混装混运的，</w:t>
            </w:r>
            <w:r>
              <w:rPr>
                <w:rFonts w:hint="eastAsia" w:ascii="宋体" w:hAnsi="宋体" w:cs="宋体"/>
                <w:color w:val="auto"/>
                <w:sz w:val="15"/>
                <w:szCs w:val="15"/>
                <w:highlight w:val="none"/>
                <w:lang w:val="en-US" w:eastAsia="zh-CN"/>
              </w:rPr>
              <w:t>系数</w:t>
            </w:r>
            <w:r>
              <w:rPr>
                <w:rFonts w:hint="eastAsia" w:ascii="宋体" w:hAnsi="宋体" w:eastAsia="宋体" w:cs="宋体"/>
                <w:color w:val="auto"/>
                <w:sz w:val="15"/>
                <w:szCs w:val="15"/>
                <w:highlight w:val="none"/>
                <w:lang w:val="en-US" w:eastAsia="zh-CN"/>
              </w:rPr>
              <w:t>7</w:t>
            </w:r>
            <w:r>
              <w:rPr>
                <w:rFonts w:hint="eastAsia" w:ascii="宋体" w:hAnsi="宋体" w:cs="宋体"/>
                <w:color w:val="auto"/>
                <w:sz w:val="15"/>
                <w:szCs w:val="15"/>
                <w:highlight w:val="none"/>
                <w:lang w:val="en-US" w:eastAsia="zh-CN"/>
              </w:rPr>
              <w:t>-8；</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46AA5FC3">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2020" w:type="dxa"/>
            <w:gridSpan w:val="2"/>
            <w:noWrap w:val="0"/>
            <w:vAlign w:val="center"/>
          </w:tcPr>
          <w:p w14:paraId="5B8E080B">
            <w:pPr>
              <w:keepNext w:val="0"/>
              <w:keepLines w:val="0"/>
              <w:pageBreakBefore w:val="0"/>
              <w:numPr>
                <w:ilvl w:val="0"/>
                <w:numId w:val="5"/>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14:paraId="221D3ED5">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1304" w:type="dxa"/>
            <w:gridSpan w:val="2"/>
            <w:noWrap w:val="0"/>
            <w:vAlign w:val="center"/>
          </w:tcPr>
          <w:p w14:paraId="21E9C799">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14:paraId="7AAAA48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869" w:type="dxa"/>
            <w:noWrap w:val="0"/>
            <w:vAlign w:val="center"/>
          </w:tcPr>
          <w:p w14:paraId="0A8EBE07">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C4641400</w:t>
            </w:r>
          </w:p>
        </w:tc>
      </w:tr>
      <w:tr w14:paraId="03CD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44" w:hRule="atLeast"/>
        </w:trPr>
        <w:tc>
          <w:tcPr>
            <w:tcW w:w="714" w:type="dxa"/>
            <w:noWrap w:val="0"/>
            <w:vAlign w:val="center"/>
          </w:tcPr>
          <w:p w14:paraId="5F9733C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19</w:t>
            </w:r>
          </w:p>
        </w:tc>
        <w:tc>
          <w:tcPr>
            <w:tcW w:w="1626" w:type="dxa"/>
            <w:gridSpan w:val="2"/>
            <w:noWrap w:val="0"/>
            <w:vAlign w:val="center"/>
          </w:tcPr>
          <w:p w14:paraId="20DFEEB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垃圾运输服务单位</w:t>
            </w:r>
            <w:r>
              <w:rPr>
                <w:rFonts w:hint="eastAsia" w:ascii="宋体" w:hAnsi="宋体" w:eastAsia="宋体"/>
                <w:color w:val="auto"/>
                <w:sz w:val="15"/>
                <w:szCs w:val="15"/>
                <w:highlight w:val="none"/>
              </w:rPr>
              <w:t>未</w:t>
            </w:r>
            <w:r>
              <w:rPr>
                <w:rFonts w:ascii="宋体" w:hAnsi="宋体" w:eastAsia="宋体"/>
                <w:color w:val="auto"/>
                <w:sz w:val="15"/>
                <w:szCs w:val="15"/>
                <w:highlight w:val="none"/>
              </w:rPr>
              <w:t>按照规定使用电子运单</w:t>
            </w:r>
            <w:r>
              <w:rPr>
                <w:rFonts w:hint="eastAsia" w:ascii="宋体" w:hAnsi="宋体" w:eastAsia="宋体"/>
                <w:color w:val="auto"/>
                <w:sz w:val="15"/>
                <w:szCs w:val="15"/>
                <w:highlight w:val="none"/>
              </w:rPr>
              <w:t>，</w:t>
            </w:r>
            <w:r>
              <w:rPr>
                <w:rFonts w:ascii="宋体" w:hAnsi="宋体" w:eastAsia="宋体"/>
                <w:color w:val="auto"/>
                <w:sz w:val="15"/>
                <w:szCs w:val="15"/>
                <w:highlight w:val="none"/>
              </w:rPr>
              <w:t>如实记录建筑垃圾处置情况</w:t>
            </w:r>
          </w:p>
        </w:tc>
        <w:tc>
          <w:tcPr>
            <w:tcW w:w="2981" w:type="dxa"/>
            <w:noWrap w:val="0"/>
            <w:vAlign w:val="center"/>
          </w:tcPr>
          <w:p w14:paraId="46DE2FE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十九条第</w:t>
            </w:r>
            <w:r>
              <w:rPr>
                <w:rFonts w:hint="eastAsia" w:ascii="宋体" w:hAnsi="宋体" w:eastAsia="宋体"/>
                <w:color w:val="auto"/>
                <w:sz w:val="15"/>
                <w:szCs w:val="15"/>
                <w:highlight w:val="none"/>
              </w:rPr>
              <w:t>二</w:t>
            </w:r>
            <w:r>
              <w:rPr>
                <w:rFonts w:ascii="宋体" w:hAnsi="宋体" w:eastAsia="宋体"/>
                <w:color w:val="auto"/>
                <w:sz w:val="15"/>
                <w:szCs w:val="15"/>
                <w:highlight w:val="none"/>
              </w:rPr>
              <w:t>款</w:t>
            </w:r>
          </w:p>
          <w:p w14:paraId="744CB3E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四十条第二款</w:t>
            </w:r>
            <w:r>
              <w:rPr>
                <w:rFonts w:hint="eastAsia" w:ascii="宋体" w:hAnsi="宋体" w:eastAsia="宋体"/>
                <w:color w:val="auto"/>
                <w:sz w:val="15"/>
                <w:szCs w:val="15"/>
                <w:highlight w:val="none"/>
              </w:rPr>
              <w:t xml:space="preserve"> 责令限期改正，处1000元以上1万元以下罚款；情节严重的，由城市管理综合执法部门依法吊销生活垃圾运输经营许可。</w:t>
            </w:r>
          </w:p>
        </w:tc>
        <w:tc>
          <w:tcPr>
            <w:tcW w:w="851" w:type="dxa"/>
            <w:noWrap w:val="0"/>
            <w:vAlign w:val="center"/>
          </w:tcPr>
          <w:p w14:paraId="2FF3DE6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noWrap w:val="0"/>
            <w:vAlign w:val="center"/>
          </w:tcPr>
          <w:p w14:paraId="6DC06CF9">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4AD1EE84">
            <w:pPr>
              <w:spacing w:line="232" w:lineRule="exact"/>
              <w:rPr>
                <w:rFonts w:hint="default" w:ascii="宋体" w:hAnsi="宋体" w:eastAsia="宋体" w:cs="宋体"/>
                <w:b/>
                <w:bCs/>
                <w:color w:val="auto"/>
                <w:kern w:val="0"/>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cs="宋体"/>
                <w:b w:val="0"/>
                <w:bCs w:val="0"/>
                <w:color w:val="auto"/>
                <w:sz w:val="15"/>
                <w:szCs w:val="15"/>
                <w:highlight w:val="none"/>
                <w:lang w:val="en-US" w:eastAsia="zh-CN"/>
              </w:rPr>
              <w:t>运输垃圾2车次及以上的，系数1；4车次及以上的，系数3；6车次及以上的，系数5；8车次及以上的，系数7；10车次及以上的，系数9。2</w:t>
            </w:r>
            <w:r>
              <w:rPr>
                <w:rFonts w:hint="eastAsia" w:ascii="宋体" w:hAnsi="宋体" w:cs="宋体"/>
                <w:b/>
                <w:bCs/>
                <w:color w:val="auto"/>
                <w:sz w:val="15"/>
                <w:szCs w:val="15"/>
                <w:highlight w:val="none"/>
                <w:lang w:val="en-US" w:eastAsia="zh-CN"/>
              </w:rPr>
              <w:t>.</w:t>
            </w:r>
            <w:r>
              <w:rPr>
                <w:rFonts w:hint="eastAsia" w:ascii="宋体" w:hAnsi="宋体" w:eastAsia="宋体"/>
                <w:color w:val="auto"/>
                <w:sz w:val="15"/>
                <w:szCs w:val="15"/>
                <w:highlight w:val="none"/>
                <w:lang w:val="en-US" w:eastAsia="zh-CN"/>
              </w:rPr>
              <w:t>同一运输单位多辆（3辆及以上）车辆存在违规的，系数5-9。3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14:paraId="3638304B">
            <w:pPr>
              <w:spacing w:line="232" w:lineRule="exact"/>
              <w:rPr>
                <w:rFonts w:hint="eastAsia" w:ascii="宋体" w:hAnsi="宋体" w:eastAsia="宋体"/>
                <w:color w:val="auto"/>
                <w:sz w:val="15"/>
                <w:szCs w:val="15"/>
                <w:highlight w:val="none"/>
              </w:rPr>
            </w:pPr>
          </w:p>
        </w:tc>
        <w:tc>
          <w:tcPr>
            <w:tcW w:w="1875" w:type="dxa"/>
            <w:gridSpan w:val="2"/>
            <w:noWrap w:val="0"/>
            <w:vAlign w:val="center"/>
          </w:tcPr>
          <w:p w14:paraId="446D019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6132805A">
            <w:pPr>
              <w:numPr>
                <w:ilvl w:val="0"/>
                <w:numId w:val="6"/>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14:paraId="6DADCBF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1304" w:type="dxa"/>
            <w:gridSpan w:val="2"/>
            <w:noWrap w:val="0"/>
            <w:vAlign w:val="center"/>
          </w:tcPr>
          <w:p w14:paraId="5AF64314">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14:paraId="4B7A44C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869" w:type="dxa"/>
            <w:noWrap w:val="0"/>
            <w:vAlign w:val="center"/>
          </w:tcPr>
          <w:p w14:paraId="4C37673B">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C4642000</w:t>
            </w:r>
          </w:p>
        </w:tc>
      </w:tr>
      <w:tr w14:paraId="36DE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55" w:hRule="atLeast"/>
        </w:trPr>
        <w:tc>
          <w:tcPr>
            <w:tcW w:w="714" w:type="dxa"/>
            <w:noWrap w:val="0"/>
            <w:vAlign w:val="center"/>
          </w:tcPr>
          <w:p w14:paraId="2F67DC7C">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0</w:t>
            </w:r>
          </w:p>
        </w:tc>
        <w:tc>
          <w:tcPr>
            <w:tcW w:w="1626" w:type="dxa"/>
            <w:gridSpan w:val="2"/>
            <w:noWrap w:val="0"/>
            <w:vAlign w:val="center"/>
          </w:tcPr>
          <w:p w14:paraId="7F47B1A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w:t>
            </w:r>
            <w:r>
              <w:rPr>
                <w:rFonts w:ascii="宋体" w:hAnsi="宋体" w:eastAsia="宋体"/>
                <w:color w:val="auto"/>
                <w:sz w:val="15"/>
                <w:szCs w:val="15"/>
                <w:highlight w:val="none"/>
              </w:rPr>
              <w:t>单位</w:t>
            </w:r>
            <w:r>
              <w:rPr>
                <w:rFonts w:hint="eastAsia" w:ascii="宋体" w:hAnsi="宋体" w:eastAsia="宋体"/>
                <w:color w:val="auto"/>
                <w:sz w:val="15"/>
                <w:szCs w:val="15"/>
                <w:highlight w:val="none"/>
              </w:rPr>
              <w:t>未</w:t>
            </w:r>
            <w:r>
              <w:rPr>
                <w:rFonts w:ascii="宋体" w:hAnsi="宋体" w:eastAsia="宋体"/>
                <w:color w:val="auto"/>
                <w:sz w:val="15"/>
                <w:szCs w:val="15"/>
                <w:highlight w:val="none"/>
              </w:rPr>
              <w:t>编制建筑垃圾处理方案</w:t>
            </w:r>
            <w:r>
              <w:rPr>
                <w:rFonts w:hint="eastAsia" w:ascii="宋体" w:hAnsi="宋体" w:eastAsia="宋体"/>
                <w:color w:val="auto"/>
                <w:sz w:val="15"/>
                <w:szCs w:val="15"/>
                <w:highlight w:val="none"/>
              </w:rPr>
              <w:t>报备案</w:t>
            </w:r>
          </w:p>
        </w:tc>
        <w:tc>
          <w:tcPr>
            <w:tcW w:w="2981" w:type="dxa"/>
            <w:noWrap w:val="0"/>
            <w:vAlign w:val="center"/>
          </w:tcPr>
          <w:p w14:paraId="6A99A203">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违反条款：第二十条第一款</w:t>
            </w:r>
          </w:p>
          <w:p w14:paraId="08576001">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处罚条款：第四十一条第一款 责令限期改正，处10万元以上100万元以下罚款。</w:t>
            </w:r>
          </w:p>
        </w:tc>
        <w:tc>
          <w:tcPr>
            <w:tcW w:w="851" w:type="dxa"/>
            <w:noWrap w:val="0"/>
            <w:vAlign w:val="center"/>
          </w:tcPr>
          <w:p w14:paraId="6C9157D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100000</w:t>
            </w:r>
          </w:p>
        </w:tc>
        <w:tc>
          <w:tcPr>
            <w:tcW w:w="840" w:type="dxa"/>
            <w:noWrap w:val="0"/>
            <w:vAlign w:val="center"/>
          </w:tcPr>
          <w:p w14:paraId="763D5C01">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532B7951">
            <w:pPr>
              <w:spacing w:line="232" w:lineRule="exact"/>
              <w:rPr>
                <w:rFonts w:hint="default" w:ascii="宋体" w:hAnsi="宋体" w:eastAsia="宋体" w:cs="宋体"/>
                <w:b/>
                <w:bCs/>
                <w:color w:val="auto"/>
                <w:kern w:val="0"/>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1.工程建筑面积在300㎡及以下的，系数0；300㎡以上5000㎡及以下的，系数1-</w:t>
            </w:r>
            <w:r>
              <w:rPr>
                <w:rFonts w:hint="default" w:ascii="宋体" w:hAnsi="宋体" w:eastAsia="宋体" w:cs="宋体"/>
                <w:b w:val="0"/>
                <w:bCs w:val="0"/>
                <w:strike w:val="0"/>
                <w:dstrike w:val="0"/>
                <w:color w:val="auto"/>
                <w:sz w:val="15"/>
                <w:szCs w:val="15"/>
                <w:highlight w:val="none"/>
                <w:lang w:val="en-US" w:eastAsia="zh-CN"/>
              </w:rPr>
              <w:t>2</w:t>
            </w:r>
            <w:r>
              <w:rPr>
                <w:rFonts w:hint="eastAsia" w:ascii="宋体" w:hAnsi="宋体" w:eastAsia="宋体" w:cs="宋体"/>
                <w:b w:val="0"/>
                <w:bCs w:val="0"/>
                <w:strike w:val="0"/>
                <w:dstrike w:val="0"/>
                <w:color w:val="auto"/>
                <w:sz w:val="15"/>
                <w:szCs w:val="15"/>
                <w:highlight w:val="none"/>
                <w:lang w:val="en-US" w:eastAsia="zh-CN"/>
              </w:rPr>
              <w:t>；5000㎡以上2万㎡及以下的，系数</w:t>
            </w:r>
            <w:r>
              <w:rPr>
                <w:rFonts w:hint="default" w:ascii="宋体" w:hAnsi="宋体" w:eastAsia="宋体" w:cs="宋体"/>
                <w:b w:val="0"/>
                <w:bCs w:val="0"/>
                <w:strike w:val="0"/>
                <w:dstrike w:val="0"/>
                <w:color w:val="auto"/>
                <w:sz w:val="15"/>
                <w:szCs w:val="15"/>
                <w:highlight w:val="none"/>
                <w:lang w:val="en-US" w:eastAsia="zh-CN"/>
              </w:rPr>
              <w:t>3-4</w:t>
            </w:r>
            <w:r>
              <w:rPr>
                <w:rFonts w:hint="eastAsia" w:ascii="宋体" w:hAnsi="宋体" w:eastAsia="宋体" w:cs="宋体"/>
                <w:b w:val="0"/>
                <w:bCs w:val="0"/>
                <w:strike w:val="0"/>
                <w:dstrike w:val="0"/>
                <w:color w:val="auto"/>
                <w:sz w:val="15"/>
                <w:szCs w:val="15"/>
                <w:highlight w:val="none"/>
                <w:lang w:val="en-US" w:eastAsia="zh-CN"/>
              </w:rPr>
              <w:t>；2万㎡以上的，系数</w:t>
            </w:r>
            <w:r>
              <w:rPr>
                <w:rFonts w:hint="default" w:ascii="宋体" w:hAnsi="宋体" w:eastAsia="宋体" w:cs="宋体"/>
                <w:b w:val="0"/>
                <w:bCs w:val="0"/>
                <w:strike w:val="0"/>
                <w:dstrike w:val="0"/>
                <w:color w:val="auto"/>
                <w:sz w:val="15"/>
                <w:szCs w:val="15"/>
                <w:highlight w:val="none"/>
                <w:lang w:val="en-US" w:eastAsia="zh-CN"/>
              </w:rPr>
              <w:t>5-6</w:t>
            </w:r>
            <w:r>
              <w:rPr>
                <w:rFonts w:hint="eastAsia" w:ascii="宋体" w:hAnsi="宋体" w:eastAsia="宋体" w:cs="宋体"/>
                <w:b w:val="0"/>
                <w:bCs w:val="0"/>
                <w:strike w:val="0"/>
                <w:dstrike w:val="0"/>
                <w:color w:val="auto"/>
                <w:sz w:val="15"/>
                <w:szCs w:val="15"/>
                <w:highlight w:val="none"/>
                <w:lang w:val="en-US" w:eastAsia="zh-CN"/>
              </w:rPr>
              <w:t>。2.未备案时间持续10天及以内的，系数0；11-20天的，系数1；21-30天的，系数2；31-40天的，系数3；41-50天的，系数4；51-60天的，系数5；以此类推，91天及以上的，系数9。</w:t>
            </w:r>
            <w:r>
              <w:rPr>
                <w:rFonts w:hint="eastAsia" w:ascii="宋体" w:hAnsi="宋体" w:eastAsia="宋体" w:cs="宋体"/>
                <w:color w:val="auto"/>
                <w:sz w:val="15"/>
                <w:szCs w:val="15"/>
                <w:highlight w:val="none"/>
                <w:lang w:val="en-US" w:eastAsia="zh-CN"/>
              </w:rPr>
              <w:t>3.造</w:t>
            </w:r>
            <w:r>
              <w:rPr>
                <w:rFonts w:hint="eastAsia" w:ascii="宋体" w:hAnsi="宋体" w:eastAsia="宋体" w:cs="宋体"/>
                <w:color w:val="auto"/>
                <w:sz w:val="15"/>
                <w:szCs w:val="15"/>
                <w:highlight w:val="none"/>
              </w:rPr>
              <w:t>成环境秩序较严重影响的，系数5-</w:t>
            </w:r>
            <w:r>
              <w:rPr>
                <w:rFonts w:hint="eastAsia" w:ascii="宋体" w:hAnsi="宋体" w:eastAsia="宋体" w:cs="宋体"/>
                <w:color w:val="auto"/>
                <w:sz w:val="15"/>
                <w:szCs w:val="15"/>
                <w:highlight w:val="none"/>
                <w:lang w:val="en-US" w:eastAsia="zh-CN"/>
              </w:rPr>
              <w:t>6</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14:paraId="217D1347">
            <w:pPr>
              <w:widowControl w:val="0"/>
              <w:numPr>
                <w:ilvl w:val="0"/>
                <w:numId w:val="0"/>
              </w:numPr>
              <w:jc w:val="both"/>
              <w:rPr>
                <w:rFonts w:hint="eastAsia" w:ascii="宋体" w:hAnsi="宋体" w:eastAsia="宋体" w:cs="宋体"/>
                <w:color w:val="auto"/>
                <w:sz w:val="15"/>
                <w:szCs w:val="15"/>
                <w:highlight w:val="none"/>
              </w:rPr>
            </w:pPr>
          </w:p>
        </w:tc>
        <w:tc>
          <w:tcPr>
            <w:tcW w:w="1875" w:type="dxa"/>
            <w:gridSpan w:val="2"/>
            <w:noWrap w:val="0"/>
            <w:vAlign w:val="center"/>
          </w:tcPr>
          <w:p w14:paraId="2D594943">
            <w:pPr>
              <w:widowControl w:val="0"/>
              <w:numPr>
                <w:ilvl w:val="0"/>
                <w:numId w:val="0"/>
              </w:numPr>
              <w:jc w:val="both"/>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罚款数额＝100000×（1＋</w:t>
            </w:r>
            <w:r>
              <w:rPr>
                <w:rFonts w:hint="eastAsia" w:ascii="宋体" w:hAnsi="宋体" w:eastAsia="宋体" w:cs="宋体"/>
                <w:color w:val="auto"/>
                <w:sz w:val="15"/>
                <w:szCs w:val="15"/>
                <w:highlight w:val="none"/>
                <w:lang w:eastAsia="zh-CN"/>
              </w:rPr>
              <w:t>情节</w:t>
            </w:r>
            <w:r>
              <w:rPr>
                <w:rFonts w:hint="eastAsia" w:ascii="宋体" w:hAnsi="宋体" w:eastAsia="宋体" w:cs="宋体"/>
                <w:color w:val="auto"/>
                <w:sz w:val="15"/>
                <w:szCs w:val="15"/>
                <w:highlight w:val="none"/>
              </w:rPr>
              <w:t>系数）</w:t>
            </w:r>
          </w:p>
        </w:tc>
        <w:tc>
          <w:tcPr>
            <w:tcW w:w="2020" w:type="dxa"/>
            <w:gridSpan w:val="2"/>
            <w:noWrap w:val="0"/>
            <w:vAlign w:val="center"/>
          </w:tcPr>
          <w:p w14:paraId="259FB0D9">
            <w:pPr>
              <w:spacing w:line="232" w:lineRule="exact"/>
              <w:rPr>
                <w:rFonts w:ascii="宋体" w:hAnsi="宋体" w:eastAsia="宋体"/>
                <w:color w:val="auto"/>
                <w:sz w:val="15"/>
                <w:szCs w:val="15"/>
                <w:highlight w:val="none"/>
              </w:rPr>
            </w:pPr>
          </w:p>
        </w:tc>
        <w:tc>
          <w:tcPr>
            <w:tcW w:w="1304" w:type="dxa"/>
            <w:gridSpan w:val="2"/>
            <w:noWrap w:val="0"/>
            <w:vAlign w:val="center"/>
          </w:tcPr>
          <w:p w14:paraId="779269D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E46D1B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277C7D2">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C4649000</w:t>
            </w:r>
          </w:p>
        </w:tc>
      </w:tr>
      <w:tr w14:paraId="624E1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78" w:hRule="atLeast"/>
        </w:trPr>
        <w:tc>
          <w:tcPr>
            <w:tcW w:w="714" w:type="dxa"/>
            <w:noWrap w:val="0"/>
            <w:vAlign w:val="center"/>
          </w:tcPr>
          <w:p w14:paraId="0361E41E">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1</w:t>
            </w:r>
          </w:p>
        </w:tc>
        <w:tc>
          <w:tcPr>
            <w:tcW w:w="1626" w:type="dxa"/>
            <w:gridSpan w:val="2"/>
            <w:noWrap w:val="0"/>
            <w:vAlign w:val="center"/>
          </w:tcPr>
          <w:p w14:paraId="1F0BE6A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w:t>
            </w:r>
            <w:r>
              <w:rPr>
                <w:rFonts w:ascii="宋体" w:hAnsi="宋体" w:eastAsia="宋体"/>
                <w:color w:val="auto"/>
                <w:sz w:val="15"/>
                <w:szCs w:val="15"/>
                <w:highlight w:val="none"/>
              </w:rPr>
              <w:t>未及时清运建筑垃圾</w:t>
            </w:r>
          </w:p>
        </w:tc>
        <w:tc>
          <w:tcPr>
            <w:tcW w:w="2981" w:type="dxa"/>
            <w:noWrap w:val="0"/>
            <w:vAlign w:val="center"/>
          </w:tcPr>
          <w:p w14:paraId="269055F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条款：第二十条第二款</w:t>
            </w:r>
          </w:p>
          <w:p w14:paraId="012C366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四十一条第二款</w:t>
            </w:r>
            <w:r>
              <w:rPr>
                <w:rFonts w:hint="eastAsia" w:ascii="宋体" w:hAnsi="宋体" w:eastAsia="宋体"/>
                <w:color w:val="auto"/>
                <w:sz w:val="15"/>
                <w:szCs w:val="15"/>
                <w:highlight w:val="none"/>
              </w:rPr>
              <w:t xml:space="preserve">  责令限期改正，处10万元以上100万元以下罚款。</w:t>
            </w:r>
          </w:p>
        </w:tc>
        <w:tc>
          <w:tcPr>
            <w:tcW w:w="851" w:type="dxa"/>
            <w:noWrap w:val="0"/>
            <w:vAlign w:val="center"/>
          </w:tcPr>
          <w:p w14:paraId="1DF80E2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100000</w:t>
            </w:r>
          </w:p>
        </w:tc>
        <w:tc>
          <w:tcPr>
            <w:tcW w:w="840" w:type="dxa"/>
            <w:noWrap w:val="0"/>
            <w:vAlign w:val="center"/>
          </w:tcPr>
          <w:p w14:paraId="0C1F5DD6">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765F8D6F">
            <w:pPr>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1.垃圾占地面积10㎡</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0；11－15㎡</w:t>
            </w:r>
            <w:r>
              <w:rPr>
                <w:rFonts w:hint="eastAsia" w:ascii="宋体" w:hAnsi="宋体" w:eastAsia="宋体" w:cs="仿宋_GB2312"/>
                <w:color w:val="auto"/>
                <w:sz w:val="15"/>
                <w:szCs w:val="15"/>
                <w:highlight w:val="none"/>
              </w:rPr>
              <w:t>的，系</w:t>
            </w:r>
            <w:r>
              <w:rPr>
                <w:rFonts w:hint="eastAsia" w:ascii="宋体" w:hAnsi="宋体" w:eastAsia="宋体" w:cs="宋体"/>
                <w:color w:val="auto"/>
                <w:sz w:val="15"/>
                <w:szCs w:val="15"/>
                <w:highlight w:val="none"/>
              </w:rPr>
              <w:t>数1；16－20㎡</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w:t>
            </w:r>
            <w:r>
              <w:rPr>
                <w:rFonts w:hint="eastAsia" w:ascii="宋体" w:hAnsi="宋体" w:cs="宋体"/>
                <w:strike w:val="0"/>
                <w:dstrike w:val="0"/>
                <w:color w:val="auto"/>
                <w:kern w:val="0"/>
                <w:sz w:val="15"/>
                <w:szCs w:val="15"/>
                <w:highlight w:val="none"/>
                <w:lang w:val="en-US" w:eastAsia="zh-CN"/>
              </w:rPr>
              <w:t>1</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0C82A99A">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0BC6D8EE">
            <w:pPr>
              <w:spacing w:line="232" w:lineRule="exact"/>
              <w:rPr>
                <w:rFonts w:ascii="宋体" w:hAnsi="宋体" w:eastAsia="宋体"/>
                <w:color w:val="auto"/>
                <w:sz w:val="15"/>
                <w:szCs w:val="15"/>
                <w:highlight w:val="none"/>
              </w:rPr>
            </w:pPr>
          </w:p>
        </w:tc>
        <w:tc>
          <w:tcPr>
            <w:tcW w:w="1304" w:type="dxa"/>
            <w:gridSpan w:val="2"/>
            <w:noWrap w:val="0"/>
            <w:vAlign w:val="center"/>
          </w:tcPr>
          <w:p w14:paraId="7C3E79F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FC3E49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84C11FE">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C4610500</w:t>
            </w:r>
          </w:p>
        </w:tc>
      </w:tr>
      <w:tr w14:paraId="794A1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01" w:hRule="atLeast"/>
        </w:trPr>
        <w:tc>
          <w:tcPr>
            <w:tcW w:w="714" w:type="dxa"/>
            <w:noWrap w:val="0"/>
            <w:vAlign w:val="center"/>
          </w:tcPr>
          <w:p w14:paraId="10D1E9B1">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2</w:t>
            </w:r>
          </w:p>
        </w:tc>
        <w:tc>
          <w:tcPr>
            <w:tcW w:w="1626" w:type="dxa"/>
            <w:gridSpan w:val="2"/>
            <w:noWrap w:val="0"/>
            <w:vAlign w:val="center"/>
          </w:tcPr>
          <w:p w14:paraId="49710848">
            <w:pPr>
              <w:spacing w:line="232" w:lineRule="exact"/>
              <w:rPr>
                <w:rFonts w:ascii="宋体" w:hAnsi="宋体" w:eastAsia="宋体"/>
                <w:color w:val="auto"/>
                <w:sz w:val="15"/>
                <w:szCs w:val="15"/>
                <w:highlight w:val="none"/>
              </w:rPr>
            </w:pPr>
            <w:r>
              <w:rPr>
                <w:rFonts w:hint="eastAsia" w:ascii="宋体" w:hAnsi="宋体" w:eastAsia="宋体"/>
                <w:b w:val="0"/>
                <w:bCs w:val="0"/>
                <w:color w:val="auto"/>
                <w:sz w:val="15"/>
                <w:szCs w:val="15"/>
                <w:highlight w:val="none"/>
              </w:rPr>
              <w:t>施工</w:t>
            </w:r>
            <w:r>
              <w:rPr>
                <w:rFonts w:ascii="宋体" w:hAnsi="宋体" w:eastAsia="宋体"/>
                <w:b w:val="0"/>
                <w:bCs w:val="0"/>
                <w:color w:val="auto"/>
                <w:sz w:val="15"/>
                <w:szCs w:val="15"/>
                <w:highlight w:val="none"/>
              </w:rPr>
              <w:t>单位</w:t>
            </w:r>
            <w:r>
              <w:rPr>
                <w:rFonts w:hint="eastAsia" w:ascii="宋体" w:hAnsi="宋体" w:eastAsia="宋体"/>
                <w:b w:val="0"/>
                <w:bCs w:val="0"/>
                <w:color w:val="auto"/>
                <w:sz w:val="15"/>
                <w:szCs w:val="15"/>
                <w:highlight w:val="none"/>
              </w:rPr>
              <w:t>未按照规定对施工过程中产生的建筑垃圾进行资源化利用或者处置</w:t>
            </w:r>
          </w:p>
        </w:tc>
        <w:tc>
          <w:tcPr>
            <w:tcW w:w="2981" w:type="dxa"/>
            <w:noWrap w:val="0"/>
            <w:vAlign w:val="center"/>
          </w:tcPr>
          <w:p w14:paraId="1F9960D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第二十条第二款</w:t>
            </w:r>
          </w:p>
          <w:p w14:paraId="30BFFDC6">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第四十</w:t>
            </w:r>
            <w:r>
              <w:rPr>
                <w:rFonts w:ascii="宋体" w:hAnsi="宋体" w:eastAsia="宋体"/>
                <w:color w:val="auto"/>
                <w:sz w:val="15"/>
                <w:szCs w:val="15"/>
                <w:highlight w:val="none"/>
              </w:rPr>
              <w:t>一条第二款</w:t>
            </w:r>
            <w:r>
              <w:rPr>
                <w:rFonts w:hint="eastAsia" w:ascii="宋体" w:hAnsi="宋体" w:eastAsia="宋体"/>
                <w:color w:val="auto"/>
                <w:sz w:val="15"/>
                <w:szCs w:val="15"/>
                <w:highlight w:val="none"/>
              </w:rPr>
              <w:t xml:space="preserve"> 责令限期改正，处1</w:t>
            </w:r>
            <w:r>
              <w:rPr>
                <w:rFonts w:ascii="宋体" w:hAnsi="宋体" w:eastAsia="宋体"/>
                <w:color w:val="auto"/>
                <w:sz w:val="15"/>
                <w:szCs w:val="15"/>
                <w:highlight w:val="none"/>
              </w:rPr>
              <w:t>0</w:t>
            </w:r>
            <w:r>
              <w:rPr>
                <w:rFonts w:hint="eastAsia" w:ascii="宋体" w:hAnsi="宋体" w:eastAsia="宋体"/>
                <w:color w:val="auto"/>
                <w:sz w:val="15"/>
                <w:szCs w:val="15"/>
                <w:highlight w:val="none"/>
              </w:rPr>
              <w:t>万元以上10</w:t>
            </w:r>
            <w:r>
              <w:rPr>
                <w:rFonts w:ascii="宋体" w:hAnsi="宋体" w:eastAsia="宋体"/>
                <w:color w:val="auto"/>
                <w:sz w:val="15"/>
                <w:szCs w:val="15"/>
                <w:highlight w:val="none"/>
              </w:rPr>
              <w:t>0</w:t>
            </w:r>
            <w:r>
              <w:rPr>
                <w:rFonts w:hint="eastAsia" w:ascii="宋体" w:hAnsi="宋体" w:eastAsia="宋体"/>
                <w:color w:val="auto"/>
                <w:sz w:val="15"/>
                <w:szCs w:val="15"/>
                <w:highlight w:val="none"/>
              </w:rPr>
              <w:t>万元以下罚款。</w:t>
            </w:r>
          </w:p>
        </w:tc>
        <w:tc>
          <w:tcPr>
            <w:tcW w:w="851" w:type="dxa"/>
            <w:noWrap w:val="0"/>
            <w:vAlign w:val="center"/>
          </w:tcPr>
          <w:p w14:paraId="6B218B3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r>
              <w:rPr>
                <w:rFonts w:ascii="宋体" w:hAnsi="宋体" w:eastAsia="宋体"/>
                <w:color w:val="auto"/>
                <w:sz w:val="15"/>
                <w:szCs w:val="15"/>
                <w:highlight w:val="none"/>
              </w:rPr>
              <w:t>0</w:t>
            </w:r>
          </w:p>
        </w:tc>
        <w:tc>
          <w:tcPr>
            <w:tcW w:w="840" w:type="dxa"/>
            <w:noWrap w:val="0"/>
            <w:vAlign w:val="center"/>
          </w:tcPr>
          <w:p w14:paraId="40CA38BE">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66DE930C">
            <w:pPr>
              <w:spacing w:line="232"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w:t>
            </w:r>
            <w:r>
              <w:rPr>
                <w:rFonts w:ascii="宋体" w:hAnsi="宋体" w:eastAsia="宋体"/>
                <w:color w:val="auto"/>
                <w:sz w:val="15"/>
                <w:szCs w:val="15"/>
                <w:highlight w:val="none"/>
              </w:rPr>
              <w:t>按规定利用或</w:t>
            </w:r>
            <w:r>
              <w:rPr>
                <w:rFonts w:hint="eastAsia" w:ascii="宋体" w:hAnsi="宋体" w:eastAsia="宋体"/>
                <w:color w:val="auto"/>
                <w:sz w:val="15"/>
                <w:szCs w:val="15"/>
                <w:highlight w:val="none"/>
              </w:rPr>
              <w:t>处置</w:t>
            </w:r>
            <w:r>
              <w:rPr>
                <w:rFonts w:ascii="宋体" w:hAnsi="宋体" w:eastAsia="宋体"/>
                <w:color w:val="auto"/>
                <w:sz w:val="15"/>
                <w:szCs w:val="15"/>
                <w:highlight w:val="none"/>
              </w:rPr>
              <w:t>的</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hint="eastAsia" w:ascii="宋体" w:hAnsi="宋体" w:eastAsia="宋体" w:cs="宋体"/>
                <w:b w:val="0"/>
                <w:bCs w:val="0"/>
                <w:color w:val="auto"/>
                <w:sz w:val="15"/>
                <w:szCs w:val="15"/>
                <w:highlight w:val="none"/>
                <w:lang w:val="en-US" w:eastAsia="zh-CN"/>
              </w:rPr>
              <w:t>或者运输垃圾5车次以下的</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5（含5车）-9车次的，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eastAsia="宋体" w:cs="Batang"/>
                <w:b w:val="0"/>
                <w:bCs w:val="0"/>
                <w:color w:val="auto"/>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0-14车次的，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15-19车次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20-24车次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25-29车次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或者45车次及以上的</w:t>
            </w:r>
            <w:r>
              <w:rPr>
                <w:rFonts w:hint="eastAsia" w:ascii="宋体" w:hAnsi="宋体" w:eastAsia="宋体" w:cs="Batang"/>
                <w:b w:val="0"/>
                <w:bCs w:val="0"/>
                <w:color w:val="auto"/>
                <w:sz w:val="15"/>
                <w:szCs w:val="15"/>
                <w:highlight w:val="none"/>
                <w:lang w:eastAsia="zh-CN"/>
              </w:rPr>
              <w:t>，系数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strike w:val="0"/>
                <w:dstrike w:val="0"/>
                <w:color w:val="auto"/>
                <w:sz w:val="15"/>
                <w:szCs w:val="15"/>
                <w:highlight w:val="none"/>
                <w:lang w:val="en-US" w:eastAsia="zh-CN"/>
              </w:rPr>
              <w:t>2.未按规定进行资源化利用或者处置建筑垃圾数量较大的或</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造成其他严重社会影响的，系数5-6。</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4C3F8CF1">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w:t>
            </w:r>
            <w:r>
              <w:rPr>
                <w:rFonts w:ascii="宋体" w:hAnsi="宋体" w:eastAsia="宋体"/>
                <w:color w:val="auto"/>
                <w:sz w:val="15"/>
                <w:szCs w:val="15"/>
                <w:highlight w:val="none"/>
              </w:rPr>
              <w:t>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02CD39D6">
            <w:pPr>
              <w:spacing w:line="232" w:lineRule="exact"/>
              <w:rPr>
                <w:rFonts w:hint="eastAsia" w:ascii="宋体" w:hAnsi="宋体" w:eastAsia="宋体"/>
                <w:color w:val="auto"/>
                <w:sz w:val="15"/>
                <w:szCs w:val="15"/>
                <w:highlight w:val="none"/>
                <w:lang w:eastAsia="zh-CN"/>
              </w:rPr>
            </w:pPr>
          </w:p>
        </w:tc>
        <w:tc>
          <w:tcPr>
            <w:tcW w:w="1304" w:type="dxa"/>
            <w:gridSpan w:val="2"/>
            <w:noWrap w:val="0"/>
            <w:vAlign w:val="center"/>
          </w:tcPr>
          <w:p w14:paraId="5D438A0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7D47E9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7FAF5E3">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C4600400</w:t>
            </w:r>
          </w:p>
        </w:tc>
      </w:tr>
      <w:tr w14:paraId="0CA9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48" w:hRule="atLeast"/>
        </w:trPr>
        <w:tc>
          <w:tcPr>
            <w:tcW w:w="714" w:type="dxa"/>
            <w:noWrap w:val="0"/>
            <w:vAlign w:val="center"/>
          </w:tcPr>
          <w:p w14:paraId="1645D121">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3</w:t>
            </w:r>
          </w:p>
        </w:tc>
        <w:tc>
          <w:tcPr>
            <w:tcW w:w="1626" w:type="dxa"/>
            <w:gridSpan w:val="2"/>
            <w:noWrap w:val="0"/>
            <w:vAlign w:val="center"/>
          </w:tcPr>
          <w:p w14:paraId="5EF53F1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施工单位未按照规定对现场贮存的建筑垃圾采取扬尘防治措施</w:t>
            </w:r>
          </w:p>
        </w:tc>
        <w:tc>
          <w:tcPr>
            <w:tcW w:w="2981" w:type="dxa"/>
            <w:noWrap w:val="0"/>
            <w:vAlign w:val="center"/>
          </w:tcPr>
          <w:p w14:paraId="015750A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第二十条第二款</w:t>
            </w:r>
          </w:p>
          <w:p w14:paraId="74CFF76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第四十</w:t>
            </w:r>
            <w:r>
              <w:rPr>
                <w:rFonts w:ascii="宋体" w:hAnsi="宋体" w:eastAsia="宋体"/>
                <w:color w:val="auto"/>
                <w:sz w:val="15"/>
                <w:szCs w:val="15"/>
                <w:highlight w:val="none"/>
              </w:rPr>
              <w:t>一条第二款</w:t>
            </w:r>
            <w:r>
              <w:rPr>
                <w:rFonts w:hint="eastAsia" w:ascii="宋体" w:hAnsi="宋体" w:eastAsia="宋体"/>
                <w:color w:val="auto"/>
                <w:sz w:val="15"/>
                <w:szCs w:val="15"/>
                <w:highlight w:val="none"/>
              </w:rPr>
              <w:t xml:space="preserve"> 责令限期改正，处1万元以上10万元以下罚款；拒不改正的，责令停工整治。</w:t>
            </w:r>
          </w:p>
        </w:tc>
        <w:tc>
          <w:tcPr>
            <w:tcW w:w="851" w:type="dxa"/>
            <w:noWrap w:val="0"/>
            <w:vAlign w:val="center"/>
          </w:tcPr>
          <w:p w14:paraId="1619402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7B1235D4">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7ADA0964">
            <w:pPr>
              <w:numPr>
                <w:ilvl w:val="0"/>
                <w:numId w:val="0"/>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22397C1D">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2E17D33E">
            <w:pPr>
              <w:spacing w:line="232" w:lineRule="exact"/>
              <w:rPr>
                <w:rFonts w:ascii="宋体" w:hAnsi="宋体" w:eastAsia="宋体"/>
                <w:color w:val="auto"/>
                <w:sz w:val="15"/>
                <w:szCs w:val="15"/>
                <w:highlight w:val="none"/>
              </w:rPr>
            </w:pPr>
          </w:p>
        </w:tc>
        <w:tc>
          <w:tcPr>
            <w:tcW w:w="1304" w:type="dxa"/>
            <w:gridSpan w:val="2"/>
            <w:noWrap w:val="0"/>
            <w:vAlign w:val="center"/>
          </w:tcPr>
          <w:p w14:paraId="7273EDD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8A6C65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7ACB8F9">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C4640000</w:t>
            </w:r>
          </w:p>
        </w:tc>
      </w:tr>
      <w:tr w14:paraId="1E30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138" w:hRule="atLeast"/>
        </w:trPr>
        <w:tc>
          <w:tcPr>
            <w:tcW w:w="714" w:type="dxa"/>
            <w:noWrap w:val="0"/>
            <w:vAlign w:val="center"/>
          </w:tcPr>
          <w:p w14:paraId="18D4BA7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24</w:t>
            </w:r>
          </w:p>
        </w:tc>
        <w:tc>
          <w:tcPr>
            <w:tcW w:w="1626" w:type="dxa"/>
            <w:gridSpan w:val="2"/>
            <w:noWrap w:val="0"/>
            <w:vAlign w:val="center"/>
          </w:tcPr>
          <w:p w14:paraId="16CAF64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未按照规定建立台账并如实报告建筑垃圾处置情况</w:t>
            </w:r>
          </w:p>
        </w:tc>
        <w:tc>
          <w:tcPr>
            <w:tcW w:w="2981" w:type="dxa"/>
            <w:noWrap w:val="0"/>
            <w:vAlign w:val="center"/>
          </w:tcPr>
          <w:p w14:paraId="1662599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ascii="宋体" w:hAnsi="宋体" w:eastAsia="宋体"/>
                <w:color w:val="auto"/>
                <w:sz w:val="15"/>
                <w:szCs w:val="15"/>
                <w:highlight w:val="none"/>
              </w:rPr>
              <w:t>：第二十七条</w:t>
            </w:r>
          </w:p>
          <w:p w14:paraId="7AD2CFE2">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四十三条</w:t>
            </w:r>
            <w:r>
              <w:rPr>
                <w:rFonts w:hint="eastAsia" w:ascii="宋体" w:hAnsi="宋体" w:eastAsia="宋体"/>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noWrap w:val="0"/>
            <w:vAlign w:val="center"/>
          </w:tcPr>
          <w:p w14:paraId="40C9E18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noWrap w:val="0"/>
            <w:vAlign w:val="center"/>
          </w:tcPr>
          <w:p w14:paraId="2D2E2FE0">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50FBCB54">
            <w:pPr>
              <w:spacing w:line="232" w:lineRule="exact"/>
              <w:rPr>
                <w:rFonts w:ascii="宋体" w:hAnsi="宋体" w:eastAsia="宋体"/>
                <w:color w:val="auto"/>
                <w:sz w:val="15"/>
                <w:szCs w:val="15"/>
                <w:highlight w:val="none"/>
              </w:rPr>
            </w:pPr>
          </w:p>
          <w:p w14:paraId="6F58281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1.已记录</w:t>
            </w:r>
            <w:r>
              <w:rPr>
                <w:rFonts w:ascii="宋体" w:hAnsi="宋体" w:eastAsia="宋体"/>
                <w:color w:val="auto"/>
                <w:sz w:val="15"/>
                <w:szCs w:val="15"/>
                <w:highlight w:val="none"/>
              </w:rPr>
              <w:t>台账而记录内容不完整的，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ascii="宋体" w:hAnsi="宋体" w:eastAsia="宋体"/>
                <w:color w:val="auto"/>
                <w:sz w:val="15"/>
                <w:szCs w:val="15"/>
                <w:highlight w:val="none"/>
              </w:rPr>
              <w:t>-1</w:t>
            </w:r>
            <w:r>
              <w:rPr>
                <w:rFonts w:hint="eastAsia" w:ascii="宋体" w:hAnsi="宋体" w:eastAsia="宋体"/>
                <w:color w:val="auto"/>
                <w:sz w:val="15"/>
                <w:szCs w:val="15"/>
                <w:highlight w:val="none"/>
              </w:rPr>
              <w:t>；2.未建立台账的</w:t>
            </w:r>
            <w:r>
              <w:rPr>
                <w:rFonts w:ascii="宋体" w:hAnsi="宋体" w:eastAsia="宋体"/>
                <w:color w:val="auto"/>
                <w:sz w:val="15"/>
                <w:szCs w:val="15"/>
                <w:highlight w:val="none"/>
              </w:rPr>
              <w:t>或者台账弄虚作假的，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w:t>
            </w:r>
            <w:r>
              <w:rPr>
                <w:rFonts w:ascii="宋体" w:hAnsi="宋体" w:eastAsia="宋体"/>
                <w:color w:val="auto"/>
                <w:sz w:val="15"/>
                <w:szCs w:val="15"/>
                <w:highlight w:val="none"/>
              </w:rPr>
              <w:t>-6</w:t>
            </w:r>
            <w:r>
              <w:rPr>
                <w:rFonts w:hint="eastAsia" w:ascii="宋体" w:hAnsi="宋体" w:eastAsia="宋体"/>
                <w:color w:val="auto"/>
                <w:sz w:val="15"/>
                <w:szCs w:val="15"/>
                <w:highlight w:val="none"/>
              </w:rPr>
              <w:t>；3.同时造成</w:t>
            </w:r>
            <w:r>
              <w:rPr>
                <w:rFonts w:ascii="宋体" w:hAnsi="宋体" w:eastAsia="宋体"/>
                <w:color w:val="auto"/>
                <w:sz w:val="15"/>
                <w:szCs w:val="15"/>
                <w:highlight w:val="none"/>
              </w:rPr>
              <w:t>环境秩序严重影响的</w:t>
            </w:r>
            <w:r>
              <w:rPr>
                <w:rFonts w:hint="eastAsia" w:ascii="宋体" w:hAnsi="宋体" w:eastAsia="宋体"/>
                <w:color w:val="auto"/>
                <w:sz w:val="15"/>
                <w:szCs w:val="15"/>
                <w:highlight w:val="none"/>
              </w:rPr>
              <w:t>为7</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64BCEF40">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403DF281">
            <w:pPr>
              <w:numPr>
                <w:ilvl w:val="0"/>
                <w:numId w:val="7"/>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14:paraId="3EEAA13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京政发〔2017〕32号），拟作出吊销处罚的，作出处罚决定前，邀请城市管理部门划出部门共同会商；对于可能影响公共利益的，提请城市管理部门拟定接管方案。</w:t>
            </w:r>
          </w:p>
        </w:tc>
        <w:tc>
          <w:tcPr>
            <w:tcW w:w="1304" w:type="dxa"/>
            <w:gridSpan w:val="2"/>
            <w:noWrap w:val="0"/>
            <w:vAlign w:val="center"/>
          </w:tcPr>
          <w:p w14:paraId="62769703">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14:paraId="513142B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869" w:type="dxa"/>
            <w:noWrap w:val="0"/>
            <w:vAlign w:val="center"/>
          </w:tcPr>
          <w:p w14:paraId="66D9CA51">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C4642000</w:t>
            </w:r>
          </w:p>
        </w:tc>
      </w:tr>
      <w:tr w14:paraId="0B87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61" w:hRule="atLeast"/>
        </w:trPr>
        <w:tc>
          <w:tcPr>
            <w:tcW w:w="14587" w:type="dxa"/>
            <w:gridSpan w:val="13"/>
            <w:noWrap w:val="0"/>
            <w:vAlign w:val="center"/>
          </w:tcPr>
          <w:p w14:paraId="45FB5884">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34" w:name="_Toc495418307"/>
            <w:bookmarkStart w:id="35" w:name="_Toc110851448"/>
            <w:bookmarkStart w:id="36" w:name="_Toc354917189"/>
            <w:r>
              <w:rPr>
                <w:rFonts w:hint="eastAsia" w:ascii="宋体" w:hAnsi="宋体" w:eastAsia="宋体"/>
                <w:color w:val="auto"/>
                <w:sz w:val="21"/>
                <w:szCs w:val="21"/>
                <w:highlight w:val="none"/>
              </w:rPr>
              <w:t>《北京市养犬管理规定》案由1项</w:t>
            </w:r>
            <w:bookmarkEnd w:id="34"/>
            <w:bookmarkEnd w:id="35"/>
            <w:bookmarkEnd w:id="36"/>
          </w:p>
        </w:tc>
        <w:tc>
          <w:tcPr>
            <w:tcW w:w="1869" w:type="dxa"/>
            <w:noWrap w:val="0"/>
            <w:vAlign w:val="center"/>
          </w:tcPr>
          <w:p w14:paraId="63111297">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hint="eastAsia" w:ascii="宋体" w:hAnsi="宋体" w:eastAsia="宋体"/>
                <w:color w:val="auto"/>
                <w:sz w:val="21"/>
                <w:szCs w:val="21"/>
                <w:highlight w:val="none"/>
              </w:rPr>
            </w:pPr>
          </w:p>
        </w:tc>
      </w:tr>
      <w:tr w14:paraId="7CA9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74" w:hRule="atLeast"/>
        </w:trPr>
        <w:tc>
          <w:tcPr>
            <w:tcW w:w="714" w:type="dxa"/>
            <w:noWrap w:val="0"/>
            <w:vAlign w:val="center"/>
          </w:tcPr>
          <w:p w14:paraId="1896078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68FD2E7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携犬人未清除户外犬粪便</w:t>
            </w:r>
          </w:p>
        </w:tc>
        <w:tc>
          <w:tcPr>
            <w:tcW w:w="2981" w:type="dxa"/>
            <w:noWrap w:val="0"/>
            <w:vAlign w:val="center"/>
          </w:tcPr>
          <w:p w14:paraId="7F7B99F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违反条款：第十七条第（六）项；处罚条款：第三十条：责令改正，并可处50元罚款。</w:t>
            </w:r>
          </w:p>
        </w:tc>
        <w:tc>
          <w:tcPr>
            <w:tcW w:w="851" w:type="dxa"/>
            <w:noWrap w:val="0"/>
            <w:vAlign w:val="center"/>
          </w:tcPr>
          <w:p w14:paraId="5CB4FFF7">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7E8CEA12">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0E5B6009">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14:paraId="313E963A">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09B86EDE">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5FD8692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000DCB4">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4C17CAD">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C4610000</w:t>
            </w:r>
          </w:p>
        </w:tc>
      </w:tr>
      <w:tr w14:paraId="7597C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72" w:hRule="atLeast"/>
        </w:trPr>
        <w:tc>
          <w:tcPr>
            <w:tcW w:w="14587" w:type="dxa"/>
            <w:gridSpan w:val="13"/>
            <w:noWrap w:val="0"/>
            <w:vAlign w:val="center"/>
          </w:tcPr>
          <w:p w14:paraId="03F629BB">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37" w:name="_Toc986557284"/>
            <w:bookmarkStart w:id="38" w:name="_Toc65248453"/>
            <w:bookmarkStart w:id="39" w:name="_Toc110851449"/>
            <w:r>
              <w:rPr>
                <w:rFonts w:hint="eastAsia" w:ascii="宋体" w:hAnsi="宋体" w:eastAsia="宋体"/>
                <w:color w:val="auto"/>
                <w:sz w:val="21"/>
                <w:szCs w:val="21"/>
                <w:highlight w:val="none"/>
              </w:rPr>
              <w:t>《北京市长城保护管理办法》案由1项</w:t>
            </w:r>
            <w:bookmarkEnd w:id="37"/>
            <w:bookmarkEnd w:id="38"/>
            <w:bookmarkEnd w:id="39"/>
          </w:p>
        </w:tc>
        <w:tc>
          <w:tcPr>
            <w:tcW w:w="1869" w:type="dxa"/>
            <w:noWrap w:val="0"/>
            <w:vAlign w:val="center"/>
          </w:tcPr>
          <w:p w14:paraId="76CA894A">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hint="eastAsia" w:ascii="宋体" w:hAnsi="宋体" w:eastAsia="宋体"/>
                <w:color w:val="auto"/>
                <w:sz w:val="21"/>
                <w:szCs w:val="21"/>
                <w:highlight w:val="none"/>
              </w:rPr>
            </w:pPr>
          </w:p>
        </w:tc>
      </w:tr>
      <w:tr w14:paraId="6CC9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01B89FD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52E294DD">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在长城保护范围和建设控制地带内设置</w:t>
            </w:r>
            <w:r>
              <w:rPr>
                <w:rFonts w:hint="eastAsia" w:ascii="宋体" w:hAnsi="宋体" w:eastAsia="宋体" w:cs="宋体"/>
                <w:color w:val="auto"/>
                <w:kern w:val="0"/>
                <w:sz w:val="15"/>
                <w:szCs w:val="15"/>
                <w:highlight w:val="none"/>
              </w:rPr>
              <w:t>不符合要求</w:t>
            </w:r>
            <w:r>
              <w:rPr>
                <w:rFonts w:ascii="宋体" w:hAnsi="宋体" w:eastAsia="宋体" w:cs="宋体"/>
                <w:color w:val="auto"/>
                <w:kern w:val="0"/>
                <w:sz w:val="15"/>
                <w:szCs w:val="15"/>
                <w:highlight w:val="none"/>
              </w:rPr>
              <w:t>的标志标牌</w:t>
            </w:r>
          </w:p>
        </w:tc>
        <w:tc>
          <w:tcPr>
            <w:tcW w:w="2981" w:type="dxa"/>
            <w:noWrap w:val="0"/>
            <w:vAlign w:val="center"/>
          </w:tcPr>
          <w:p w14:paraId="3696EC4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第十二条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第十七条</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 xml:space="preserve">责令拆除或者更换，并可处200元以上1000元以下的罚款。 </w:t>
            </w:r>
          </w:p>
        </w:tc>
        <w:tc>
          <w:tcPr>
            <w:tcW w:w="851" w:type="dxa"/>
            <w:noWrap w:val="0"/>
            <w:vAlign w:val="center"/>
          </w:tcPr>
          <w:p w14:paraId="3C03FF9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78FAF0E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315651A">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166D7DF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482207B1">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57CB0CC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1F817B8">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1DB4CEE">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C4612100</w:t>
            </w:r>
          </w:p>
        </w:tc>
      </w:tr>
      <w:tr w14:paraId="3E01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15" w:hRule="atLeast"/>
        </w:trPr>
        <w:tc>
          <w:tcPr>
            <w:tcW w:w="14587" w:type="dxa"/>
            <w:gridSpan w:val="13"/>
            <w:noWrap w:val="0"/>
            <w:vAlign w:val="center"/>
          </w:tcPr>
          <w:p w14:paraId="527E483D">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40" w:name="_Toc703776516"/>
            <w:bookmarkStart w:id="41" w:name="_Toc110851450"/>
            <w:bookmarkStart w:id="42" w:name="_Toc359698714"/>
            <w:r>
              <w:rPr>
                <w:rFonts w:hint="eastAsia" w:ascii="宋体" w:hAnsi="宋体" w:eastAsia="宋体"/>
                <w:color w:val="auto"/>
                <w:sz w:val="21"/>
                <w:szCs w:val="21"/>
                <w:highlight w:val="none"/>
              </w:rPr>
              <w:t>《北京历史文化名城保护条例》案由1项</w:t>
            </w:r>
            <w:bookmarkEnd w:id="40"/>
            <w:bookmarkEnd w:id="41"/>
            <w:bookmarkEnd w:id="42"/>
          </w:p>
        </w:tc>
        <w:tc>
          <w:tcPr>
            <w:tcW w:w="1869" w:type="dxa"/>
            <w:noWrap w:val="0"/>
            <w:vAlign w:val="center"/>
          </w:tcPr>
          <w:p w14:paraId="4026E8D7">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hint="eastAsia" w:ascii="宋体" w:hAnsi="宋体" w:eastAsia="宋体"/>
                <w:color w:val="auto"/>
                <w:sz w:val="21"/>
                <w:szCs w:val="21"/>
                <w:highlight w:val="none"/>
              </w:rPr>
            </w:pPr>
          </w:p>
        </w:tc>
      </w:tr>
      <w:tr w14:paraId="187B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65" w:hRule="atLeast"/>
        </w:trPr>
        <w:tc>
          <w:tcPr>
            <w:tcW w:w="714" w:type="dxa"/>
            <w:vMerge w:val="restart"/>
            <w:noWrap w:val="0"/>
            <w:vAlign w:val="center"/>
          </w:tcPr>
          <w:p w14:paraId="7417BD3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vMerge w:val="restart"/>
            <w:noWrap w:val="0"/>
            <w:vAlign w:val="center"/>
          </w:tcPr>
          <w:p w14:paraId="7F1C6D0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任何单位或个人擅自设置、移动、拆除或者损毁、涂改、遮挡保护标志</w:t>
            </w:r>
          </w:p>
        </w:tc>
        <w:tc>
          <w:tcPr>
            <w:tcW w:w="2981" w:type="dxa"/>
            <w:vMerge w:val="restart"/>
            <w:noWrap w:val="0"/>
            <w:vAlign w:val="center"/>
          </w:tcPr>
          <w:p w14:paraId="31CDDC0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noWrap w:val="0"/>
            <w:vAlign w:val="center"/>
          </w:tcPr>
          <w:p w14:paraId="5CA13660">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w:t>
            </w:r>
          </w:p>
          <w:p w14:paraId="5117981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14:paraId="6AAE732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D7DBAF0">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5-9；2.存在基准2.1.3规定情形的，系数按照相关规定确定（基准2.1.3.5不适用）。</w:t>
            </w:r>
          </w:p>
        </w:tc>
        <w:tc>
          <w:tcPr>
            <w:tcW w:w="1875" w:type="dxa"/>
            <w:gridSpan w:val="2"/>
            <w:noWrap w:val="0"/>
            <w:vAlign w:val="center"/>
          </w:tcPr>
          <w:p w14:paraId="39CB50E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7B6E4B67">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14:paraId="5E7E9AC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D8A67A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1266A046">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C4609900</w:t>
            </w:r>
          </w:p>
        </w:tc>
      </w:tr>
      <w:tr w14:paraId="6B0B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17" w:hRule="atLeast"/>
        </w:trPr>
        <w:tc>
          <w:tcPr>
            <w:tcW w:w="714" w:type="dxa"/>
            <w:vMerge w:val="continue"/>
            <w:noWrap w:val="0"/>
            <w:vAlign w:val="center"/>
          </w:tcPr>
          <w:p w14:paraId="593734FE">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19F4C713">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14:paraId="59BDFCDE">
            <w:pPr>
              <w:spacing w:line="232" w:lineRule="exact"/>
              <w:rPr>
                <w:rFonts w:ascii="宋体" w:hAnsi="宋体" w:eastAsia="宋体" w:cs="宋体"/>
                <w:color w:val="auto"/>
                <w:kern w:val="0"/>
                <w:sz w:val="15"/>
                <w:szCs w:val="15"/>
                <w:highlight w:val="none"/>
              </w:rPr>
            </w:pPr>
          </w:p>
        </w:tc>
        <w:tc>
          <w:tcPr>
            <w:tcW w:w="851" w:type="dxa"/>
            <w:noWrap w:val="0"/>
            <w:vAlign w:val="center"/>
          </w:tcPr>
          <w:p w14:paraId="7934299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0000</w:t>
            </w:r>
          </w:p>
          <w:p w14:paraId="7B554AB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50557A1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4587B69">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2-4；2.存在基准2.1.3规定情形的，系数按照相关规定确定（基准2.1.3.5不适用）。</w:t>
            </w:r>
          </w:p>
        </w:tc>
        <w:tc>
          <w:tcPr>
            <w:tcW w:w="1875" w:type="dxa"/>
            <w:gridSpan w:val="2"/>
            <w:noWrap w:val="0"/>
            <w:vAlign w:val="center"/>
          </w:tcPr>
          <w:p w14:paraId="75B800C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19CD2750">
            <w:pPr>
              <w:spacing w:line="232"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14:paraId="7FDB085C">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3AE20C0F">
            <w:pPr>
              <w:spacing w:line="232" w:lineRule="exact"/>
              <w:jc w:val="center"/>
              <w:rPr>
                <w:rFonts w:ascii="宋体" w:hAnsi="宋体" w:eastAsia="宋体" w:cs="宋体"/>
                <w:color w:val="auto"/>
                <w:kern w:val="0"/>
                <w:sz w:val="15"/>
                <w:szCs w:val="15"/>
                <w:highlight w:val="none"/>
              </w:rPr>
            </w:pPr>
          </w:p>
        </w:tc>
      </w:tr>
      <w:tr w14:paraId="27D3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64" w:hRule="atLeast"/>
        </w:trPr>
        <w:tc>
          <w:tcPr>
            <w:tcW w:w="14587" w:type="dxa"/>
            <w:gridSpan w:val="13"/>
            <w:noWrap w:val="0"/>
            <w:vAlign w:val="center"/>
          </w:tcPr>
          <w:p w14:paraId="7841B4D2">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宋体" w:hAnsi="宋体" w:eastAsia="宋体"/>
                <w:color w:val="auto"/>
                <w:sz w:val="15"/>
                <w:szCs w:val="15"/>
                <w:highlight w:val="none"/>
              </w:rPr>
            </w:pPr>
            <w:bookmarkStart w:id="43" w:name="_Toc472363297"/>
            <w:bookmarkStart w:id="44" w:name="_Toc110851451"/>
            <w:bookmarkStart w:id="45" w:name="_Toc958675012"/>
            <w:r>
              <w:rPr>
                <w:rFonts w:hint="eastAsia" w:ascii="宋体" w:hAnsi="宋体" w:eastAsia="宋体"/>
                <w:color w:val="auto"/>
                <w:sz w:val="21"/>
                <w:szCs w:val="21"/>
                <w:highlight w:val="none"/>
              </w:rPr>
              <w:t>《北京市架空线管理若干规定》案由</w:t>
            </w:r>
            <w:r>
              <w:rPr>
                <w:rFonts w:ascii="宋体" w:hAnsi="宋体" w:eastAsia="宋体"/>
                <w:color w:val="auto"/>
                <w:sz w:val="21"/>
                <w:szCs w:val="21"/>
                <w:highlight w:val="none"/>
              </w:rPr>
              <w:t>7</w:t>
            </w:r>
            <w:r>
              <w:rPr>
                <w:rFonts w:hint="eastAsia" w:ascii="宋体" w:hAnsi="宋体" w:eastAsia="宋体"/>
                <w:color w:val="auto"/>
                <w:sz w:val="21"/>
                <w:szCs w:val="21"/>
                <w:highlight w:val="none"/>
              </w:rPr>
              <w:t>项</w:t>
            </w:r>
            <w:bookmarkEnd w:id="43"/>
            <w:bookmarkEnd w:id="44"/>
            <w:bookmarkEnd w:id="45"/>
          </w:p>
        </w:tc>
        <w:tc>
          <w:tcPr>
            <w:tcW w:w="1869" w:type="dxa"/>
            <w:noWrap w:val="0"/>
            <w:vAlign w:val="center"/>
          </w:tcPr>
          <w:p w14:paraId="1B37E5F3">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hint="eastAsia" w:ascii="宋体" w:hAnsi="宋体" w:eastAsia="宋体"/>
                <w:color w:val="auto"/>
                <w:sz w:val="21"/>
                <w:szCs w:val="21"/>
                <w:highlight w:val="none"/>
              </w:rPr>
            </w:pPr>
          </w:p>
        </w:tc>
      </w:tr>
      <w:tr w14:paraId="03EA6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11" w:hRule="atLeast"/>
        </w:trPr>
        <w:tc>
          <w:tcPr>
            <w:tcW w:w="714" w:type="dxa"/>
            <w:noWrap w:val="0"/>
            <w:vAlign w:val="center"/>
          </w:tcPr>
          <w:p w14:paraId="10DE937C">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1626" w:type="dxa"/>
            <w:gridSpan w:val="2"/>
            <w:noWrap w:val="0"/>
            <w:vAlign w:val="center"/>
          </w:tcPr>
          <w:p w14:paraId="1E185A77">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设置架空线不符合设置架空线行政许可决定</w:t>
            </w:r>
          </w:p>
        </w:tc>
        <w:tc>
          <w:tcPr>
            <w:tcW w:w="2981" w:type="dxa"/>
            <w:noWrap w:val="0"/>
            <w:vAlign w:val="center"/>
          </w:tcPr>
          <w:p w14:paraId="3E3E8527">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违反条款：第九条第一款；处罚条款：第十九条第一款 责令限期改正，可以处200元以上2000元以下罚款。</w:t>
            </w:r>
          </w:p>
        </w:tc>
        <w:tc>
          <w:tcPr>
            <w:tcW w:w="851" w:type="dxa"/>
            <w:noWrap w:val="0"/>
            <w:vAlign w:val="center"/>
          </w:tcPr>
          <w:p w14:paraId="2E4677C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13388CA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8D6DA0D">
            <w:pPr>
              <w:numPr>
                <w:ilvl w:val="0"/>
                <w:numId w:val="0"/>
              </w:numPr>
              <w:spacing w:line="232" w:lineRule="exact"/>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管线正常使用造成影响的，系数4；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影响交通通行，或者造成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w:t>
            </w:r>
            <w:r>
              <w:rPr>
                <w:rFonts w:hint="eastAsia" w:ascii="宋体" w:hAnsi="宋体" w:eastAsia="宋体" w:cs="宋体"/>
                <w:color w:val="auto"/>
                <w:kern w:val="0"/>
                <w:sz w:val="15"/>
                <w:szCs w:val="15"/>
                <w:highlight w:val="none"/>
                <w:lang w:eastAsia="zh-CN"/>
              </w:rPr>
              <w:t>；</w:t>
            </w:r>
          </w:p>
          <w:p w14:paraId="628D4696">
            <w:pPr>
              <w:numPr>
                <w:ilvl w:val="0"/>
                <w:numId w:val="0"/>
              </w:num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3F1AA00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5BCFB16B">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2563C06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86D68D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E974255">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C4612300</w:t>
            </w:r>
          </w:p>
        </w:tc>
      </w:tr>
      <w:tr w14:paraId="672F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76" w:hRule="atLeast"/>
        </w:trPr>
        <w:tc>
          <w:tcPr>
            <w:tcW w:w="714" w:type="dxa"/>
            <w:noWrap w:val="0"/>
            <w:vAlign w:val="center"/>
          </w:tcPr>
          <w:p w14:paraId="7975E5DB">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p>
        </w:tc>
        <w:tc>
          <w:tcPr>
            <w:tcW w:w="1626" w:type="dxa"/>
            <w:gridSpan w:val="2"/>
            <w:noWrap w:val="0"/>
            <w:vAlign w:val="center"/>
          </w:tcPr>
          <w:p w14:paraId="26E23BE0">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行政许可有效期届满未清除架空线</w:t>
            </w:r>
          </w:p>
        </w:tc>
        <w:tc>
          <w:tcPr>
            <w:tcW w:w="2981" w:type="dxa"/>
            <w:noWrap w:val="0"/>
            <w:vAlign w:val="center"/>
          </w:tcPr>
          <w:p w14:paraId="1730BEE2">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noWrap w:val="0"/>
            <w:vAlign w:val="center"/>
          </w:tcPr>
          <w:p w14:paraId="22E31C76">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14:paraId="68CD0DA8">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D605558">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330DBB0E">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602D9AD8">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14:paraId="7CCA7F23">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00C6DAF">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17FA0013">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C4612400</w:t>
            </w:r>
          </w:p>
        </w:tc>
      </w:tr>
      <w:tr w14:paraId="53327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3" w:hRule="atLeast"/>
        </w:trPr>
        <w:tc>
          <w:tcPr>
            <w:tcW w:w="714" w:type="dxa"/>
            <w:noWrap w:val="0"/>
            <w:vAlign w:val="center"/>
          </w:tcPr>
          <w:p w14:paraId="1CEA7141">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3</w:t>
            </w:r>
          </w:p>
        </w:tc>
        <w:tc>
          <w:tcPr>
            <w:tcW w:w="1626" w:type="dxa"/>
            <w:gridSpan w:val="2"/>
            <w:noWrap w:val="0"/>
            <w:vAlign w:val="center"/>
          </w:tcPr>
          <w:p w14:paraId="40A7D9BF">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未按要求在架空线的显著位置设置标识信息</w:t>
            </w:r>
          </w:p>
        </w:tc>
        <w:tc>
          <w:tcPr>
            <w:tcW w:w="2981" w:type="dxa"/>
            <w:noWrap w:val="0"/>
            <w:vAlign w:val="center"/>
          </w:tcPr>
          <w:p w14:paraId="713D1BD0">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违反条款：第十条第(一)项；处罚条款：第二十条第一款；责令限期改正，可以处200元以上2000元以下罚款。 </w:t>
            </w:r>
          </w:p>
        </w:tc>
        <w:tc>
          <w:tcPr>
            <w:tcW w:w="851" w:type="dxa"/>
            <w:noWrap w:val="0"/>
            <w:vAlign w:val="center"/>
          </w:tcPr>
          <w:p w14:paraId="7B60FA54">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0529F4BA">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6CD7261">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管线正常使用造成影响，或者造成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5F8AC841">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2B262D91">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14:paraId="76A89A92">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1561C29">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67763E5">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C4612500</w:t>
            </w:r>
          </w:p>
        </w:tc>
      </w:tr>
      <w:tr w14:paraId="0A93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60" w:hRule="atLeast"/>
        </w:trPr>
        <w:tc>
          <w:tcPr>
            <w:tcW w:w="714" w:type="dxa"/>
            <w:noWrap w:val="0"/>
            <w:vAlign w:val="center"/>
          </w:tcPr>
          <w:p w14:paraId="6E661822">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4</w:t>
            </w:r>
          </w:p>
        </w:tc>
        <w:tc>
          <w:tcPr>
            <w:tcW w:w="1626" w:type="dxa"/>
            <w:gridSpan w:val="2"/>
            <w:noWrap w:val="0"/>
            <w:vAlign w:val="center"/>
          </w:tcPr>
          <w:p w14:paraId="39AE252F">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发现架空线存在影响安全或者市容景观情况未</w:t>
            </w:r>
            <w:r>
              <w:rPr>
                <w:rFonts w:hint="eastAsia" w:ascii="宋体" w:hAnsi="宋体" w:eastAsia="宋体"/>
                <w:color w:val="auto"/>
                <w:sz w:val="15"/>
                <w:szCs w:val="15"/>
                <w:highlight w:val="none"/>
                <w:lang w:eastAsia="zh-CN"/>
              </w:rPr>
              <w:t>立即</w:t>
            </w:r>
            <w:r>
              <w:rPr>
                <w:rFonts w:hint="eastAsia" w:ascii="宋体" w:hAnsi="宋体" w:eastAsia="宋体"/>
                <w:color w:val="auto"/>
                <w:sz w:val="15"/>
                <w:szCs w:val="15"/>
                <w:highlight w:val="none"/>
              </w:rPr>
              <w:t xml:space="preserve">处理 </w:t>
            </w:r>
          </w:p>
        </w:tc>
        <w:tc>
          <w:tcPr>
            <w:tcW w:w="2981" w:type="dxa"/>
            <w:noWrap w:val="0"/>
            <w:vAlign w:val="center"/>
          </w:tcPr>
          <w:p w14:paraId="14F089C5">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违反条款：第十条第(四)项；处罚条款：第二十条第一款；责令限期改正，可以处200元以上2000元以下罚款。 </w:t>
            </w:r>
          </w:p>
        </w:tc>
        <w:tc>
          <w:tcPr>
            <w:tcW w:w="851" w:type="dxa"/>
            <w:noWrap w:val="0"/>
            <w:vAlign w:val="center"/>
          </w:tcPr>
          <w:p w14:paraId="70011D23">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1D3C3EC8">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9950CA6">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经责令改正仍未及时处理的，自责改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1AA9A801">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067D79D3">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14:paraId="191B8207">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C813D14">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C0D8CE1">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C4612600</w:t>
            </w:r>
          </w:p>
        </w:tc>
      </w:tr>
      <w:tr w14:paraId="4741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87" w:hRule="atLeast"/>
        </w:trPr>
        <w:tc>
          <w:tcPr>
            <w:tcW w:w="714" w:type="dxa"/>
            <w:noWrap w:val="0"/>
            <w:vAlign w:val="center"/>
          </w:tcPr>
          <w:p w14:paraId="43B409A0">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w:t>
            </w:r>
          </w:p>
        </w:tc>
        <w:tc>
          <w:tcPr>
            <w:tcW w:w="1626" w:type="dxa"/>
            <w:gridSpan w:val="2"/>
            <w:noWrap w:val="0"/>
            <w:vAlign w:val="center"/>
          </w:tcPr>
          <w:p w14:paraId="37EEAAD1">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发现擅自搭挂的线缆，未按要求清除或者报告</w:t>
            </w:r>
          </w:p>
        </w:tc>
        <w:tc>
          <w:tcPr>
            <w:tcW w:w="2981" w:type="dxa"/>
            <w:noWrap w:val="0"/>
            <w:vAlign w:val="center"/>
          </w:tcPr>
          <w:p w14:paraId="762F556E">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违反条款：第十条第(六)项；处罚条款：第二十条第一款；责令限期改正，可以处200元以上2000元以下罚款。</w:t>
            </w:r>
          </w:p>
        </w:tc>
        <w:tc>
          <w:tcPr>
            <w:tcW w:w="851" w:type="dxa"/>
            <w:noWrap w:val="0"/>
            <w:vAlign w:val="center"/>
          </w:tcPr>
          <w:p w14:paraId="4B621AF0">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74EEDD38">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9C4FAE6">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经责令改正仍未及时清除或者报告的，自责改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71C314A2">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026CB634">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14:paraId="331BDB3C">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FDA2273">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A148BA5">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C4612700</w:t>
            </w:r>
          </w:p>
        </w:tc>
      </w:tr>
      <w:tr w14:paraId="78DC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32" w:hRule="atLeast"/>
        </w:trPr>
        <w:tc>
          <w:tcPr>
            <w:tcW w:w="714" w:type="dxa"/>
            <w:noWrap w:val="0"/>
            <w:vAlign w:val="center"/>
          </w:tcPr>
          <w:p w14:paraId="1E894668">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6</w:t>
            </w:r>
          </w:p>
        </w:tc>
        <w:tc>
          <w:tcPr>
            <w:tcW w:w="1626" w:type="dxa"/>
            <w:gridSpan w:val="2"/>
            <w:noWrap w:val="0"/>
            <w:vAlign w:val="center"/>
          </w:tcPr>
          <w:p w14:paraId="6041D0DF">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未及时清除废弃架空线</w:t>
            </w:r>
          </w:p>
        </w:tc>
        <w:tc>
          <w:tcPr>
            <w:tcW w:w="2981" w:type="dxa"/>
            <w:noWrap w:val="0"/>
            <w:vAlign w:val="center"/>
          </w:tcPr>
          <w:p w14:paraId="2207AFE6">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noWrap w:val="0"/>
            <w:vAlign w:val="center"/>
          </w:tcPr>
          <w:p w14:paraId="19FE12A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14:paraId="7549B29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5FBA50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经责令改正仍未及时处理的，自责改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2A6C27F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6FD5DC8E">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036D8D3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7781AB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9A47A1B">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C4612800</w:t>
            </w:r>
          </w:p>
        </w:tc>
      </w:tr>
      <w:tr w14:paraId="2A2B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12" w:hRule="atLeast"/>
        </w:trPr>
        <w:tc>
          <w:tcPr>
            <w:tcW w:w="714" w:type="dxa"/>
            <w:noWrap w:val="0"/>
            <w:vAlign w:val="center"/>
          </w:tcPr>
          <w:p w14:paraId="1CCB59FA">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7</w:t>
            </w:r>
          </w:p>
        </w:tc>
        <w:tc>
          <w:tcPr>
            <w:tcW w:w="1626" w:type="dxa"/>
            <w:gridSpan w:val="2"/>
            <w:noWrap w:val="0"/>
            <w:vAlign w:val="center"/>
          </w:tcPr>
          <w:p w14:paraId="50274B28">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未按要求实施架空线埋设入地</w:t>
            </w:r>
          </w:p>
        </w:tc>
        <w:tc>
          <w:tcPr>
            <w:tcW w:w="2981" w:type="dxa"/>
            <w:noWrap w:val="0"/>
            <w:vAlign w:val="center"/>
          </w:tcPr>
          <w:p w14:paraId="0BEB6B2C">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noWrap w:val="0"/>
            <w:vAlign w:val="center"/>
          </w:tcPr>
          <w:p w14:paraId="304ED54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14:paraId="067DBA7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2522FB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经责令改正，仍未制定入地方案，并及时采取入地措施的，自责改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5-9天的，系数1；10-14天的，系数2；15-19天的，系数3；20-24天的，系数4；25-29天的，系数5；以此类推，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45天及以上的，系数9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705A1EC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5A2A2505">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1B05667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D3CE6C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E92EFE9">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C4612900</w:t>
            </w:r>
          </w:p>
        </w:tc>
      </w:tr>
      <w:tr w14:paraId="16B7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66" w:hRule="atLeast"/>
        </w:trPr>
        <w:tc>
          <w:tcPr>
            <w:tcW w:w="14587" w:type="dxa"/>
            <w:gridSpan w:val="13"/>
            <w:noWrap w:val="0"/>
            <w:vAlign w:val="center"/>
          </w:tcPr>
          <w:p w14:paraId="1CBE3A76">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olor w:val="auto"/>
                <w:sz w:val="15"/>
                <w:szCs w:val="15"/>
                <w:highlight w:val="none"/>
              </w:rPr>
            </w:pPr>
            <w:bookmarkStart w:id="46" w:name="_Toc110851452"/>
            <w:bookmarkStart w:id="47" w:name="_Toc1563678502"/>
            <w:bookmarkStart w:id="48" w:name="_Toc1588431003"/>
            <w:r>
              <w:rPr>
                <w:rFonts w:hint="eastAsia" w:ascii="宋体" w:hAnsi="宋体" w:eastAsia="宋体"/>
                <w:color w:val="auto"/>
                <w:sz w:val="21"/>
                <w:szCs w:val="21"/>
                <w:highlight w:val="none"/>
              </w:rPr>
              <w:t>《城市照明管理规定》案由2项</w:t>
            </w:r>
            <w:bookmarkEnd w:id="46"/>
            <w:bookmarkEnd w:id="47"/>
            <w:bookmarkEnd w:id="48"/>
          </w:p>
        </w:tc>
        <w:tc>
          <w:tcPr>
            <w:tcW w:w="1869" w:type="dxa"/>
            <w:noWrap w:val="0"/>
            <w:vAlign w:val="center"/>
          </w:tcPr>
          <w:p w14:paraId="4BFAFAD9">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olor w:val="auto"/>
                <w:sz w:val="21"/>
                <w:szCs w:val="21"/>
                <w:highlight w:val="none"/>
              </w:rPr>
            </w:pPr>
          </w:p>
        </w:tc>
      </w:tr>
      <w:tr w14:paraId="31BD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14:paraId="6FA33AE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0089182E">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在城市景观照明中有过度照明等超能耗标准行为</w:t>
            </w:r>
          </w:p>
        </w:tc>
        <w:tc>
          <w:tcPr>
            <w:tcW w:w="2981" w:type="dxa"/>
            <w:noWrap w:val="0"/>
            <w:vAlign w:val="center"/>
          </w:tcPr>
          <w:p w14:paraId="4F44AC3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违反条款：第十九条第二款；处罚条款：　第三十一条</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责令限期改正；逾期未改正的，处以1000元以上3万元以下的罚款。</w:t>
            </w:r>
          </w:p>
        </w:tc>
        <w:tc>
          <w:tcPr>
            <w:tcW w:w="851" w:type="dxa"/>
            <w:noWrap w:val="0"/>
            <w:vAlign w:val="center"/>
          </w:tcPr>
          <w:p w14:paraId="4448C020">
            <w:pPr>
              <w:spacing w:line="232" w:lineRule="exact"/>
              <w:jc w:val="center"/>
              <w:rPr>
                <w:rFonts w:hint="default" w:ascii="宋体" w:hAnsi="宋体" w:eastAsia="宋体"/>
                <w:color w:val="auto"/>
                <w:sz w:val="15"/>
                <w:szCs w:val="15"/>
                <w:highlight w:val="none"/>
                <w:lang w:val="en-US" w:eastAsia="zh-CN"/>
              </w:rPr>
            </w:pPr>
            <w:r>
              <w:rPr>
                <w:rFonts w:hint="default" w:ascii="宋体" w:hAnsi="宋体" w:eastAsia="宋体"/>
                <w:color w:val="auto"/>
                <w:sz w:val="15"/>
                <w:szCs w:val="15"/>
                <w:highlight w:val="none"/>
                <w:lang w:val="en-US" w:eastAsia="zh-CN"/>
              </w:rPr>
              <w:t>1000</w:t>
            </w:r>
          </w:p>
        </w:tc>
        <w:tc>
          <w:tcPr>
            <w:tcW w:w="840" w:type="dxa"/>
            <w:noWrap w:val="0"/>
            <w:vAlign w:val="center"/>
          </w:tcPr>
          <w:p w14:paraId="7D8FC50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72B4381B">
            <w:pPr>
              <w:spacing w:line="232" w:lineRule="exact"/>
              <w:jc w:val="lef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1.持续时间较长的，系数1-9；2.造成较大社会影响的，系数10-19；3.造成严重社会影响的，系数20-29。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4C34EE0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2209D712">
            <w:pPr>
              <w:widowControl w:val="0"/>
              <w:numPr>
                <w:ilvl w:val="0"/>
                <w:numId w:val="0"/>
              </w:numPr>
              <w:jc w:val="both"/>
              <w:rPr>
                <w:rFonts w:ascii="宋体" w:hAnsi="宋体" w:eastAsia="宋体"/>
                <w:color w:val="auto"/>
                <w:sz w:val="15"/>
                <w:szCs w:val="15"/>
                <w:highlight w:val="none"/>
              </w:rPr>
            </w:pPr>
          </w:p>
        </w:tc>
        <w:tc>
          <w:tcPr>
            <w:tcW w:w="1304" w:type="dxa"/>
            <w:gridSpan w:val="2"/>
            <w:noWrap w:val="0"/>
            <w:vAlign w:val="center"/>
          </w:tcPr>
          <w:p w14:paraId="255B8B73">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c>
          <w:tcPr>
            <w:tcW w:w="1869" w:type="dxa"/>
            <w:noWrap w:val="0"/>
            <w:vAlign w:val="center"/>
          </w:tcPr>
          <w:p w14:paraId="0167CCC2">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C4615200</w:t>
            </w:r>
          </w:p>
        </w:tc>
      </w:tr>
      <w:tr w14:paraId="1EF5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44" w:hRule="atLeast"/>
        </w:trPr>
        <w:tc>
          <w:tcPr>
            <w:tcW w:w="714" w:type="dxa"/>
            <w:vMerge w:val="restart"/>
            <w:noWrap w:val="0"/>
            <w:vAlign w:val="center"/>
          </w:tcPr>
          <w:p w14:paraId="35E573B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vMerge w:val="restart"/>
            <w:noWrap w:val="0"/>
            <w:vAlign w:val="center"/>
          </w:tcPr>
          <w:p w14:paraId="12E77E7D">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实施影响城市照明设施正常运行的行为</w:t>
            </w:r>
          </w:p>
        </w:tc>
        <w:tc>
          <w:tcPr>
            <w:tcW w:w="2981" w:type="dxa"/>
            <w:vMerge w:val="restart"/>
            <w:noWrap w:val="0"/>
            <w:vAlign w:val="center"/>
          </w:tcPr>
          <w:p w14:paraId="5E43523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违反条款：第二十八条第（一）项、第（二）项、第（三）项、第（四）项、第（五）项、第（六）项；处罚条款：第三十二条</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责令限期改正，对个人处以200元以上1000元以下的罚款；对单位处以1000元以上3万元以下的罚款；造成损失的，依法赔偿损失。</w:t>
            </w:r>
          </w:p>
        </w:tc>
        <w:tc>
          <w:tcPr>
            <w:tcW w:w="851" w:type="dxa"/>
            <w:noWrap w:val="0"/>
            <w:vAlign w:val="center"/>
          </w:tcPr>
          <w:p w14:paraId="3EEB242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w:t>
            </w:r>
          </w:p>
          <w:p w14:paraId="705B752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14:paraId="7ED0ACF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3C3C7122">
            <w:pPr>
              <w:spacing w:line="232" w:lineRule="exact"/>
              <w:jc w:val="left"/>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1.</w:t>
            </w:r>
            <w:r>
              <w:rPr>
                <w:rFonts w:hint="eastAsia" w:ascii="宋体" w:hAnsi="宋体" w:eastAsia="宋体" w:cs="宋体"/>
                <w:color w:val="auto"/>
                <w:kern w:val="0"/>
                <w:sz w:val="15"/>
                <w:szCs w:val="15"/>
                <w:highlight w:val="none"/>
              </w:rPr>
              <w:t>刻划、涂污照明设施多处，或者严重污损照明设施的，系数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default" w:ascii="宋体" w:hAnsi="宋体" w:eastAsia="宋体" w:cs="宋体"/>
                <w:color w:val="auto"/>
                <w:kern w:val="0"/>
                <w:sz w:val="15"/>
                <w:szCs w:val="15"/>
                <w:highlight w:val="none"/>
                <w:lang w:val="en-US"/>
              </w:rPr>
              <w:t>2.</w:t>
            </w:r>
            <w:r>
              <w:rPr>
                <w:rFonts w:hint="eastAsia" w:ascii="宋体" w:hAnsi="宋体" w:eastAsia="宋体" w:cs="宋体"/>
                <w:color w:val="auto"/>
                <w:kern w:val="0"/>
                <w:sz w:val="15"/>
                <w:szCs w:val="15"/>
                <w:highlight w:val="none"/>
              </w:rPr>
              <w:t>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严重危害或者影响设施正常运行的行为，</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4637BF02">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55729998">
            <w:pPr>
              <w:spacing w:line="232" w:lineRule="exact"/>
              <w:rPr>
                <w:rFonts w:hint="eastAsia" w:ascii="宋体" w:hAnsi="宋体" w:eastAsia="宋体"/>
                <w:strike/>
                <w:dstrike w:val="0"/>
                <w:color w:val="auto"/>
                <w:sz w:val="15"/>
                <w:szCs w:val="15"/>
                <w:highlight w:val="none"/>
              </w:rPr>
            </w:pPr>
          </w:p>
        </w:tc>
        <w:tc>
          <w:tcPr>
            <w:tcW w:w="1304" w:type="dxa"/>
            <w:gridSpan w:val="2"/>
            <w:vMerge w:val="restart"/>
            <w:noWrap w:val="0"/>
            <w:vAlign w:val="center"/>
          </w:tcPr>
          <w:p w14:paraId="3B82877C">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eastAsia="zh-CN"/>
              </w:rPr>
              <w:t>区级</w:t>
            </w:r>
          </w:p>
        </w:tc>
        <w:tc>
          <w:tcPr>
            <w:tcW w:w="1869" w:type="dxa"/>
            <w:vMerge w:val="restart"/>
            <w:noWrap w:val="0"/>
            <w:vAlign w:val="center"/>
          </w:tcPr>
          <w:p w14:paraId="77DEE230">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C4615300</w:t>
            </w:r>
          </w:p>
        </w:tc>
      </w:tr>
      <w:tr w14:paraId="17D76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vMerge w:val="continue"/>
            <w:noWrap w:val="0"/>
            <w:vAlign w:val="center"/>
          </w:tcPr>
          <w:p w14:paraId="28A0A653">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75096172">
            <w:pPr>
              <w:spacing w:line="232" w:lineRule="exact"/>
              <w:rPr>
                <w:rFonts w:ascii="宋体" w:hAnsi="宋体" w:eastAsia="宋体"/>
                <w:color w:val="auto"/>
                <w:sz w:val="15"/>
                <w:szCs w:val="15"/>
                <w:highlight w:val="none"/>
              </w:rPr>
            </w:pPr>
          </w:p>
        </w:tc>
        <w:tc>
          <w:tcPr>
            <w:tcW w:w="2981" w:type="dxa"/>
            <w:vMerge w:val="continue"/>
            <w:noWrap w:val="0"/>
            <w:vAlign w:val="center"/>
          </w:tcPr>
          <w:p w14:paraId="536CC217">
            <w:pPr>
              <w:spacing w:line="232" w:lineRule="exact"/>
              <w:rPr>
                <w:rFonts w:ascii="宋体" w:hAnsi="宋体" w:eastAsia="宋体"/>
                <w:color w:val="auto"/>
                <w:sz w:val="15"/>
                <w:szCs w:val="15"/>
                <w:highlight w:val="none"/>
              </w:rPr>
            </w:pPr>
          </w:p>
        </w:tc>
        <w:tc>
          <w:tcPr>
            <w:tcW w:w="851" w:type="dxa"/>
            <w:noWrap w:val="0"/>
            <w:vAlign w:val="center"/>
          </w:tcPr>
          <w:p w14:paraId="328A3E9E">
            <w:pPr>
              <w:spacing w:line="232" w:lineRule="exact"/>
              <w:jc w:val="center"/>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1000</w:t>
            </w:r>
          </w:p>
          <w:p w14:paraId="5CA03B5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14:paraId="09C34D5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32CEC3F4">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1.刻划、涂污照明设施多处，系数1-9；2.严重污损照明设施的，系数10-19；3.存在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严重危害或者影响设施正常运行的行为，</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20-29。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3712B957">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3EDD5022">
            <w:pPr>
              <w:spacing w:line="232"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14:paraId="7640FE7F">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5C9490E5">
            <w:pPr>
              <w:spacing w:line="232" w:lineRule="exact"/>
              <w:jc w:val="center"/>
              <w:rPr>
                <w:rFonts w:hint="eastAsia" w:ascii="宋体" w:hAnsi="宋体" w:eastAsia="宋体" w:cs="宋体"/>
                <w:color w:val="auto"/>
                <w:kern w:val="0"/>
                <w:sz w:val="15"/>
                <w:szCs w:val="15"/>
                <w:highlight w:val="none"/>
                <w:lang w:eastAsia="zh"/>
              </w:rPr>
            </w:pPr>
          </w:p>
        </w:tc>
      </w:tr>
      <w:tr w14:paraId="0228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79" w:hRule="atLeast"/>
        </w:trPr>
        <w:tc>
          <w:tcPr>
            <w:tcW w:w="16456" w:type="dxa"/>
            <w:gridSpan w:val="14"/>
            <w:noWrap w:val="0"/>
            <w:vAlign w:val="center"/>
          </w:tcPr>
          <w:p w14:paraId="4E0A001C">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宋体" w:hAnsi="宋体" w:eastAsia="宋体"/>
                <w:color w:val="auto"/>
                <w:sz w:val="21"/>
                <w:szCs w:val="21"/>
                <w:highlight w:val="none"/>
              </w:rPr>
            </w:pPr>
            <w:bookmarkStart w:id="49" w:name="_Toc110851453"/>
            <w:bookmarkStart w:id="50" w:name="_Toc740825924"/>
            <w:bookmarkStart w:id="51" w:name="_Toc275604405"/>
            <w:r>
              <w:rPr>
                <w:rFonts w:hint="eastAsia" w:ascii="宋体" w:hAnsi="宋体" w:eastAsia="宋体"/>
                <w:color w:val="auto"/>
                <w:sz w:val="21"/>
                <w:szCs w:val="21"/>
                <w:highlight w:val="none"/>
              </w:rPr>
              <w:t>《北京市</w:t>
            </w:r>
            <w:r>
              <w:rPr>
                <w:rFonts w:ascii="宋体" w:hAnsi="宋体" w:eastAsia="宋体"/>
                <w:color w:val="auto"/>
                <w:sz w:val="21"/>
                <w:szCs w:val="21"/>
                <w:highlight w:val="none"/>
              </w:rPr>
              <w:t>物业管理条例</w:t>
            </w:r>
            <w:r>
              <w:rPr>
                <w:rFonts w:hint="eastAsia" w:ascii="宋体" w:hAnsi="宋体" w:eastAsia="宋体"/>
                <w:color w:val="auto"/>
                <w:sz w:val="21"/>
                <w:szCs w:val="21"/>
                <w:highlight w:val="none"/>
              </w:rPr>
              <w:t>》案由1项</w:t>
            </w:r>
            <w:bookmarkEnd w:id="49"/>
            <w:bookmarkEnd w:id="50"/>
            <w:bookmarkEnd w:id="51"/>
          </w:p>
        </w:tc>
      </w:tr>
      <w:tr w14:paraId="2132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63" w:hRule="atLeast"/>
        </w:trPr>
        <w:tc>
          <w:tcPr>
            <w:tcW w:w="714" w:type="dxa"/>
            <w:vMerge w:val="restart"/>
            <w:noWrap w:val="0"/>
            <w:vAlign w:val="center"/>
          </w:tcPr>
          <w:p w14:paraId="44A40ACE">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vMerge w:val="restart"/>
            <w:noWrap w:val="0"/>
            <w:vAlign w:val="center"/>
          </w:tcPr>
          <w:p w14:paraId="56862CF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占用、堵塞、封闭其他共用部位（或者损坏其他共用设施设备）</w:t>
            </w:r>
          </w:p>
        </w:tc>
        <w:tc>
          <w:tcPr>
            <w:tcW w:w="2981" w:type="dxa"/>
            <w:vMerge w:val="restart"/>
            <w:noWrap w:val="0"/>
            <w:vAlign w:val="center"/>
          </w:tcPr>
          <w:p w14:paraId="0EE9D236">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违反条款：第七十八条第二款第(十)项。</w:t>
            </w:r>
          </w:p>
          <w:p w14:paraId="1C9AB738">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处罚条款：第九十八条第(十)项，责令改正，给予警告，对单位处二千元以上二万元以下的罚款，对个人处二百元以上五百元以下的罚款。</w:t>
            </w:r>
          </w:p>
        </w:tc>
        <w:tc>
          <w:tcPr>
            <w:tcW w:w="851" w:type="dxa"/>
            <w:noWrap w:val="0"/>
            <w:vAlign w:val="center"/>
          </w:tcPr>
          <w:p w14:paraId="7C06D344">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2000</w:t>
            </w:r>
          </w:p>
          <w:p w14:paraId="18E1AC82">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14:paraId="1835A361">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5D12D76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占用、堵塞、封闭共用部位空间较大、损坏共用设施设备较为严重的，系数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14:paraId="181EEFB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0A11D887">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做</w:t>
            </w:r>
            <w:r>
              <w:rPr>
                <w:rFonts w:hint="eastAsia" w:ascii="宋体" w:hAnsi="宋体" w:eastAsia="宋体" w:cs="宋体"/>
                <w:color w:val="auto"/>
                <w:kern w:val="0"/>
                <w:sz w:val="15"/>
                <w:szCs w:val="15"/>
                <w:highlight w:val="none"/>
              </w:rPr>
              <w:t>好与本市机动车停车管理法规、规章，以及与消防部门职责分工的衔接。</w:t>
            </w:r>
          </w:p>
        </w:tc>
        <w:tc>
          <w:tcPr>
            <w:tcW w:w="1304" w:type="dxa"/>
            <w:gridSpan w:val="2"/>
            <w:vMerge w:val="restart"/>
            <w:noWrap w:val="0"/>
            <w:vAlign w:val="center"/>
          </w:tcPr>
          <w:p w14:paraId="6902021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85B475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3370D95A">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C4648200</w:t>
            </w:r>
          </w:p>
        </w:tc>
      </w:tr>
      <w:tr w14:paraId="0C2A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08" w:hRule="atLeast"/>
        </w:trPr>
        <w:tc>
          <w:tcPr>
            <w:tcW w:w="714" w:type="dxa"/>
            <w:vMerge w:val="continue"/>
            <w:noWrap w:val="0"/>
            <w:vAlign w:val="center"/>
          </w:tcPr>
          <w:p w14:paraId="5EE4A864">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s="宋体"/>
                <w:color w:val="auto"/>
                <w:kern w:val="0"/>
                <w:sz w:val="15"/>
                <w:szCs w:val="15"/>
                <w:highlight w:val="none"/>
              </w:rPr>
            </w:pPr>
          </w:p>
        </w:tc>
        <w:tc>
          <w:tcPr>
            <w:tcW w:w="1626" w:type="dxa"/>
            <w:gridSpan w:val="2"/>
            <w:vMerge w:val="continue"/>
            <w:noWrap w:val="0"/>
            <w:vAlign w:val="center"/>
          </w:tcPr>
          <w:p w14:paraId="1EF94FA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2981" w:type="dxa"/>
            <w:vMerge w:val="continue"/>
            <w:noWrap w:val="0"/>
            <w:vAlign w:val="center"/>
          </w:tcPr>
          <w:p w14:paraId="5543229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851" w:type="dxa"/>
            <w:noWrap w:val="0"/>
            <w:vAlign w:val="center"/>
          </w:tcPr>
          <w:p w14:paraId="4053D00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w:t>
            </w:r>
          </w:p>
          <w:p w14:paraId="72FB4082">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14:paraId="2DED2EB1">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26E0105A">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占用、堵塞、封闭共用部位空间较大、损坏共用设施设备较为严重的，系数</w:t>
            </w: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14:paraId="5B6D108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4C3281A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1304" w:type="dxa"/>
            <w:gridSpan w:val="2"/>
            <w:vMerge w:val="continue"/>
            <w:noWrap w:val="0"/>
            <w:vAlign w:val="center"/>
          </w:tcPr>
          <w:p w14:paraId="44347B81">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14:paraId="52CCA54A">
            <w:pPr>
              <w:spacing w:line="232" w:lineRule="exact"/>
              <w:jc w:val="center"/>
              <w:rPr>
                <w:rFonts w:ascii="宋体" w:hAnsi="宋体" w:eastAsia="宋体"/>
                <w:color w:val="auto"/>
                <w:sz w:val="15"/>
                <w:szCs w:val="15"/>
                <w:highlight w:val="none"/>
              </w:rPr>
            </w:pPr>
          </w:p>
        </w:tc>
      </w:tr>
      <w:tr w14:paraId="18BA1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gridAfter w:val="2"/>
          <w:wAfter w:w="505" w:type="dxa"/>
          <w:trHeight w:val="617" w:hRule="atLeast"/>
        </w:trPr>
        <w:tc>
          <w:tcPr>
            <w:tcW w:w="16456" w:type="dxa"/>
            <w:gridSpan w:val="14"/>
            <w:tcBorders>
              <w:left w:val="single" w:color="000000" w:sz="4" w:space="0"/>
              <w:bottom w:val="single" w:color="000000" w:sz="4" w:space="0"/>
              <w:right w:val="single" w:color="000000" w:sz="4" w:space="0"/>
            </w:tcBorders>
            <w:shd w:val="clear" w:color="auto" w:fill="auto"/>
            <w:noWrap w:val="0"/>
            <w:vAlign w:val="center"/>
          </w:tcPr>
          <w:p w14:paraId="5F7198D0">
            <w:pPr>
              <w:pStyle w:val="2"/>
              <w:bidi w:val="0"/>
              <w:rPr>
                <w:rFonts w:hint="eastAsia" w:ascii="黑体" w:hAnsi="黑体" w:eastAsia="黑体" w:cs="黑体"/>
                <w:b w:val="0"/>
                <w:bCs w:val="0"/>
                <w:color w:val="auto"/>
                <w:sz w:val="28"/>
                <w:szCs w:val="28"/>
                <w:highlight w:val="none"/>
              </w:rPr>
            </w:pPr>
            <w:bookmarkStart w:id="52" w:name="_Toc1915318786"/>
            <w:bookmarkStart w:id="53" w:name="_Toc435705406"/>
            <w:r>
              <w:rPr>
                <w:rFonts w:hint="eastAsia" w:ascii="黑体" w:hAnsi="黑体" w:eastAsia="黑体" w:cs="黑体"/>
                <w:b w:val="0"/>
                <w:bCs w:val="0"/>
                <w:color w:val="auto"/>
                <w:sz w:val="28"/>
                <w:szCs w:val="28"/>
                <w:highlight w:val="none"/>
              </w:rPr>
              <w:t>市政管理方面</w:t>
            </w:r>
            <w:bookmarkEnd w:id="52"/>
            <w:bookmarkEnd w:id="53"/>
          </w:p>
        </w:tc>
      </w:tr>
      <w:tr w14:paraId="3DBB7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gridAfter w:val="2"/>
          <w:wAfter w:w="505" w:type="dxa"/>
          <w:trHeight w:val="453" w:hRule="atLeast"/>
        </w:trPr>
        <w:tc>
          <w:tcPr>
            <w:tcW w:w="16456" w:type="dxa"/>
            <w:gridSpan w:val="14"/>
            <w:tcBorders>
              <w:left w:val="single" w:color="000000" w:sz="4" w:space="0"/>
              <w:bottom w:val="single" w:color="000000" w:sz="4" w:space="0"/>
              <w:right w:val="single" w:color="000000" w:sz="4" w:space="0"/>
            </w:tcBorders>
            <w:shd w:val="clear" w:color="auto" w:fill="auto"/>
            <w:noWrap w:val="0"/>
            <w:vAlign w:val="center"/>
          </w:tcPr>
          <w:p w14:paraId="70D65524">
            <w:pPr>
              <w:pStyle w:val="3"/>
              <w:keepNext w:val="0"/>
              <w:keepLines w:val="0"/>
              <w:pageBreakBefore w:val="0"/>
              <w:widowControl/>
              <w:kinsoku/>
              <w:wordWrap/>
              <w:overflowPunct/>
              <w:topLinePunct w:val="0"/>
              <w:autoSpaceDE/>
              <w:autoSpaceDN/>
              <w:bidi w:val="0"/>
              <w:adjustRightInd/>
              <w:snapToGrid/>
              <w:jc w:val="center"/>
              <w:textAlignment w:val="auto"/>
              <w:rPr>
                <w:rFonts w:hint="eastAsia"/>
                <w:color w:val="auto"/>
                <w:sz w:val="21"/>
                <w:szCs w:val="21"/>
                <w:highlight w:val="none"/>
                <w:lang w:val="en-US" w:eastAsia="zh-CN"/>
              </w:rPr>
            </w:pPr>
            <w:bookmarkStart w:id="54" w:name="_Toc1018838380"/>
            <w:bookmarkStart w:id="55" w:name="_Toc1959760423"/>
            <w:r>
              <w:rPr>
                <w:rFonts w:hint="eastAsia"/>
                <w:color w:val="auto"/>
                <w:sz w:val="21"/>
                <w:szCs w:val="21"/>
                <w:highlight w:val="none"/>
                <w:lang w:val="en-US" w:eastAsia="zh-CN"/>
              </w:rPr>
              <w:t>《北京市无障碍环境建设条例》案由6</w:t>
            </w:r>
            <w:bookmarkEnd w:id="54"/>
            <w:r>
              <w:rPr>
                <w:rFonts w:hint="eastAsia"/>
                <w:color w:val="auto"/>
                <w:sz w:val="21"/>
                <w:szCs w:val="21"/>
                <w:highlight w:val="none"/>
                <w:lang w:val="en-US" w:eastAsia="zh-CN"/>
              </w:rPr>
              <w:t>项</w:t>
            </w:r>
            <w:bookmarkEnd w:id="55"/>
          </w:p>
        </w:tc>
      </w:tr>
      <w:tr w14:paraId="4F69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80" w:hRule="atLeast"/>
        </w:trPr>
        <w:tc>
          <w:tcPr>
            <w:tcW w:w="714" w:type="dxa"/>
            <w:noWrap w:val="0"/>
            <w:vAlign w:val="center"/>
          </w:tcPr>
          <w:p w14:paraId="42680A4F">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1626" w:type="dxa"/>
            <w:gridSpan w:val="2"/>
            <w:noWrap w:val="0"/>
            <w:vAlign w:val="center"/>
          </w:tcPr>
          <w:p w14:paraId="12154C4D">
            <w:pPr>
              <w:spacing w:line="232"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管理责任人未履行维护管理责任</w:t>
            </w:r>
          </w:p>
        </w:tc>
        <w:tc>
          <w:tcPr>
            <w:tcW w:w="2981" w:type="dxa"/>
            <w:noWrap w:val="0"/>
            <w:vAlign w:val="center"/>
          </w:tcPr>
          <w:p w14:paraId="5CDB4F39">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违反条款：第十四条第一款第（一）项、第（二）项、第（三）项、第（四）项、第（五）项（需根据实际发生的违法行为选择）；</w:t>
            </w:r>
          </w:p>
          <w:p w14:paraId="6AA175C2">
            <w:pPr>
              <w:spacing w:line="232"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处罚条款：第三十七条，责令限期改正；逾期不改正的，处三千元以上三万元以下罚款。</w:t>
            </w:r>
          </w:p>
        </w:tc>
        <w:tc>
          <w:tcPr>
            <w:tcW w:w="851" w:type="dxa"/>
            <w:noWrap w:val="0"/>
            <w:vAlign w:val="center"/>
          </w:tcPr>
          <w:p w14:paraId="74B5BA0C">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w:t>
            </w:r>
          </w:p>
        </w:tc>
        <w:tc>
          <w:tcPr>
            <w:tcW w:w="840" w:type="dxa"/>
            <w:noWrap w:val="0"/>
            <w:vAlign w:val="center"/>
          </w:tcPr>
          <w:p w14:paraId="4F1119B7">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5F4D93D6">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同时违反第十四条第一款规定中两项的，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4；同时违反三项及三项以上的，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9。</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02FA7E19">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636C4310">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304" w:type="dxa"/>
            <w:gridSpan w:val="2"/>
            <w:noWrap w:val="0"/>
            <w:vAlign w:val="center"/>
          </w:tcPr>
          <w:p w14:paraId="1FAB8F1D">
            <w:pPr>
              <w:spacing w:line="232"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14:paraId="76C9872E">
            <w:pPr>
              <w:spacing w:line="232"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c>
          <w:tcPr>
            <w:tcW w:w="1869" w:type="dxa"/>
            <w:noWrap w:val="0"/>
            <w:vAlign w:val="center"/>
          </w:tcPr>
          <w:p w14:paraId="16C5E11F">
            <w:pPr>
              <w:spacing w:line="232" w:lineRule="exact"/>
              <w:jc w:val="center"/>
              <w:rPr>
                <w:rFonts w:hint="eastAsia" w:ascii="宋体" w:hAnsi="宋体" w:eastAsia="宋体" w:cs="仿宋_GB2312"/>
                <w:color w:val="auto"/>
                <w:sz w:val="15"/>
                <w:szCs w:val="15"/>
                <w:highlight w:val="none"/>
                <w:lang w:eastAsia="zh"/>
              </w:rPr>
            </w:pPr>
            <w:r>
              <w:rPr>
                <w:rFonts w:hint="eastAsia" w:ascii="宋体" w:hAnsi="宋体" w:cs="仿宋_GB2312"/>
                <w:color w:val="auto"/>
                <w:sz w:val="15"/>
                <w:szCs w:val="15"/>
                <w:highlight w:val="none"/>
                <w:lang w:eastAsia="zh"/>
              </w:rPr>
              <w:t>C4651500</w:t>
            </w:r>
          </w:p>
        </w:tc>
      </w:tr>
      <w:tr w14:paraId="554AD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19" w:hRule="atLeast"/>
        </w:trPr>
        <w:tc>
          <w:tcPr>
            <w:tcW w:w="714" w:type="dxa"/>
            <w:noWrap w:val="0"/>
            <w:vAlign w:val="center"/>
          </w:tcPr>
          <w:p w14:paraId="15F04777">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w:t>
            </w:r>
          </w:p>
        </w:tc>
        <w:tc>
          <w:tcPr>
            <w:tcW w:w="1626" w:type="dxa"/>
            <w:gridSpan w:val="2"/>
            <w:noWrap w:val="0"/>
            <w:vAlign w:val="center"/>
          </w:tcPr>
          <w:p w14:paraId="2037E54C">
            <w:pPr>
              <w:spacing w:line="250"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管理责任人未在限定的时间内完成整改</w:t>
            </w:r>
          </w:p>
        </w:tc>
        <w:tc>
          <w:tcPr>
            <w:tcW w:w="2981" w:type="dxa"/>
            <w:noWrap w:val="0"/>
            <w:vAlign w:val="center"/>
          </w:tcPr>
          <w:p w14:paraId="7AEC158D">
            <w:pPr>
              <w:spacing w:line="250" w:lineRule="exact"/>
              <w:textAlignment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违反条款：第十五条第一款、第二款</w:t>
            </w:r>
            <w:r>
              <w:rPr>
                <w:rFonts w:hint="eastAsia" w:ascii="宋体" w:hAnsi="宋体" w:eastAsia="宋体" w:cs="仿宋_GB2312"/>
                <w:color w:val="auto"/>
                <w:sz w:val="15"/>
                <w:szCs w:val="15"/>
                <w:highlight w:val="none"/>
                <w:lang w:val="en"/>
              </w:rPr>
              <w:t>（需根据实际发生的违法行为选择）</w:t>
            </w:r>
            <w:r>
              <w:rPr>
                <w:rFonts w:hint="eastAsia" w:ascii="宋体" w:hAnsi="宋体" w:eastAsia="宋体" w:cs="仿宋_GB2312"/>
                <w:color w:val="auto"/>
                <w:sz w:val="15"/>
                <w:szCs w:val="15"/>
                <w:highlight w:val="none"/>
              </w:rPr>
              <w:t>；</w:t>
            </w:r>
          </w:p>
          <w:p w14:paraId="0886553B">
            <w:pPr>
              <w:spacing w:line="250"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处罚条款：第三十八条，责令限期改正；逾期不改正的，处应当建设或者改造的无障碍设施工程造价一倍以上二倍以下罚款。</w:t>
            </w:r>
          </w:p>
        </w:tc>
        <w:tc>
          <w:tcPr>
            <w:tcW w:w="851" w:type="dxa"/>
            <w:noWrap w:val="0"/>
            <w:vAlign w:val="center"/>
          </w:tcPr>
          <w:p w14:paraId="5D9A196C">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无障碍设施工程造价款</w:t>
            </w:r>
          </w:p>
        </w:tc>
        <w:tc>
          <w:tcPr>
            <w:tcW w:w="840" w:type="dxa"/>
            <w:noWrap w:val="0"/>
            <w:vAlign w:val="center"/>
          </w:tcPr>
          <w:p w14:paraId="162E4DBF">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14:paraId="6DBC8B77">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事故的，系数1。</w:t>
            </w:r>
            <w:r>
              <w:rPr>
                <w:rFonts w:hint="eastAsia" w:ascii="宋体" w:hAnsi="宋体" w:eastAsia="宋体" w:cs="仿宋_GB2312"/>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7F5034BB">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罚款数额=无障碍设施工程造价款×（1+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14:paraId="0E1B9788">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304" w:type="dxa"/>
            <w:gridSpan w:val="2"/>
            <w:noWrap w:val="0"/>
            <w:vAlign w:val="center"/>
          </w:tcPr>
          <w:p w14:paraId="43985572">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14:paraId="5D6B15DD">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c>
          <w:tcPr>
            <w:tcW w:w="1869" w:type="dxa"/>
            <w:noWrap w:val="0"/>
            <w:vAlign w:val="center"/>
          </w:tcPr>
          <w:p w14:paraId="4302164D">
            <w:pPr>
              <w:spacing w:line="250" w:lineRule="exact"/>
              <w:jc w:val="center"/>
              <w:rPr>
                <w:rFonts w:hint="eastAsia" w:ascii="宋体" w:hAnsi="宋体" w:eastAsia="宋体" w:cs="仿宋_GB2312"/>
                <w:color w:val="auto"/>
                <w:sz w:val="15"/>
                <w:szCs w:val="15"/>
                <w:highlight w:val="none"/>
                <w:lang w:eastAsia="zh"/>
              </w:rPr>
            </w:pPr>
            <w:r>
              <w:rPr>
                <w:rFonts w:hint="eastAsia" w:ascii="宋体" w:hAnsi="宋体" w:cs="仿宋_GB2312"/>
                <w:color w:val="auto"/>
                <w:sz w:val="15"/>
                <w:szCs w:val="15"/>
                <w:highlight w:val="none"/>
                <w:lang w:eastAsia="zh"/>
              </w:rPr>
              <w:t>C4651600</w:t>
            </w:r>
          </w:p>
        </w:tc>
      </w:tr>
      <w:tr w14:paraId="3915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11" w:hRule="atLeast"/>
        </w:trPr>
        <w:tc>
          <w:tcPr>
            <w:tcW w:w="714" w:type="dxa"/>
            <w:noWrap w:val="0"/>
            <w:vAlign w:val="center"/>
          </w:tcPr>
          <w:p w14:paraId="40C27F20">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w:t>
            </w:r>
          </w:p>
        </w:tc>
        <w:tc>
          <w:tcPr>
            <w:tcW w:w="1626" w:type="dxa"/>
            <w:gridSpan w:val="2"/>
            <w:noWrap w:val="0"/>
            <w:vAlign w:val="center"/>
          </w:tcPr>
          <w:p w14:paraId="7EB6F7C8">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公共停车场</w:t>
            </w:r>
            <w:r>
              <w:rPr>
                <w:rFonts w:hint="eastAsia" w:ascii="宋体" w:hAnsi="宋体" w:eastAsia="宋体" w:cs="仿宋_GB2312"/>
                <w:color w:val="auto"/>
                <w:sz w:val="15"/>
                <w:szCs w:val="15"/>
                <w:highlight w:val="none"/>
                <w:lang w:val="zh-CN"/>
              </w:rPr>
              <w:t>擅自改变无障碍停车位用途</w:t>
            </w:r>
          </w:p>
        </w:tc>
        <w:tc>
          <w:tcPr>
            <w:tcW w:w="2981" w:type="dxa"/>
            <w:noWrap w:val="0"/>
            <w:vAlign w:val="center"/>
          </w:tcPr>
          <w:p w14:paraId="5A18F08E">
            <w:pPr>
              <w:spacing w:line="250" w:lineRule="exact"/>
              <w:rPr>
                <w:rFonts w:ascii="宋体" w:hAnsi="宋体" w:eastAsia="宋体" w:cs="仿宋_GB2312"/>
                <w:color w:val="auto"/>
                <w:sz w:val="15"/>
                <w:szCs w:val="15"/>
                <w:highlight w:val="none"/>
                <w:lang w:val="zh-CN"/>
              </w:rPr>
            </w:pPr>
            <w:r>
              <w:rPr>
                <w:rFonts w:hint="eastAsia" w:ascii="宋体" w:hAnsi="宋体" w:eastAsia="宋体" w:cs="仿宋_GB2312"/>
                <w:color w:val="auto"/>
                <w:sz w:val="15"/>
                <w:szCs w:val="15"/>
                <w:highlight w:val="none"/>
              </w:rPr>
              <w:t>违反条款：</w:t>
            </w:r>
            <w:r>
              <w:rPr>
                <w:rFonts w:hint="eastAsia" w:ascii="宋体" w:hAnsi="宋体" w:eastAsia="宋体" w:cs="仿宋_GB2312"/>
                <w:color w:val="auto"/>
                <w:sz w:val="15"/>
                <w:szCs w:val="15"/>
                <w:highlight w:val="none"/>
                <w:lang w:val="zh-CN"/>
              </w:rPr>
              <w:t>第十七条第一款；</w:t>
            </w:r>
          </w:p>
          <w:p w14:paraId="0F8DDCCF">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val="zh-CN"/>
              </w:rPr>
              <w:t>第三十九条第一款，责令限期改正；逾期不改正的，按照擅自改变用途的无障碍停车位数量，每个泊位处一万元罚款。</w:t>
            </w:r>
          </w:p>
        </w:tc>
        <w:tc>
          <w:tcPr>
            <w:tcW w:w="851" w:type="dxa"/>
            <w:noWrap w:val="0"/>
            <w:vAlign w:val="center"/>
          </w:tcPr>
          <w:p w14:paraId="4771B42D">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10000</w:t>
            </w:r>
          </w:p>
        </w:tc>
        <w:tc>
          <w:tcPr>
            <w:tcW w:w="840" w:type="dxa"/>
            <w:noWrap w:val="0"/>
            <w:vAlign w:val="center"/>
          </w:tcPr>
          <w:p w14:paraId="19DA1870">
            <w:pPr>
              <w:spacing w:line="250" w:lineRule="exact"/>
              <w:jc w:val="center"/>
              <w:rPr>
                <w:rFonts w:ascii="宋体" w:hAnsi="宋体" w:eastAsia="宋体" w:cs="仿宋_GB2312"/>
                <w:color w:val="auto"/>
                <w:kern w:val="0"/>
                <w:sz w:val="15"/>
                <w:szCs w:val="15"/>
                <w:highlight w:val="none"/>
              </w:rPr>
            </w:pPr>
          </w:p>
        </w:tc>
        <w:tc>
          <w:tcPr>
            <w:tcW w:w="2376" w:type="dxa"/>
            <w:noWrap w:val="0"/>
            <w:vAlign w:val="center"/>
          </w:tcPr>
          <w:p w14:paraId="358889DD">
            <w:pPr>
              <w:spacing w:line="250" w:lineRule="exact"/>
              <w:rPr>
                <w:rFonts w:ascii="宋体" w:hAnsi="宋体" w:eastAsia="宋体" w:cs="仿宋_GB2312"/>
                <w:color w:val="auto"/>
                <w:kern w:val="0"/>
                <w:sz w:val="15"/>
                <w:szCs w:val="15"/>
                <w:highlight w:val="none"/>
              </w:rPr>
            </w:pPr>
          </w:p>
        </w:tc>
        <w:tc>
          <w:tcPr>
            <w:tcW w:w="1875" w:type="dxa"/>
            <w:gridSpan w:val="2"/>
            <w:noWrap w:val="0"/>
            <w:vAlign w:val="center"/>
          </w:tcPr>
          <w:p w14:paraId="6CA55CE9">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罚款数额=10000×改变用途</w:t>
            </w:r>
            <w:r>
              <w:rPr>
                <w:rFonts w:hint="eastAsia" w:ascii="宋体" w:hAnsi="宋体" w:eastAsia="宋体" w:cs="仿宋_GB2312"/>
                <w:color w:val="auto"/>
                <w:sz w:val="15"/>
                <w:szCs w:val="15"/>
                <w:highlight w:val="none"/>
                <w:lang w:val="zh-CN"/>
              </w:rPr>
              <w:t>停车</w:t>
            </w:r>
            <w:r>
              <w:rPr>
                <w:rFonts w:hint="eastAsia" w:ascii="宋体" w:hAnsi="宋体" w:eastAsia="宋体" w:cs="仿宋_GB2312"/>
                <w:color w:val="auto"/>
                <w:sz w:val="15"/>
                <w:szCs w:val="15"/>
                <w:highlight w:val="none"/>
              </w:rPr>
              <w:t>泊位数</w:t>
            </w:r>
          </w:p>
        </w:tc>
        <w:tc>
          <w:tcPr>
            <w:tcW w:w="2020" w:type="dxa"/>
            <w:gridSpan w:val="2"/>
            <w:noWrap w:val="0"/>
            <w:vAlign w:val="center"/>
          </w:tcPr>
          <w:p w14:paraId="31F34231">
            <w:pPr>
              <w:spacing w:line="250" w:lineRule="exact"/>
              <w:rPr>
                <w:rFonts w:hint="eastAsia" w:ascii="宋体" w:hAnsi="宋体" w:eastAsia="宋体" w:cs="仿宋_GB2312"/>
                <w:color w:val="auto"/>
                <w:kern w:val="0"/>
                <w:sz w:val="15"/>
                <w:szCs w:val="15"/>
                <w:highlight w:val="none"/>
                <w:lang w:val="en" w:eastAsia="zh-CN"/>
              </w:rPr>
            </w:pPr>
          </w:p>
        </w:tc>
        <w:tc>
          <w:tcPr>
            <w:tcW w:w="1304" w:type="dxa"/>
            <w:gridSpan w:val="2"/>
            <w:noWrap w:val="0"/>
            <w:vAlign w:val="center"/>
          </w:tcPr>
          <w:p w14:paraId="63694F25">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14:paraId="14493238">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乡镇</w:t>
            </w:r>
          </w:p>
        </w:tc>
        <w:tc>
          <w:tcPr>
            <w:tcW w:w="1869" w:type="dxa"/>
            <w:noWrap w:val="0"/>
            <w:vAlign w:val="center"/>
          </w:tcPr>
          <w:p w14:paraId="015D383E">
            <w:pPr>
              <w:spacing w:line="250" w:lineRule="exact"/>
              <w:jc w:val="center"/>
              <w:rPr>
                <w:rFonts w:hint="eastAsia" w:ascii="宋体" w:hAnsi="宋体" w:eastAsia="宋体" w:cs="仿宋_GB2312"/>
                <w:color w:val="auto"/>
                <w:sz w:val="15"/>
                <w:szCs w:val="15"/>
                <w:highlight w:val="none"/>
                <w:lang w:eastAsia="zh"/>
              </w:rPr>
            </w:pPr>
            <w:r>
              <w:rPr>
                <w:rFonts w:hint="eastAsia" w:ascii="宋体" w:hAnsi="宋体" w:cs="仿宋_GB2312"/>
                <w:color w:val="auto"/>
                <w:sz w:val="15"/>
                <w:szCs w:val="15"/>
                <w:highlight w:val="none"/>
                <w:lang w:eastAsia="zh"/>
              </w:rPr>
              <w:t>C4651</w:t>
            </w:r>
            <w:r>
              <w:rPr>
                <w:rFonts w:hint="eastAsia" w:ascii="宋体" w:hAnsi="宋体" w:cs="仿宋_GB2312"/>
                <w:color w:val="auto"/>
                <w:sz w:val="15"/>
                <w:szCs w:val="15"/>
                <w:highlight w:val="none"/>
                <w:lang w:val="en-US" w:eastAsia="zh-CN"/>
              </w:rPr>
              <w:t>9</w:t>
            </w:r>
            <w:r>
              <w:rPr>
                <w:rFonts w:hint="eastAsia" w:ascii="宋体" w:hAnsi="宋体" w:cs="仿宋_GB2312"/>
                <w:color w:val="auto"/>
                <w:sz w:val="15"/>
                <w:szCs w:val="15"/>
                <w:highlight w:val="none"/>
                <w:lang w:eastAsia="zh"/>
              </w:rPr>
              <w:t>00</w:t>
            </w:r>
          </w:p>
        </w:tc>
      </w:tr>
      <w:tr w14:paraId="585C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48" w:hRule="atLeast"/>
        </w:trPr>
        <w:tc>
          <w:tcPr>
            <w:tcW w:w="714" w:type="dxa"/>
            <w:noWrap w:val="0"/>
            <w:vAlign w:val="center"/>
          </w:tcPr>
          <w:p w14:paraId="49A2AE8B">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4</w:t>
            </w:r>
          </w:p>
        </w:tc>
        <w:tc>
          <w:tcPr>
            <w:tcW w:w="1626" w:type="dxa"/>
            <w:gridSpan w:val="2"/>
            <w:noWrap w:val="0"/>
            <w:vAlign w:val="center"/>
          </w:tcPr>
          <w:p w14:paraId="7F1C849E">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zh-CN"/>
              </w:rPr>
              <w:t>损毁、侵占或者擅自停止使用道路内无障碍设施</w:t>
            </w:r>
          </w:p>
        </w:tc>
        <w:tc>
          <w:tcPr>
            <w:tcW w:w="2981" w:type="dxa"/>
            <w:noWrap w:val="0"/>
            <w:vAlign w:val="center"/>
          </w:tcPr>
          <w:p w14:paraId="6C643861">
            <w:pPr>
              <w:spacing w:line="250" w:lineRule="exact"/>
              <w:rPr>
                <w:rFonts w:ascii="宋体" w:hAnsi="宋体" w:eastAsia="宋体" w:cs="仿宋_GB2312"/>
                <w:color w:val="auto"/>
                <w:sz w:val="15"/>
                <w:szCs w:val="15"/>
                <w:highlight w:val="none"/>
                <w:lang w:val="zh-CN"/>
              </w:rPr>
            </w:pPr>
            <w:r>
              <w:rPr>
                <w:rFonts w:hint="eastAsia" w:ascii="宋体" w:hAnsi="宋体" w:eastAsia="宋体" w:cs="仿宋_GB2312"/>
                <w:color w:val="auto"/>
                <w:sz w:val="15"/>
                <w:szCs w:val="15"/>
                <w:highlight w:val="none"/>
              </w:rPr>
              <w:t>违反条款：</w:t>
            </w:r>
            <w:r>
              <w:rPr>
                <w:rFonts w:hint="eastAsia" w:ascii="宋体" w:hAnsi="宋体" w:eastAsia="宋体" w:cs="仿宋_GB2312"/>
                <w:color w:val="auto"/>
                <w:sz w:val="15"/>
                <w:szCs w:val="15"/>
                <w:highlight w:val="none"/>
                <w:lang w:val="zh-CN"/>
              </w:rPr>
              <w:t>第十九条第一款；</w:t>
            </w:r>
          </w:p>
          <w:p w14:paraId="3E312812">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val="zh-CN"/>
              </w:rPr>
              <w:t>第四十条第一款，责令限期改正；逾期不改正的，处三千元以上三万元以下罚款。</w:t>
            </w:r>
          </w:p>
        </w:tc>
        <w:tc>
          <w:tcPr>
            <w:tcW w:w="851" w:type="dxa"/>
            <w:noWrap w:val="0"/>
            <w:vAlign w:val="center"/>
          </w:tcPr>
          <w:p w14:paraId="6820B21F">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3000</w:t>
            </w:r>
          </w:p>
        </w:tc>
        <w:tc>
          <w:tcPr>
            <w:tcW w:w="840" w:type="dxa"/>
            <w:noWrap w:val="0"/>
            <w:vAlign w:val="center"/>
          </w:tcPr>
          <w:p w14:paraId="3BFA86E8">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14:paraId="7A23306A">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1.对通行秩序、市容秩序造成较大影响的，系数4；2.造成行人伤亡或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事故的，系数9</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690BE9D1">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14:paraId="03D42764">
            <w:pPr>
              <w:spacing w:line="25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304" w:type="dxa"/>
            <w:gridSpan w:val="2"/>
            <w:noWrap w:val="0"/>
            <w:vAlign w:val="center"/>
          </w:tcPr>
          <w:p w14:paraId="037CE50F">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14:paraId="49733177">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c>
          <w:tcPr>
            <w:tcW w:w="1869" w:type="dxa"/>
            <w:noWrap w:val="0"/>
            <w:vAlign w:val="center"/>
          </w:tcPr>
          <w:p w14:paraId="04388AFA">
            <w:pPr>
              <w:spacing w:line="250" w:lineRule="exact"/>
              <w:jc w:val="center"/>
              <w:rPr>
                <w:rFonts w:hint="eastAsia" w:ascii="宋体" w:hAnsi="宋体" w:eastAsia="宋体" w:cs="仿宋_GB2312"/>
                <w:color w:val="auto"/>
                <w:sz w:val="15"/>
                <w:szCs w:val="15"/>
                <w:highlight w:val="none"/>
                <w:lang w:eastAsia="zh"/>
              </w:rPr>
            </w:pPr>
            <w:r>
              <w:rPr>
                <w:rFonts w:hint="eastAsia" w:ascii="宋体" w:hAnsi="宋体" w:cs="仿宋_GB2312"/>
                <w:color w:val="auto"/>
                <w:sz w:val="15"/>
                <w:szCs w:val="15"/>
                <w:highlight w:val="none"/>
                <w:lang w:eastAsia="zh"/>
              </w:rPr>
              <w:t>C4616800</w:t>
            </w:r>
          </w:p>
        </w:tc>
      </w:tr>
      <w:tr w14:paraId="7769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02" w:hRule="atLeast"/>
        </w:trPr>
        <w:tc>
          <w:tcPr>
            <w:tcW w:w="714" w:type="dxa"/>
            <w:noWrap w:val="0"/>
            <w:vAlign w:val="center"/>
          </w:tcPr>
          <w:p w14:paraId="34616459">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w:t>
            </w:r>
          </w:p>
        </w:tc>
        <w:tc>
          <w:tcPr>
            <w:tcW w:w="1626" w:type="dxa"/>
            <w:gridSpan w:val="2"/>
            <w:noWrap w:val="0"/>
            <w:vAlign w:val="center"/>
          </w:tcPr>
          <w:p w14:paraId="5FF49876">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经批准临时占用道路内无障碍设施的，</w:t>
            </w:r>
            <w:r>
              <w:rPr>
                <w:rFonts w:hint="eastAsia" w:ascii="宋体" w:hAnsi="宋体" w:eastAsia="宋体" w:cs="仿宋_GB2312"/>
                <w:color w:val="auto"/>
                <w:sz w:val="15"/>
                <w:szCs w:val="15"/>
                <w:highlight w:val="none"/>
                <w:lang w:val="zh-CN"/>
              </w:rPr>
              <w:t>未设置护栏、警示标志或者语音提示，或者未采取必要的替代措施</w:t>
            </w:r>
            <w:r>
              <w:rPr>
                <w:rFonts w:hint="eastAsia" w:ascii="宋体" w:hAnsi="宋体" w:eastAsia="宋体" w:cs="仿宋_GB2312"/>
                <w:color w:val="auto"/>
                <w:sz w:val="15"/>
                <w:szCs w:val="15"/>
                <w:highlight w:val="none"/>
                <w:lang w:val="en"/>
              </w:rPr>
              <w:t>（需根据实际发生的违法行为选择）</w:t>
            </w:r>
          </w:p>
        </w:tc>
        <w:tc>
          <w:tcPr>
            <w:tcW w:w="2981" w:type="dxa"/>
            <w:noWrap w:val="0"/>
            <w:vAlign w:val="center"/>
          </w:tcPr>
          <w:p w14:paraId="3FE173F3">
            <w:pPr>
              <w:spacing w:line="220" w:lineRule="exact"/>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违反条款：第十九条第二款；</w:t>
            </w:r>
          </w:p>
          <w:p w14:paraId="5B0D2083">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处罚条款：第四十条第二款，责令限期改正；逾期不改正的，处三千元以上三万元以下罚款。</w:t>
            </w:r>
          </w:p>
        </w:tc>
        <w:tc>
          <w:tcPr>
            <w:tcW w:w="851" w:type="dxa"/>
            <w:noWrap w:val="0"/>
            <w:vAlign w:val="center"/>
          </w:tcPr>
          <w:p w14:paraId="02174A09">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3000</w:t>
            </w:r>
          </w:p>
        </w:tc>
        <w:tc>
          <w:tcPr>
            <w:tcW w:w="840" w:type="dxa"/>
            <w:noWrap w:val="0"/>
            <w:vAlign w:val="center"/>
          </w:tcPr>
          <w:p w14:paraId="38E4722F">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14:paraId="355B87E4">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1.对通行秩序造成较大影响的，系数4；2.造成行人伤亡或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事故的，系数9</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37C37C36">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14:paraId="457EA1B8">
            <w:pPr>
              <w:spacing w:line="25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304" w:type="dxa"/>
            <w:gridSpan w:val="2"/>
            <w:noWrap w:val="0"/>
            <w:vAlign w:val="center"/>
          </w:tcPr>
          <w:p w14:paraId="1E18A288">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14:paraId="49543E25">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乡镇</w:t>
            </w:r>
          </w:p>
        </w:tc>
        <w:tc>
          <w:tcPr>
            <w:tcW w:w="1869" w:type="dxa"/>
            <w:noWrap w:val="0"/>
            <w:vAlign w:val="center"/>
          </w:tcPr>
          <w:p w14:paraId="46EEC06D">
            <w:pPr>
              <w:spacing w:line="220" w:lineRule="exact"/>
              <w:jc w:val="center"/>
              <w:rPr>
                <w:rFonts w:hint="eastAsia" w:ascii="宋体" w:hAnsi="宋体" w:eastAsia="宋体" w:cs="仿宋_GB2312"/>
                <w:color w:val="auto"/>
                <w:sz w:val="15"/>
                <w:szCs w:val="15"/>
                <w:highlight w:val="none"/>
                <w:lang w:eastAsia="zh"/>
              </w:rPr>
            </w:pPr>
            <w:r>
              <w:rPr>
                <w:rFonts w:hint="eastAsia" w:ascii="宋体" w:hAnsi="宋体" w:cs="仿宋_GB2312"/>
                <w:color w:val="auto"/>
                <w:sz w:val="15"/>
                <w:szCs w:val="15"/>
                <w:highlight w:val="none"/>
                <w:lang w:eastAsia="zh"/>
              </w:rPr>
              <w:t>C4651700</w:t>
            </w:r>
          </w:p>
        </w:tc>
      </w:tr>
      <w:tr w14:paraId="01D4C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65" w:hRule="atLeast"/>
        </w:trPr>
        <w:tc>
          <w:tcPr>
            <w:tcW w:w="714" w:type="dxa"/>
            <w:noWrap w:val="0"/>
            <w:vAlign w:val="center"/>
          </w:tcPr>
          <w:p w14:paraId="3B427AEB">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6</w:t>
            </w:r>
          </w:p>
        </w:tc>
        <w:tc>
          <w:tcPr>
            <w:tcW w:w="1626" w:type="dxa"/>
            <w:gridSpan w:val="2"/>
            <w:noWrap w:val="0"/>
            <w:vAlign w:val="center"/>
          </w:tcPr>
          <w:p w14:paraId="2E22D593">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经批准临时占用道路内无障碍设施占用期届满，未及时恢复无障碍设施功能</w:t>
            </w:r>
          </w:p>
        </w:tc>
        <w:tc>
          <w:tcPr>
            <w:tcW w:w="2981" w:type="dxa"/>
            <w:noWrap w:val="0"/>
            <w:vAlign w:val="center"/>
          </w:tcPr>
          <w:p w14:paraId="10E22258">
            <w:pPr>
              <w:spacing w:line="220" w:lineRule="exact"/>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违反条款：第十九条第二款；</w:t>
            </w:r>
          </w:p>
          <w:p w14:paraId="546AE762">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处罚条款：第四十条第二款，责令限期改正；逾期不改正的，处恢复无障碍设施功能所需的工程造价一倍以上二倍以下罚款。</w:t>
            </w:r>
          </w:p>
        </w:tc>
        <w:tc>
          <w:tcPr>
            <w:tcW w:w="851" w:type="dxa"/>
            <w:noWrap w:val="0"/>
            <w:vAlign w:val="center"/>
          </w:tcPr>
          <w:p w14:paraId="3996F6F0">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恢复无障碍设施功能所需的工程造价</w:t>
            </w:r>
          </w:p>
        </w:tc>
        <w:tc>
          <w:tcPr>
            <w:tcW w:w="840" w:type="dxa"/>
            <w:noWrap w:val="0"/>
            <w:vAlign w:val="center"/>
          </w:tcPr>
          <w:p w14:paraId="374B49BF">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14:paraId="1F209FCA">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对通行秩序、市容秩序造成较大影响的，或者造成行人伤亡或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60DAB3A4">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罚款数额＝恢复无障碍设施功能所需的工程造价×（1+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14:paraId="22780C47">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304" w:type="dxa"/>
            <w:gridSpan w:val="2"/>
            <w:noWrap w:val="0"/>
            <w:vAlign w:val="center"/>
          </w:tcPr>
          <w:p w14:paraId="5104AEDB">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14:paraId="32FE41A8">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c>
          <w:tcPr>
            <w:tcW w:w="1869" w:type="dxa"/>
            <w:noWrap w:val="0"/>
            <w:vAlign w:val="center"/>
          </w:tcPr>
          <w:p w14:paraId="5874172C">
            <w:pPr>
              <w:spacing w:line="220" w:lineRule="exact"/>
              <w:jc w:val="center"/>
              <w:rPr>
                <w:rFonts w:hint="eastAsia" w:ascii="宋体" w:hAnsi="宋体" w:eastAsia="宋体" w:cs="仿宋_GB2312"/>
                <w:color w:val="auto"/>
                <w:sz w:val="15"/>
                <w:szCs w:val="15"/>
                <w:highlight w:val="none"/>
                <w:lang w:eastAsia="zh"/>
              </w:rPr>
            </w:pPr>
            <w:r>
              <w:rPr>
                <w:rFonts w:hint="eastAsia" w:ascii="宋体" w:hAnsi="宋体" w:cs="仿宋_GB2312"/>
                <w:color w:val="auto"/>
                <w:sz w:val="15"/>
                <w:szCs w:val="15"/>
                <w:highlight w:val="none"/>
                <w:lang w:eastAsia="zh"/>
              </w:rPr>
              <w:t>C4651800</w:t>
            </w:r>
          </w:p>
        </w:tc>
      </w:tr>
      <w:tr w14:paraId="1FBD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28" w:hRule="atLeast"/>
        </w:trPr>
        <w:tc>
          <w:tcPr>
            <w:tcW w:w="14587" w:type="dxa"/>
            <w:gridSpan w:val="13"/>
            <w:noWrap w:val="0"/>
            <w:vAlign w:val="center"/>
          </w:tcPr>
          <w:p w14:paraId="22B4C058">
            <w:pPr>
              <w:pStyle w:val="3"/>
              <w:bidi w:val="0"/>
              <w:jc w:val="center"/>
              <w:rPr>
                <w:rFonts w:hint="default" w:ascii="宋体" w:hAnsi="宋体" w:eastAsia="宋体" w:cs="宋体"/>
                <w:color w:val="auto"/>
                <w:sz w:val="21"/>
                <w:szCs w:val="21"/>
                <w:highlight w:val="none"/>
                <w:lang w:val="en-US"/>
              </w:rPr>
            </w:pPr>
            <w:bookmarkStart w:id="56" w:name="_Toc258925744"/>
            <w:bookmarkStart w:id="57" w:name="_Toc1038902727"/>
            <w:r>
              <w:rPr>
                <w:rFonts w:hint="eastAsia" w:ascii="宋体" w:hAnsi="宋体" w:eastAsia="宋体" w:cs="宋体"/>
                <w:color w:val="auto"/>
                <w:sz w:val="21"/>
                <w:szCs w:val="21"/>
                <w:highlight w:val="none"/>
                <w:lang w:val="en-US" w:eastAsia="zh-CN"/>
              </w:rPr>
              <w:t>《中华人民共和国无障碍环境建设法》案由2项</w:t>
            </w:r>
            <w:bookmarkEnd w:id="56"/>
          </w:p>
        </w:tc>
        <w:tc>
          <w:tcPr>
            <w:tcW w:w="1869" w:type="dxa"/>
            <w:noWrap w:val="0"/>
            <w:vAlign w:val="center"/>
          </w:tcPr>
          <w:p w14:paraId="62B5FCBA">
            <w:pPr>
              <w:pStyle w:val="3"/>
              <w:bidi w:val="0"/>
              <w:jc w:val="center"/>
              <w:rPr>
                <w:rFonts w:hint="eastAsia" w:ascii="宋体" w:hAnsi="宋体" w:eastAsia="宋体" w:cs="宋体"/>
                <w:color w:val="auto"/>
                <w:sz w:val="21"/>
                <w:szCs w:val="21"/>
                <w:highlight w:val="none"/>
                <w:lang w:val="en-US" w:eastAsia="zh-CN"/>
              </w:rPr>
            </w:pPr>
          </w:p>
        </w:tc>
      </w:tr>
      <w:tr w14:paraId="64F11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65" w:hRule="atLeast"/>
        </w:trPr>
        <w:tc>
          <w:tcPr>
            <w:tcW w:w="714" w:type="dxa"/>
            <w:vMerge w:val="restart"/>
            <w:noWrap w:val="0"/>
            <w:vAlign w:val="center"/>
          </w:tcPr>
          <w:p w14:paraId="2DF7A91F">
            <w:pPr>
              <w:spacing w:line="232"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w:t>
            </w:r>
          </w:p>
        </w:tc>
        <w:tc>
          <w:tcPr>
            <w:tcW w:w="1626" w:type="dxa"/>
            <w:gridSpan w:val="2"/>
            <w:vMerge w:val="restart"/>
            <w:noWrap w:val="0"/>
            <w:vAlign w:val="center"/>
          </w:tcPr>
          <w:p w14:paraId="00217C75">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981" w:type="dxa"/>
            <w:vMerge w:val="restart"/>
            <w:noWrap w:val="0"/>
            <w:vAlign w:val="center"/>
          </w:tcPr>
          <w:p w14:paraId="2799D1F7">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14:paraId="180612C7">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cs="仿宋_GB2312"/>
                <w:color w:val="auto"/>
                <w:sz w:val="15"/>
                <w:szCs w:val="15"/>
                <w:highlight w:val="none"/>
                <w:lang w:eastAsia="zh-CN"/>
              </w:rPr>
              <w:t>第</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noWrap w:val="0"/>
            <w:vAlign w:val="center"/>
          </w:tcPr>
          <w:p w14:paraId="0658A139">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7FAD30C2">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noWrap w:val="0"/>
            <w:vAlign w:val="center"/>
          </w:tcPr>
          <w:p w14:paraId="085217D0">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76" w:type="dxa"/>
            <w:noWrap w:val="0"/>
            <w:vAlign w:val="center"/>
          </w:tcPr>
          <w:p w14:paraId="23711FFF">
            <w:pPr>
              <w:spacing w:line="220" w:lineRule="exact"/>
              <w:rPr>
                <w:rFonts w:hint="eastAsia" w:ascii="宋体" w:hAnsi="宋体" w:eastAsia="宋体" w:cs="仿宋_GB2312"/>
                <w:color w:val="auto"/>
                <w:sz w:val="15"/>
                <w:szCs w:val="15"/>
                <w:highlight w:val="none"/>
              </w:rPr>
            </w:pPr>
            <w:r>
              <w:rPr>
                <w:rFonts w:hint="eastAsia" w:ascii="宋体" w:hAnsi="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cs="仿宋_GB2312"/>
                <w:color w:val="auto"/>
                <w:kern w:val="0"/>
                <w:sz w:val="15"/>
                <w:szCs w:val="15"/>
                <w:highlight w:val="none"/>
                <w:lang w:eastAsia="zh-CN"/>
              </w:rPr>
              <w:t>条</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4A2EEFE3">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14:paraId="0704DAC6">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304" w:type="dxa"/>
            <w:gridSpan w:val="2"/>
            <w:vMerge w:val="restart"/>
            <w:noWrap w:val="0"/>
            <w:vAlign w:val="center"/>
          </w:tcPr>
          <w:p w14:paraId="418B9386">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14:paraId="43B60568">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c>
          <w:tcPr>
            <w:tcW w:w="1869" w:type="dxa"/>
            <w:vMerge w:val="restart"/>
            <w:noWrap w:val="0"/>
            <w:vAlign w:val="center"/>
          </w:tcPr>
          <w:p w14:paraId="32F6226C">
            <w:pPr>
              <w:spacing w:line="220" w:lineRule="exact"/>
              <w:jc w:val="center"/>
              <w:rPr>
                <w:rFonts w:hint="eastAsia" w:ascii="宋体" w:hAnsi="宋体" w:eastAsia="宋体" w:cs="仿宋_GB2312"/>
                <w:color w:val="auto"/>
                <w:sz w:val="15"/>
                <w:szCs w:val="15"/>
                <w:highlight w:val="none"/>
                <w:lang w:eastAsia="zh"/>
              </w:rPr>
            </w:pPr>
            <w:r>
              <w:rPr>
                <w:rFonts w:hint="eastAsia" w:ascii="宋体" w:hAnsi="宋体" w:cs="仿宋_GB2312"/>
                <w:color w:val="auto"/>
                <w:sz w:val="15"/>
                <w:szCs w:val="15"/>
                <w:highlight w:val="none"/>
                <w:lang w:eastAsia="zh"/>
              </w:rPr>
              <w:t>C4651500</w:t>
            </w:r>
          </w:p>
        </w:tc>
      </w:tr>
      <w:tr w14:paraId="6DEB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65" w:hRule="atLeast"/>
        </w:trPr>
        <w:tc>
          <w:tcPr>
            <w:tcW w:w="714" w:type="dxa"/>
            <w:vMerge w:val="continue"/>
            <w:noWrap w:val="0"/>
            <w:vAlign w:val="center"/>
          </w:tcPr>
          <w:p w14:paraId="3EFF1C53">
            <w:pPr>
              <w:spacing w:line="232" w:lineRule="exact"/>
              <w:jc w:val="center"/>
              <w:rPr>
                <w:rFonts w:hint="eastAsia" w:ascii="宋体" w:hAnsi="宋体" w:eastAsia="宋体" w:cs="仿宋_GB2312"/>
                <w:color w:val="auto"/>
                <w:kern w:val="0"/>
                <w:sz w:val="15"/>
                <w:szCs w:val="15"/>
                <w:highlight w:val="none"/>
              </w:rPr>
            </w:pPr>
          </w:p>
        </w:tc>
        <w:tc>
          <w:tcPr>
            <w:tcW w:w="1626" w:type="dxa"/>
            <w:gridSpan w:val="2"/>
            <w:vMerge w:val="continue"/>
            <w:noWrap w:val="0"/>
            <w:vAlign w:val="center"/>
          </w:tcPr>
          <w:p w14:paraId="20339839">
            <w:pPr>
              <w:spacing w:line="220" w:lineRule="exact"/>
              <w:rPr>
                <w:rFonts w:hint="eastAsia" w:ascii="宋体" w:hAnsi="宋体" w:eastAsia="宋体" w:cs="仿宋_GB2312"/>
                <w:color w:val="auto"/>
                <w:sz w:val="15"/>
                <w:szCs w:val="15"/>
                <w:highlight w:val="none"/>
              </w:rPr>
            </w:pPr>
          </w:p>
        </w:tc>
        <w:tc>
          <w:tcPr>
            <w:tcW w:w="2981" w:type="dxa"/>
            <w:vMerge w:val="continue"/>
            <w:noWrap w:val="0"/>
            <w:vAlign w:val="center"/>
          </w:tcPr>
          <w:p w14:paraId="7E06FD5E">
            <w:pPr>
              <w:spacing w:line="220" w:lineRule="exact"/>
              <w:rPr>
                <w:rFonts w:hint="eastAsia" w:ascii="宋体" w:hAnsi="宋体" w:eastAsia="宋体" w:cs="仿宋_GB2312"/>
                <w:color w:val="auto"/>
                <w:sz w:val="15"/>
                <w:szCs w:val="15"/>
                <w:highlight w:val="none"/>
              </w:rPr>
            </w:pPr>
          </w:p>
        </w:tc>
        <w:tc>
          <w:tcPr>
            <w:tcW w:w="851" w:type="dxa"/>
            <w:noWrap w:val="0"/>
            <w:vAlign w:val="center"/>
          </w:tcPr>
          <w:p w14:paraId="58242E48">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4F519992">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noWrap w:val="0"/>
            <w:vAlign w:val="center"/>
          </w:tcPr>
          <w:p w14:paraId="7CF027CC">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76" w:type="dxa"/>
            <w:noWrap w:val="0"/>
            <w:vAlign w:val="center"/>
          </w:tcPr>
          <w:p w14:paraId="10C0837F">
            <w:pPr>
              <w:spacing w:line="220" w:lineRule="exact"/>
              <w:rPr>
                <w:rFonts w:hint="eastAsia" w:ascii="宋体" w:hAnsi="宋体" w:eastAsia="宋体" w:cs="仿宋_GB2312"/>
                <w:color w:val="auto"/>
                <w:sz w:val="15"/>
                <w:szCs w:val="15"/>
                <w:highlight w:val="none"/>
              </w:rPr>
            </w:pPr>
            <w:r>
              <w:rPr>
                <w:rFonts w:hint="eastAsia" w:ascii="宋体" w:hAnsi="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cs="仿宋_GB2312"/>
                <w:color w:val="auto"/>
                <w:kern w:val="0"/>
                <w:sz w:val="15"/>
                <w:szCs w:val="15"/>
                <w:highlight w:val="none"/>
                <w:lang w:eastAsia="zh-CN"/>
              </w:rPr>
              <w:t>条</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724AC26D">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14:paraId="3972E718">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304" w:type="dxa"/>
            <w:gridSpan w:val="2"/>
            <w:vMerge w:val="continue"/>
            <w:noWrap w:val="0"/>
            <w:vAlign w:val="center"/>
          </w:tcPr>
          <w:p w14:paraId="5AC841A0">
            <w:pPr>
              <w:spacing w:line="220" w:lineRule="exact"/>
              <w:jc w:val="center"/>
              <w:rPr>
                <w:rFonts w:hint="eastAsia" w:ascii="宋体" w:hAnsi="宋体" w:eastAsia="宋体" w:cs="仿宋_GB2312"/>
                <w:color w:val="auto"/>
                <w:sz w:val="15"/>
                <w:szCs w:val="15"/>
                <w:highlight w:val="none"/>
              </w:rPr>
            </w:pPr>
          </w:p>
        </w:tc>
        <w:tc>
          <w:tcPr>
            <w:tcW w:w="1869" w:type="dxa"/>
            <w:vMerge w:val="continue"/>
            <w:noWrap w:val="0"/>
            <w:vAlign w:val="center"/>
          </w:tcPr>
          <w:p w14:paraId="56CD8A35">
            <w:pPr>
              <w:spacing w:line="220" w:lineRule="exact"/>
              <w:jc w:val="center"/>
              <w:rPr>
                <w:rFonts w:hint="eastAsia" w:ascii="宋体" w:hAnsi="宋体" w:eastAsia="宋体" w:cs="仿宋_GB2312"/>
                <w:color w:val="auto"/>
                <w:sz w:val="15"/>
                <w:szCs w:val="15"/>
                <w:highlight w:val="none"/>
                <w:lang w:eastAsia="zh"/>
              </w:rPr>
            </w:pPr>
          </w:p>
        </w:tc>
      </w:tr>
      <w:tr w14:paraId="1BC5C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65" w:hRule="atLeast"/>
        </w:trPr>
        <w:tc>
          <w:tcPr>
            <w:tcW w:w="714" w:type="dxa"/>
            <w:vMerge w:val="restart"/>
            <w:noWrap w:val="0"/>
            <w:vAlign w:val="center"/>
          </w:tcPr>
          <w:p w14:paraId="2C6A2EA8">
            <w:pPr>
              <w:spacing w:line="232"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2</w:t>
            </w:r>
          </w:p>
        </w:tc>
        <w:tc>
          <w:tcPr>
            <w:tcW w:w="1626" w:type="dxa"/>
            <w:gridSpan w:val="2"/>
            <w:vMerge w:val="restart"/>
            <w:noWrap w:val="0"/>
            <w:vAlign w:val="center"/>
          </w:tcPr>
          <w:p w14:paraId="03C71478">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981" w:type="dxa"/>
            <w:vMerge w:val="restart"/>
            <w:noWrap w:val="0"/>
            <w:vAlign w:val="center"/>
          </w:tcPr>
          <w:p w14:paraId="067EAFCF">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cs="仿宋_GB2312"/>
                <w:color w:val="auto"/>
                <w:sz w:val="15"/>
                <w:szCs w:val="15"/>
                <w:highlight w:val="none"/>
                <w:lang w:eastAsia="zh-CN"/>
              </w:rPr>
              <w:t>第</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noWrap w:val="0"/>
            <w:vAlign w:val="center"/>
          </w:tcPr>
          <w:p w14:paraId="5D758A82">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146A7880">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noWrap w:val="0"/>
            <w:vAlign w:val="center"/>
          </w:tcPr>
          <w:p w14:paraId="3B3A6E7C">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76" w:type="dxa"/>
            <w:noWrap w:val="0"/>
            <w:vAlign w:val="center"/>
          </w:tcPr>
          <w:p w14:paraId="47B09C0F">
            <w:pPr>
              <w:spacing w:line="25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w:t>
            </w:r>
            <w:r>
              <w:rPr>
                <w:rFonts w:hint="eastAsia" w:ascii="宋体" w:hAnsi="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r>
              <w:rPr>
                <w:rFonts w:hint="eastAsia" w:ascii="宋体" w:hAnsi="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338ED473">
            <w:pPr>
              <w:spacing w:line="25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14:paraId="7A79819B">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304" w:type="dxa"/>
            <w:gridSpan w:val="2"/>
            <w:vMerge w:val="restart"/>
            <w:noWrap w:val="0"/>
            <w:vAlign w:val="center"/>
          </w:tcPr>
          <w:p w14:paraId="7CE3C464">
            <w:pPr>
              <w:spacing w:line="220" w:lineRule="exact"/>
              <w:jc w:val="center"/>
              <w:rPr>
                <w:rFonts w:hint="eastAsia" w:ascii="宋体" w:hAnsi="宋体" w:eastAsia="宋体" w:cs="仿宋_GB2312"/>
                <w:color w:val="auto"/>
                <w:sz w:val="15"/>
                <w:szCs w:val="15"/>
                <w:highlight w:val="none"/>
                <w:lang w:val="en" w:eastAsia="zh-CN"/>
              </w:rPr>
            </w:pPr>
            <w:r>
              <w:rPr>
                <w:rFonts w:hint="eastAsia" w:ascii="宋体" w:hAnsi="宋体" w:eastAsia="宋体" w:cs="仿宋_GB2312"/>
                <w:color w:val="auto"/>
                <w:sz w:val="15"/>
                <w:szCs w:val="15"/>
                <w:highlight w:val="none"/>
                <w:lang w:val="en" w:eastAsia="zh-CN"/>
              </w:rPr>
              <w:t>街道</w:t>
            </w:r>
          </w:p>
          <w:p w14:paraId="585356EB">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eastAsia="zh-CN"/>
              </w:rPr>
              <w:t>乡镇</w:t>
            </w:r>
          </w:p>
        </w:tc>
        <w:tc>
          <w:tcPr>
            <w:tcW w:w="1869" w:type="dxa"/>
            <w:vMerge w:val="restart"/>
            <w:noWrap w:val="0"/>
            <w:vAlign w:val="center"/>
          </w:tcPr>
          <w:p w14:paraId="666D1FE5">
            <w:pPr>
              <w:spacing w:line="220" w:lineRule="exact"/>
              <w:jc w:val="center"/>
              <w:rPr>
                <w:rFonts w:hint="eastAsia" w:ascii="宋体" w:hAnsi="宋体" w:eastAsia="宋体" w:cs="仿宋_GB2312"/>
                <w:color w:val="auto"/>
                <w:sz w:val="15"/>
                <w:szCs w:val="15"/>
                <w:highlight w:val="none"/>
                <w:lang w:val="en" w:eastAsia="zh"/>
              </w:rPr>
            </w:pPr>
            <w:r>
              <w:rPr>
                <w:rFonts w:hint="eastAsia" w:ascii="宋体" w:hAnsi="宋体" w:cs="仿宋_GB2312"/>
                <w:color w:val="auto"/>
                <w:sz w:val="15"/>
                <w:szCs w:val="15"/>
                <w:highlight w:val="none"/>
                <w:lang w:val="en" w:eastAsia="zh"/>
              </w:rPr>
              <w:t>C4616800</w:t>
            </w:r>
          </w:p>
        </w:tc>
      </w:tr>
      <w:tr w14:paraId="244E1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65" w:hRule="atLeast"/>
        </w:trPr>
        <w:tc>
          <w:tcPr>
            <w:tcW w:w="714" w:type="dxa"/>
            <w:vMerge w:val="continue"/>
            <w:noWrap w:val="0"/>
            <w:vAlign w:val="center"/>
          </w:tcPr>
          <w:p w14:paraId="2191CA6F">
            <w:pPr>
              <w:spacing w:line="232" w:lineRule="exact"/>
              <w:jc w:val="center"/>
              <w:rPr>
                <w:rFonts w:hint="eastAsia" w:ascii="宋体" w:hAnsi="宋体" w:eastAsia="宋体" w:cs="仿宋_GB2312"/>
                <w:color w:val="auto"/>
                <w:kern w:val="0"/>
                <w:sz w:val="15"/>
                <w:szCs w:val="15"/>
                <w:highlight w:val="none"/>
              </w:rPr>
            </w:pPr>
          </w:p>
        </w:tc>
        <w:tc>
          <w:tcPr>
            <w:tcW w:w="1626" w:type="dxa"/>
            <w:gridSpan w:val="2"/>
            <w:vMerge w:val="continue"/>
            <w:noWrap w:val="0"/>
            <w:vAlign w:val="center"/>
          </w:tcPr>
          <w:p w14:paraId="66B8C6E1">
            <w:pPr>
              <w:spacing w:line="220" w:lineRule="exact"/>
              <w:rPr>
                <w:rFonts w:hint="eastAsia" w:ascii="宋体" w:hAnsi="宋体" w:eastAsia="宋体" w:cs="仿宋_GB2312"/>
                <w:color w:val="auto"/>
                <w:sz w:val="15"/>
                <w:szCs w:val="15"/>
                <w:highlight w:val="none"/>
              </w:rPr>
            </w:pPr>
          </w:p>
        </w:tc>
        <w:tc>
          <w:tcPr>
            <w:tcW w:w="2981" w:type="dxa"/>
            <w:vMerge w:val="continue"/>
            <w:noWrap w:val="0"/>
            <w:vAlign w:val="center"/>
          </w:tcPr>
          <w:p w14:paraId="78F8822B">
            <w:pPr>
              <w:spacing w:line="220" w:lineRule="exact"/>
              <w:rPr>
                <w:rFonts w:hint="eastAsia" w:ascii="宋体" w:hAnsi="宋体" w:eastAsia="宋体" w:cs="仿宋_GB2312"/>
                <w:color w:val="auto"/>
                <w:sz w:val="15"/>
                <w:szCs w:val="15"/>
                <w:highlight w:val="none"/>
              </w:rPr>
            </w:pPr>
          </w:p>
        </w:tc>
        <w:tc>
          <w:tcPr>
            <w:tcW w:w="851" w:type="dxa"/>
            <w:noWrap w:val="0"/>
            <w:vAlign w:val="center"/>
          </w:tcPr>
          <w:p w14:paraId="58D918F0">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0EAE7098">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noWrap w:val="0"/>
            <w:vAlign w:val="center"/>
          </w:tcPr>
          <w:p w14:paraId="619346FB">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76" w:type="dxa"/>
            <w:noWrap w:val="0"/>
            <w:vAlign w:val="center"/>
          </w:tcPr>
          <w:p w14:paraId="6466FB54">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w:t>
            </w:r>
            <w:r>
              <w:rPr>
                <w:rFonts w:hint="eastAsia" w:ascii="宋体" w:hAnsi="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r>
              <w:rPr>
                <w:rFonts w:hint="eastAsia" w:ascii="宋体" w:hAnsi="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12C885D0">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14:paraId="0A8D025F">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304" w:type="dxa"/>
            <w:gridSpan w:val="2"/>
            <w:vMerge w:val="continue"/>
            <w:noWrap w:val="0"/>
            <w:vAlign w:val="center"/>
          </w:tcPr>
          <w:p w14:paraId="44600F10">
            <w:pPr>
              <w:spacing w:line="220" w:lineRule="exact"/>
              <w:rPr>
                <w:rFonts w:hint="eastAsia" w:ascii="宋体" w:hAnsi="宋体" w:eastAsia="宋体" w:cs="仿宋_GB2312"/>
                <w:color w:val="auto"/>
                <w:sz w:val="15"/>
                <w:szCs w:val="15"/>
                <w:highlight w:val="none"/>
              </w:rPr>
            </w:pPr>
          </w:p>
        </w:tc>
        <w:tc>
          <w:tcPr>
            <w:tcW w:w="1869" w:type="dxa"/>
            <w:vMerge w:val="continue"/>
            <w:noWrap w:val="0"/>
            <w:vAlign w:val="center"/>
          </w:tcPr>
          <w:p w14:paraId="043731B0">
            <w:pPr>
              <w:spacing w:line="220" w:lineRule="exact"/>
              <w:rPr>
                <w:rFonts w:hint="eastAsia" w:ascii="宋体" w:hAnsi="宋体" w:eastAsia="宋体" w:cs="仿宋_GB2312"/>
                <w:color w:val="auto"/>
                <w:sz w:val="15"/>
                <w:szCs w:val="15"/>
                <w:highlight w:val="none"/>
              </w:rPr>
            </w:pPr>
          </w:p>
        </w:tc>
      </w:tr>
      <w:tr w14:paraId="4103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33" w:hRule="atLeast"/>
        </w:trPr>
        <w:tc>
          <w:tcPr>
            <w:tcW w:w="14587" w:type="dxa"/>
            <w:gridSpan w:val="13"/>
            <w:noWrap w:val="0"/>
            <w:vAlign w:val="center"/>
          </w:tcPr>
          <w:p w14:paraId="35CB380D">
            <w:pPr>
              <w:pStyle w:val="3"/>
              <w:bidi w:val="0"/>
              <w:jc w:val="center"/>
              <w:rPr>
                <w:color w:val="auto"/>
                <w:highlight w:val="none"/>
              </w:rPr>
            </w:pPr>
            <w:bookmarkStart w:id="58" w:name="_Toc584148126"/>
            <w:r>
              <w:rPr>
                <w:rFonts w:hint="eastAsia"/>
                <w:color w:val="auto"/>
                <w:sz w:val="21"/>
                <w:szCs w:val="21"/>
                <w:highlight w:val="none"/>
              </w:rPr>
              <w:t>《城市道路管理条例》《北京市城市道路管理办法》案由16项</w:t>
            </w:r>
            <w:bookmarkEnd w:id="57"/>
            <w:bookmarkEnd w:id="58"/>
          </w:p>
        </w:tc>
        <w:tc>
          <w:tcPr>
            <w:tcW w:w="1869" w:type="dxa"/>
            <w:noWrap w:val="0"/>
            <w:vAlign w:val="center"/>
          </w:tcPr>
          <w:p w14:paraId="1BD8BC0D">
            <w:pPr>
              <w:pStyle w:val="3"/>
              <w:bidi w:val="0"/>
              <w:jc w:val="center"/>
              <w:rPr>
                <w:rFonts w:hint="eastAsia"/>
                <w:color w:val="auto"/>
                <w:sz w:val="21"/>
                <w:szCs w:val="21"/>
                <w:highlight w:val="none"/>
              </w:rPr>
            </w:pPr>
          </w:p>
        </w:tc>
      </w:tr>
      <w:tr w14:paraId="58F3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70" w:hRule="atLeast"/>
        </w:trPr>
        <w:tc>
          <w:tcPr>
            <w:tcW w:w="714" w:type="dxa"/>
            <w:noWrap w:val="0"/>
            <w:vAlign w:val="center"/>
          </w:tcPr>
          <w:p w14:paraId="402AAC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0B4593E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城市道路上设置的检查井、箱盖或者城市道路附属设施发生缺损未及时补缺或者修复</w:t>
            </w:r>
          </w:p>
        </w:tc>
        <w:tc>
          <w:tcPr>
            <w:tcW w:w="2981" w:type="dxa"/>
            <w:noWrap w:val="0"/>
            <w:vAlign w:val="center"/>
          </w:tcPr>
          <w:p w14:paraId="1DF2665D">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违反条款：《条例》第二十三条；</w:t>
            </w:r>
          </w:p>
          <w:p w14:paraId="04865A7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处罚条款：《条例》第四十二条第（一）项 责令限期改正，可以处以2万元以下的罚款。</w:t>
            </w:r>
          </w:p>
        </w:tc>
        <w:tc>
          <w:tcPr>
            <w:tcW w:w="851" w:type="dxa"/>
            <w:noWrap w:val="0"/>
            <w:vAlign w:val="center"/>
          </w:tcPr>
          <w:p w14:paraId="64E1FD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542E70E6">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0CD19B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3E4123CA">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34C2CDF0">
            <w:pPr>
              <w:spacing w:line="220" w:lineRule="exact"/>
              <w:jc w:val="lef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14:paraId="59C87A63">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64E91EAC">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14:paraId="41310419">
            <w:pPr>
              <w:spacing w:line="220" w:lineRule="exact"/>
              <w:jc w:val="center"/>
              <w:rPr>
                <w:rFonts w:hint="eastAsia" w:ascii="宋体" w:hAnsi="宋体" w:cs="宋体"/>
                <w:color w:val="auto"/>
                <w:sz w:val="15"/>
                <w:szCs w:val="15"/>
                <w:highlight w:val="none"/>
                <w:lang w:eastAsia="zh"/>
              </w:rPr>
            </w:pPr>
            <w:r>
              <w:rPr>
                <w:rFonts w:hint="eastAsia" w:ascii="宋体" w:hAnsi="宋体" w:cs="宋体"/>
                <w:color w:val="auto"/>
                <w:sz w:val="15"/>
                <w:szCs w:val="15"/>
                <w:highlight w:val="none"/>
                <w:lang w:eastAsia="zh"/>
              </w:rPr>
              <w:t>C4616000</w:t>
            </w:r>
          </w:p>
        </w:tc>
      </w:tr>
      <w:tr w14:paraId="3716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79" w:hRule="atLeast"/>
        </w:trPr>
        <w:tc>
          <w:tcPr>
            <w:tcW w:w="714" w:type="dxa"/>
            <w:noWrap w:val="0"/>
            <w:vAlign w:val="center"/>
          </w:tcPr>
          <w:p w14:paraId="2D91D39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14:paraId="2FC54E4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擅自占用、挖掘城市道路</w:t>
            </w:r>
          </w:p>
        </w:tc>
        <w:tc>
          <w:tcPr>
            <w:tcW w:w="2981" w:type="dxa"/>
            <w:noWrap w:val="0"/>
            <w:vAlign w:val="center"/>
          </w:tcPr>
          <w:p w14:paraId="68B3B15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违反条款：《条例》第二十七条第（一）项；处罚条款：《条例》第四十二条 责令限期改正，可以处以2万元以下的罚款。</w:t>
            </w:r>
          </w:p>
        </w:tc>
        <w:tc>
          <w:tcPr>
            <w:tcW w:w="851" w:type="dxa"/>
            <w:noWrap w:val="0"/>
            <w:vAlign w:val="center"/>
          </w:tcPr>
          <w:p w14:paraId="0271E9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5000</w:t>
            </w:r>
          </w:p>
        </w:tc>
        <w:tc>
          <w:tcPr>
            <w:tcW w:w="840" w:type="dxa"/>
            <w:noWrap w:val="0"/>
            <w:vAlign w:val="center"/>
          </w:tcPr>
          <w:p w14:paraId="3BE758BA">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17850C7">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2.损毁地下管线或市政设施的，系数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10EC5CBC">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27D10394">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000元以下处罚额度决定的，说明理由，报案审会决定。</w:t>
            </w:r>
          </w:p>
        </w:tc>
        <w:tc>
          <w:tcPr>
            <w:tcW w:w="1304" w:type="dxa"/>
            <w:gridSpan w:val="2"/>
            <w:noWrap w:val="0"/>
            <w:vAlign w:val="center"/>
          </w:tcPr>
          <w:p w14:paraId="619A1764">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4E87901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14:paraId="3CBD5B31">
            <w:pPr>
              <w:spacing w:line="220" w:lineRule="exact"/>
              <w:jc w:val="center"/>
              <w:rPr>
                <w:rFonts w:hint="eastAsia" w:ascii="宋体" w:hAnsi="宋体" w:eastAsia="宋体" w:cs="宋体"/>
                <w:color w:val="auto"/>
                <w:sz w:val="15"/>
                <w:szCs w:val="15"/>
                <w:highlight w:val="none"/>
              </w:rPr>
            </w:pPr>
            <w:r>
              <w:rPr>
                <w:rFonts w:hint="eastAsia" w:ascii="宋体" w:hAnsi="宋体" w:cs="宋体"/>
                <w:color w:val="auto"/>
                <w:sz w:val="15"/>
                <w:szCs w:val="15"/>
                <w:highlight w:val="none"/>
                <w:lang w:eastAsia="zh"/>
              </w:rPr>
              <w:t>C4615400</w:t>
            </w:r>
          </w:p>
        </w:tc>
      </w:tr>
      <w:tr w14:paraId="5576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39" w:hRule="atLeast"/>
        </w:trPr>
        <w:tc>
          <w:tcPr>
            <w:tcW w:w="714" w:type="dxa"/>
            <w:noWrap w:val="0"/>
            <w:vAlign w:val="center"/>
          </w:tcPr>
          <w:p w14:paraId="4A91495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14:paraId="0CF84F0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城市道路养护、维修工程施工现场未设置明显标志和安全防围设施</w:t>
            </w:r>
          </w:p>
        </w:tc>
        <w:tc>
          <w:tcPr>
            <w:tcW w:w="2981" w:type="dxa"/>
            <w:noWrap w:val="0"/>
            <w:vAlign w:val="center"/>
          </w:tcPr>
          <w:p w14:paraId="273EA726">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违反条款：《条例》第二十四条；</w:t>
            </w:r>
          </w:p>
          <w:p w14:paraId="73DA779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处罚条款：《条例》第四十二条第（二）项 责令限期改正，可以处以2万元以下的罚款。</w:t>
            </w:r>
          </w:p>
        </w:tc>
        <w:tc>
          <w:tcPr>
            <w:tcW w:w="851" w:type="dxa"/>
            <w:noWrap w:val="0"/>
            <w:vAlign w:val="center"/>
          </w:tcPr>
          <w:p w14:paraId="5D60D9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60A72764">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92D753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1.违法行为持续2天以上的，含2天，系数1</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spacing w:val="-4"/>
                <w:kern w:val="0"/>
                <w:sz w:val="15"/>
                <w:szCs w:val="15"/>
                <w:highlight w:val="none"/>
              </w:rPr>
              <w:t>2.违法地点位于人口相对集中地区或者交通路口等存在较大安全隐患的情形，系数2</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spacing w:val="-4"/>
                <w:kern w:val="0"/>
                <w:sz w:val="15"/>
                <w:szCs w:val="15"/>
                <w:highlight w:val="none"/>
              </w:rPr>
              <w:t>3.造成行人伤亡或</w:t>
            </w:r>
            <w:r>
              <w:rPr>
                <w:rFonts w:hint="eastAsia" w:ascii="宋体" w:hAnsi="宋体" w:eastAsia="宋体" w:cs="宋体"/>
                <w:color w:val="auto"/>
                <w:spacing w:val="-4"/>
                <w:kern w:val="0"/>
                <w:sz w:val="15"/>
                <w:szCs w:val="15"/>
                <w:highlight w:val="none"/>
                <w:lang w:eastAsia="zh-CN"/>
              </w:rPr>
              <w:t>其他</w:t>
            </w:r>
            <w:r>
              <w:rPr>
                <w:rFonts w:hint="eastAsia" w:ascii="宋体" w:hAnsi="宋体" w:eastAsia="宋体" w:cs="宋体"/>
                <w:color w:val="auto"/>
                <w:spacing w:val="-4"/>
                <w:kern w:val="0"/>
                <w:sz w:val="15"/>
                <w:szCs w:val="15"/>
                <w:highlight w:val="none"/>
              </w:rPr>
              <w:t>严重事故的，系数9。</w:t>
            </w:r>
            <w:r>
              <w:rPr>
                <w:rFonts w:hint="eastAsia" w:ascii="宋体" w:hAnsi="宋体" w:eastAsia="宋体" w:cs="宋体"/>
                <w:color w:val="auto"/>
                <w:spacing w:val="-4"/>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097107E3">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02EC2DB4">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14:paraId="71CE15E3">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5114B09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14:paraId="1975B288">
            <w:pPr>
              <w:spacing w:line="220" w:lineRule="exact"/>
              <w:jc w:val="center"/>
              <w:rPr>
                <w:rFonts w:hint="eastAsia" w:ascii="宋体" w:hAnsi="宋体" w:eastAsia="宋体" w:cs="宋体"/>
                <w:color w:val="auto"/>
                <w:sz w:val="15"/>
                <w:szCs w:val="15"/>
                <w:highlight w:val="none"/>
              </w:rPr>
            </w:pPr>
            <w:r>
              <w:rPr>
                <w:rFonts w:hint="eastAsia" w:ascii="宋体" w:hAnsi="宋体" w:cs="宋体"/>
                <w:color w:val="auto"/>
                <w:sz w:val="15"/>
                <w:szCs w:val="15"/>
                <w:highlight w:val="none"/>
                <w:lang w:eastAsia="zh"/>
              </w:rPr>
              <w:t>C4616100</w:t>
            </w:r>
          </w:p>
        </w:tc>
      </w:tr>
      <w:tr w14:paraId="6C48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68" w:hRule="atLeast"/>
        </w:trPr>
        <w:tc>
          <w:tcPr>
            <w:tcW w:w="714" w:type="dxa"/>
            <w:noWrap w:val="0"/>
            <w:vAlign w:val="center"/>
          </w:tcPr>
          <w:p w14:paraId="6EBBBFA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14:paraId="49948A86">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挖掘城市道路施工现场未设置明显标志和安全防围设施</w:t>
            </w:r>
          </w:p>
        </w:tc>
        <w:tc>
          <w:tcPr>
            <w:tcW w:w="2981" w:type="dxa"/>
            <w:noWrap w:val="0"/>
            <w:vAlign w:val="center"/>
          </w:tcPr>
          <w:p w14:paraId="2E77EA5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w:t>
            </w:r>
          </w:p>
          <w:p w14:paraId="403E1AFB">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处罚条款：《条例》第四十二条第（二）项 责令限期改正，可以处以2万元以下的罚款。</w:t>
            </w:r>
          </w:p>
        </w:tc>
        <w:tc>
          <w:tcPr>
            <w:tcW w:w="851" w:type="dxa"/>
            <w:noWrap w:val="0"/>
            <w:vAlign w:val="center"/>
          </w:tcPr>
          <w:p w14:paraId="7B4669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4B6D85E1">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90EBE4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1.违法行为持续2天以上的，含2天，系数1；2.违法地点位于人口相对集中地区或者交通路口等存在较大安全隐患的情形，系数2；3.造成行人伤亡或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1164B641">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2579A550">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14:paraId="338CBDB3">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476C839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14:paraId="2A1FD36A">
            <w:pPr>
              <w:spacing w:line="232" w:lineRule="exact"/>
              <w:jc w:val="center"/>
              <w:rPr>
                <w:rFonts w:hint="eastAsia" w:ascii="宋体" w:hAnsi="宋体" w:eastAsia="宋体" w:cs="宋体"/>
                <w:color w:val="auto"/>
                <w:sz w:val="15"/>
                <w:szCs w:val="15"/>
                <w:highlight w:val="none"/>
              </w:rPr>
            </w:pPr>
            <w:r>
              <w:rPr>
                <w:rFonts w:hint="eastAsia" w:ascii="宋体" w:hAnsi="宋体" w:cs="宋体"/>
                <w:color w:val="auto"/>
                <w:sz w:val="15"/>
                <w:szCs w:val="15"/>
                <w:highlight w:val="none"/>
                <w:lang w:eastAsia="zh"/>
              </w:rPr>
              <w:t>C4616200</w:t>
            </w:r>
          </w:p>
        </w:tc>
      </w:tr>
      <w:tr w14:paraId="73A7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12" w:hRule="atLeast"/>
        </w:trPr>
        <w:tc>
          <w:tcPr>
            <w:tcW w:w="714" w:type="dxa"/>
            <w:noWrap w:val="0"/>
            <w:vAlign w:val="center"/>
          </w:tcPr>
          <w:p w14:paraId="5ADFF1D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14:paraId="07BF83E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占用城市道路期满未及时清理现场</w:t>
            </w:r>
          </w:p>
        </w:tc>
        <w:tc>
          <w:tcPr>
            <w:tcW w:w="2981" w:type="dxa"/>
            <w:noWrap w:val="0"/>
            <w:vAlign w:val="center"/>
          </w:tcPr>
          <w:p w14:paraId="1F41535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违反条款：《条例》第三十一条第二款；</w:t>
            </w:r>
          </w:p>
          <w:p w14:paraId="7F233A18">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处罚条款：《条例》第四十二条第（三）项 责令限期改正，可以处以2万元以下的罚款。</w:t>
            </w:r>
          </w:p>
        </w:tc>
        <w:tc>
          <w:tcPr>
            <w:tcW w:w="851" w:type="dxa"/>
            <w:noWrap w:val="0"/>
            <w:vAlign w:val="center"/>
          </w:tcPr>
          <w:p w14:paraId="40F747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3C0F929F">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CCC80E7">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 对通行秩序、市容秩序造成较大影响的，系数4；3.造成行人伤亡或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6319F10A">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136B47C7">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14:paraId="55487648">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03CE3732">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14:paraId="3D3702B6">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C4616300</w:t>
            </w:r>
          </w:p>
        </w:tc>
      </w:tr>
      <w:tr w14:paraId="66E6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08" w:hRule="atLeast"/>
        </w:trPr>
        <w:tc>
          <w:tcPr>
            <w:tcW w:w="714" w:type="dxa"/>
            <w:noWrap w:val="0"/>
            <w:vAlign w:val="center"/>
          </w:tcPr>
          <w:p w14:paraId="6EB5BF4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14:paraId="5F01B68E">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挖掘城市道路竣工未及时清理现场</w:t>
            </w:r>
          </w:p>
        </w:tc>
        <w:tc>
          <w:tcPr>
            <w:tcW w:w="2981" w:type="dxa"/>
            <w:noWrap w:val="0"/>
            <w:vAlign w:val="center"/>
          </w:tcPr>
          <w:p w14:paraId="4299CD87">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w:t>
            </w:r>
          </w:p>
          <w:p w14:paraId="1A02E459">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处罚条款：《条例》第四十二条第（三）项 责令限期改正，可以处以2万元以下的罚款。</w:t>
            </w:r>
          </w:p>
        </w:tc>
        <w:tc>
          <w:tcPr>
            <w:tcW w:w="851" w:type="dxa"/>
            <w:noWrap w:val="0"/>
            <w:vAlign w:val="center"/>
          </w:tcPr>
          <w:p w14:paraId="5F1BDD9C">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6CEAC41C">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912C711">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1.违法行为持续2天以上的，含2天，系数1；2.对通行秩序、市容秩序造成较大影响的，系数4；3.造成行人伤亡或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5B26940B">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07E37C63">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14:paraId="584666D9">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31D6F156">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14:paraId="4D6AA068">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C4616400</w:t>
            </w:r>
          </w:p>
        </w:tc>
      </w:tr>
      <w:tr w14:paraId="3F75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76" w:hRule="atLeast"/>
        </w:trPr>
        <w:tc>
          <w:tcPr>
            <w:tcW w:w="714" w:type="dxa"/>
            <w:noWrap w:val="0"/>
            <w:vAlign w:val="center"/>
          </w:tcPr>
          <w:p w14:paraId="09F01B1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14:paraId="719A0870">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紧急抢修埋设在城市道路下的管线，未按照规定补办批准手续</w:t>
            </w:r>
          </w:p>
        </w:tc>
        <w:tc>
          <w:tcPr>
            <w:tcW w:w="2981" w:type="dxa"/>
            <w:noWrap w:val="0"/>
            <w:vAlign w:val="center"/>
          </w:tcPr>
          <w:p w14:paraId="142D521C">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w:t>
            </w:r>
          </w:p>
          <w:p w14:paraId="1A2DB2AE">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处罚条款：《条例》第四十二条第（五）项 责令限期改正，可以处以2万元以下的罚款。</w:t>
            </w:r>
          </w:p>
        </w:tc>
        <w:tc>
          <w:tcPr>
            <w:tcW w:w="851" w:type="dxa"/>
            <w:noWrap w:val="0"/>
            <w:vAlign w:val="center"/>
          </w:tcPr>
          <w:p w14:paraId="4ACBCCB6">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5866CF3B">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222BC4F">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应在24小时内申请补办，逾期未申请补办的</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1天的，系数1；逾期2天的，系数2；逾期3天的，系数3；逾期4天的，系数4；逾期5天的，系数5；以此类推，逾期9天及以上的，系数9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70929E85">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601FE16C">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14:paraId="6C2E1B53">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3ECC8106">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14:paraId="6B1A5440">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C4616600</w:t>
            </w:r>
          </w:p>
        </w:tc>
      </w:tr>
      <w:tr w14:paraId="1587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45" w:hRule="atLeast"/>
        </w:trPr>
        <w:tc>
          <w:tcPr>
            <w:tcW w:w="714" w:type="dxa"/>
            <w:noWrap w:val="0"/>
            <w:vAlign w:val="center"/>
          </w:tcPr>
          <w:p w14:paraId="18499D1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14:paraId="0F4DFE7F">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未按照批准的要求占用或者挖掘城市道路</w:t>
            </w:r>
          </w:p>
        </w:tc>
        <w:tc>
          <w:tcPr>
            <w:tcW w:w="2981" w:type="dxa"/>
            <w:noWrap w:val="0"/>
            <w:vAlign w:val="center"/>
          </w:tcPr>
          <w:p w14:paraId="456198CE">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违反条款：《条例》第三十六条；</w:t>
            </w:r>
          </w:p>
          <w:p w14:paraId="59F87307">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处罚条款：《条例》第四十二条第（六）项 责令限期改正，可以处以2万元以下的罚款。</w:t>
            </w:r>
          </w:p>
        </w:tc>
        <w:tc>
          <w:tcPr>
            <w:tcW w:w="851" w:type="dxa"/>
            <w:noWrap w:val="0"/>
            <w:vAlign w:val="center"/>
          </w:tcPr>
          <w:p w14:paraId="6523B0EB">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0E0373AD">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0530E90">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2.损毁地下管线或市政设施的，系数9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2CDB7D23">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266E3562">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14:paraId="7046769B">
            <w:pPr>
              <w:spacing w:line="25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115BEDD1">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14:paraId="65D64B37">
            <w:pPr>
              <w:spacing w:line="25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C4616700</w:t>
            </w:r>
          </w:p>
        </w:tc>
      </w:tr>
      <w:tr w14:paraId="5CCC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63" w:hRule="atLeast"/>
        </w:trPr>
        <w:tc>
          <w:tcPr>
            <w:tcW w:w="714" w:type="dxa"/>
            <w:noWrap w:val="0"/>
            <w:vAlign w:val="center"/>
          </w:tcPr>
          <w:p w14:paraId="2B4192F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14:paraId="593A725D">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履带车、铁轮车或者超重、超高、超长车辆未按规定在城市道路上行驶</w:t>
            </w:r>
          </w:p>
        </w:tc>
        <w:tc>
          <w:tcPr>
            <w:tcW w:w="2981" w:type="dxa"/>
            <w:noWrap w:val="0"/>
            <w:vAlign w:val="center"/>
          </w:tcPr>
          <w:p w14:paraId="29B75F73">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违反条款：《条例》第二十七条第（二）项；处罚条款：《条例》第四十二条：责令限期改正，可以处以2万元以下的罚款。</w:t>
            </w:r>
          </w:p>
        </w:tc>
        <w:tc>
          <w:tcPr>
            <w:tcW w:w="851" w:type="dxa"/>
            <w:noWrap w:val="0"/>
            <w:vAlign w:val="center"/>
          </w:tcPr>
          <w:p w14:paraId="740DA57E">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435D855B">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3BB21ED">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1.对城市道路造成较大损害的，或者对通行秩序、市容秩序造成较大影响的，系数4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0DD46008">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046767AD">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14:paraId="190F279E">
            <w:pPr>
              <w:spacing w:line="25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区级</w:t>
            </w:r>
          </w:p>
        </w:tc>
        <w:tc>
          <w:tcPr>
            <w:tcW w:w="1869" w:type="dxa"/>
            <w:noWrap w:val="0"/>
            <w:vAlign w:val="center"/>
          </w:tcPr>
          <w:p w14:paraId="2B836C3F">
            <w:pPr>
              <w:spacing w:line="250" w:lineRule="exact"/>
              <w:jc w:val="center"/>
              <w:rPr>
                <w:rFonts w:hint="eastAsia" w:ascii="宋体" w:hAnsi="宋体" w:eastAsia="宋体" w:cs="宋体"/>
                <w:color w:val="auto"/>
                <w:kern w:val="0"/>
                <w:sz w:val="15"/>
                <w:szCs w:val="15"/>
                <w:highlight w:val="none"/>
                <w:lang w:val="en-US" w:eastAsia="zh"/>
              </w:rPr>
            </w:pPr>
            <w:r>
              <w:rPr>
                <w:rFonts w:hint="eastAsia" w:ascii="宋体" w:hAnsi="宋体" w:cs="宋体"/>
                <w:color w:val="auto"/>
                <w:kern w:val="0"/>
                <w:sz w:val="15"/>
                <w:szCs w:val="15"/>
                <w:highlight w:val="none"/>
                <w:lang w:val="en-US" w:eastAsia="zh"/>
              </w:rPr>
              <w:t>C4615500</w:t>
            </w:r>
          </w:p>
        </w:tc>
      </w:tr>
      <w:tr w14:paraId="76928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69" w:hRule="atLeast"/>
        </w:trPr>
        <w:tc>
          <w:tcPr>
            <w:tcW w:w="714" w:type="dxa"/>
            <w:noWrap w:val="0"/>
            <w:vAlign w:val="center"/>
          </w:tcPr>
          <w:p w14:paraId="02BE3FE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14:paraId="23E7027D">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机动车在桥梁或者非指定的城市道路上试刹车</w:t>
            </w:r>
          </w:p>
        </w:tc>
        <w:tc>
          <w:tcPr>
            <w:tcW w:w="2981" w:type="dxa"/>
            <w:noWrap w:val="0"/>
            <w:vAlign w:val="center"/>
          </w:tcPr>
          <w:p w14:paraId="00F004DF">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违反条款：《条例》第二十七条第（三）项。处罚条款：《条例》第四十二条：责令限期改正，可以处以2万元以下的罚款。</w:t>
            </w:r>
          </w:p>
        </w:tc>
        <w:tc>
          <w:tcPr>
            <w:tcW w:w="851" w:type="dxa"/>
            <w:noWrap w:val="0"/>
            <w:vAlign w:val="center"/>
          </w:tcPr>
          <w:p w14:paraId="4D12CB28">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0F4DC8B6">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8A4DA1F">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1.对城市道路造成较大损害的，或者对通行秩序、市容秩序造成较大影响的，系数4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0FADA7CC">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547C84B9">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14:paraId="706CC8E6">
            <w:pPr>
              <w:spacing w:line="25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638C0AD2">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14:paraId="28BF6DD1">
            <w:pPr>
              <w:spacing w:line="25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C4615600</w:t>
            </w:r>
          </w:p>
        </w:tc>
      </w:tr>
      <w:tr w14:paraId="0DF76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90" w:hRule="atLeast"/>
        </w:trPr>
        <w:tc>
          <w:tcPr>
            <w:tcW w:w="714" w:type="dxa"/>
            <w:noWrap w:val="0"/>
            <w:vAlign w:val="center"/>
          </w:tcPr>
          <w:p w14:paraId="17C5E8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14:paraId="354BD2D7">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擅自在城市道路上建设建筑物、搭建构筑物</w:t>
            </w:r>
          </w:p>
        </w:tc>
        <w:tc>
          <w:tcPr>
            <w:tcW w:w="2981" w:type="dxa"/>
            <w:noWrap w:val="0"/>
            <w:vAlign w:val="center"/>
          </w:tcPr>
          <w:p w14:paraId="30A7F8F5">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违反条款：《条例》第二十七条第（四）项；处罚条款：《条例》第四十二条：责令限期改正，可以处以2万元以下的罚款。</w:t>
            </w:r>
          </w:p>
        </w:tc>
        <w:tc>
          <w:tcPr>
            <w:tcW w:w="851" w:type="dxa"/>
            <w:noWrap w:val="0"/>
            <w:vAlign w:val="center"/>
          </w:tcPr>
          <w:p w14:paraId="2FCDD20C">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5EE42752">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1953289">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49592DF3">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55E327A5">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14:paraId="39DBAD04">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6FFECC91">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14:paraId="72098915">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C4615700</w:t>
            </w:r>
          </w:p>
        </w:tc>
      </w:tr>
      <w:tr w14:paraId="198CD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19" w:hRule="atLeast"/>
        </w:trPr>
        <w:tc>
          <w:tcPr>
            <w:tcW w:w="714" w:type="dxa"/>
            <w:noWrap w:val="0"/>
            <w:vAlign w:val="center"/>
          </w:tcPr>
          <w:p w14:paraId="2DE6DC8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14:paraId="19C19716">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在桥梁上架设压力在4公斤/平方厘米（0.4兆帕）以上的煤气管道、10千伏以上的高压电线和</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易燃易爆管线</w:t>
            </w:r>
          </w:p>
        </w:tc>
        <w:tc>
          <w:tcPr>
            <w:tcW w:w="2981" w:type="dxa"/>
            <w:noWrap w:val="0"/>
            <w:vAlign w:val="center"/>
          </w:tcPr>
          <w:p w14:paraId="27EB559B">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违反条款：《条例》第二十七条第（五）项；处罚条款：《条例》第四十二条 责令限期改正，可以处以2万元以下的罚款。</w:t>
            </w:r>
          </w:p>
        </w:tc>
        <w:tc>
          <w:tcPr>
            <w:tcW w:w="851" w:type="dxa"/>
            <w:noWrap w:val="0"/>
            <w:vAlign w:val="center"/>
          </w:tcPr>
          <w:p w14:paraId="095FAE85">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7ED07429">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B2D967A">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1.造成人员伤亡或者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严重事故的，系数3；2.对桥梁造成损害影响使用的，系数3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218E6052">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66BC24F6">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需要做出</w:t>
            </w:r>
            <w:r>
              <w:rPr>
                <w:rFonts w:hint="default" w:ascii="宋体" w:hAnsi="宋体" w:eastAsia="宋体" w:cs="宋体"/>
                <w:color w:val="auto"/>
                <w:kern w:val="0"/>
                <w:sz w:val="15"/>
                <w:szCs w:val="15"/>
                <w:highlight w:val="none"/>
                <w:lang w:val="en-US"/>
              </w:rPr>
              <w:t>5</w:t>
            </w:r>
            <w:r>
              <w:rPr>
                <w:rFonts w:hint="eastAsia" w:ascii="宋体" w:hAnsi="宋体" w:eastAsia="宋体" w:cs="宋体"/>
                <w:color w:val="auto"/>
                <w:kern w:val="0"/>
                <w:sz w:val="15"/>
                <w:szCs w:val="15"/>
                <w:highlight w:val="none"/>
              </w:rPr>
              <w:t>000元以下处罚额度决定的，说明理由，报案审会决定。</w:t>
            </w:r>
          </w:p>
        </w:tc>
        <w:tc>
          <w:tcPr>
            <w:tcW w:w="1304" w:type="dxa"/>
            <w:gridSpan w:val="2"/>
            <w:noWrap w:val="0"/>
            <w:vAlign w:val="center"/>
          </w:tcPr>
          <w:p w14:paraId="0E1E3E97">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sz w:val="15"/>
                <w:szCs w:val="15"/>
                <w:highlight w:val="none"/>
                <w:lang w:eastAsia="zh-CN"/>
              </w:rPr>
              <w:t>区级</w:t>
            </w:r>
          </w:p>
        </w:tc>
        <w:tc>
          <w:tcPr>
            <w:tcW w:w="1869" w:type="dxa"/>
            <w:noWrap w:val="0"/>
            <w:vAlign w:val="center"/>
          </w:tcPr>
          <w:p w14:paraId="29993A53">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C4615800</w:t>
            </w:r>
          </w:p>
        </w:tc>
      </w:tr>
      <w:tr w14:paraId="21336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23" w:hRule="atLeast"/>
        </w:trPr>
        <w:tc>
          <w:tcPr>
            <w:tcW w:w="714" w:type="dxa"/>
            <w:noWrap w:val="0"/>
            <w:vAlign w:val="center"/>
          </w:tcPr>
          <w:p w14:paraId="79A740B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14:paraId="190A5E11">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擅自在桥梁或者路灯设施上设置广告牌或者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挂浮物</w:t>
            </w:r>
          </w:p>
        </w:tc>
        <w:tc>
          <w:tcPr>
            <w:tcW w:w="2981" w:type="dxa"/>
            <w:noWrap w:val="0"/>
            <w:vAlign w:val="center"/>
          </w:tcPr>
          <w:p w14:paraId="23D114D9">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违反条款：《条例》第二十七条第（六）项；处罚条款：《条例》第四十二条 责令限期改正，可以处以2万元以下的罚款。</w:t>
            </w:r>
          </w:p>
        </w:tc>
        <w:tc>
          <w:tcPr>
            <w:tcW w:w="851" w:type="dxa"/>
            <w:noWrap w:val="0"/>
            <w:vAlign w:val="center"/>
          </w:tcPr>
          <w:p w14:paraId="0F9EC71C">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5A441AAB">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E0AE825">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严重事故的，系数9；3.对桥梁、路灯设施造成损坏影响使用的，系数9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6CA64E8E">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058840A1">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14:paraId="7BA22290">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2FD48600">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14:paraId="7EA4CA43">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C4615900</w:t>
            </w:r>
          </w:p>
        </w:tc>
      </w:tr>
      <w:tr w14:paraId="5A002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08" w:hRule="atLeast"/>
        </w:trPr>
        <w:tc>
          <w:tcPr>
            <w:tcW w:w="714" w:type="dxa"/>
            <w:noWrap w:val="0"/>
            <w:vAlign w:val="center"/>
          </w:tcPr>
          <w:p w14:paraId="0D09B192">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14</w:t>
            </w:r>
          </w:p>
        </w:tc>
        <w:tc>
          <w:tcPr>
            <w:tcW w:w="1626" w:type="dxa"/>
            <w:gridSpan w:val="2"/>
            <w:noWrap w:val="0"/>
            <w:vAlign w:val="center"/>
          </w:tcPr>
          <w:p w14:paraId="53401811">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擅自依附城市道路、桥梁设置各种管线、杆线等设施</w:t>
            </w:r>
          </w:p>
        </w:tc>
        <w:tc>
          <w:tcPr>
            <w:tcW w:w="2981" w:type="dxa"/>
            <w:noWrap w:val="0"/>
            <w:vAlign w:val="center"/>
          </w:tcPr>
          <w:p w14:paraId="0337D0CC">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违反条款：《条例》第二十九条；处罚条款：《条例》第四十二条第（四）项 责令限期改正，可以处以2万元以下的罚款。</w:t>
            </w:r>
          </w:p>
        </w:tc>
        <w:tc>
          <w:tcPr>
            <w:tcW w:w="851" w:type="dxa"/>
            <w:noWrap w:val="0"/>
            <w:vAlign w:val="center"/>
          </w:tcPr>
          <w:p w14:paraId="583698B3">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08CF9DF9">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1321CB9">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1.影响交通通行，或者造成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安全隐患的，系数4；2.造成行人伤亡或者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p>
          <w:p w14:paraId="00AEE095">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3.对桥梁造成损害影响使用的，系数9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0B240A46">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457E5521">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14:paraId="195667A0">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sz w:val="15"/>
                <w:szCs w:val="15"/>
                <w:highlight w:val="none"/>
                <w:lang w:eastAsia="zh-CN"/>
              </w:rPr>
              <w:t>区级</w:t>
            </w:r>
          </w:p>
        </w:tc>
        <w:tc>
          <w:tcPr>
            <w:tcW w:w="1869" w:type="dxa"/>
            <w:noWrap w:val="0"/>
            <w:vAlign w:val="center"/>
          </w:tcPr>
          <w:p w14:paraId="79611B10">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C4616500</w:t>
            </w:r>
          </w:p>
        </w:tc>
      </w:tr>
      <w:tr w14:paraId="74FF9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57" w:hRule="atLeast"/>
        </w:trPr>
        <w:tc>
          <w:tcPr>
            <w:tcW w:w="714" w:type="dxa"/>
            <w:noWrap w:val="0"/>
            <w:vAlign w:val="center"/>
          </w:tcPr>
          <w:p w14:paraId="6D090C6D">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15</w:t>
            </w:r>
          </w:p>
        </w:tc>
        <w:tc>
          <w:tcPr>
            <w:tcW w:w="1626" w:type="dxa"/>
            <w:gridSpan w:val="2"/>
            <w:noWrap w:val="0"/>
            <w:vAlign w:val="center"/>
          </w:tcPr>
          <w:p w14:paraId="15191012">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擅自拆改、移动城市道路设施或者设置障碍物</w:t>
            </w:r>
          </w:p>
        </w:tc>
        <w:tc>
          <w:tcPr>
            <w:tcW w:w="2981" w:type="dxa"/>
            <w:noWrap w:val="0"/>
            <w:vAlign w:val="center"/>
          </w:tcPr>
          <w:p w14:paraId="45C935DF">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noWrap w:val="0"/>
            <w:vAlign w:val="center"/>
          </w:tcPr>
          <w:p w14:paraId="40E25C05">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2081516A">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0384E53">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3DF16C94">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458CD878">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14:paraId="6381D45C">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5B9E13A1">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14:paraId="35BF60C6">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C4616900</w:t>
            </w:r>
          </w:p>
        </w:tc>
      </w:tr>
      <w:tr w14:paraId="4FC5F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16" w:hRule="atLeast"/>
        </w:trPr>
        <w:tc>
          <w:tcPr>
            <w:tcW w:w="714" w:type="dxa"/>
            <w:noWrap w:val="0"/>
            <w:vAlign w:val="center"/>
          </w:tcPr>
          <w:p w14:paraId="4616C303">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16</w:t>
            </w:r>
          </w:p>
        </w:tc>
        <w:tc>
          <w:tcPr>
            <w:tcW w:w="1626" w:type="dxa"/>
            <w:gridSpan w:val="2"/>
            <w:noWrap w:val="0"/>
            <w:vAlign w:val="center"/>
          </w:tcPr>
          <w:p w14:paraId="62FC0283">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利用城市桥梁进行牵拉、吊装等施工作业</w:t>
            </w:r>
          </w:p>
        </w:tc>
        <w:tc>
          <w:tcPr>
            <w:tcW w:w="2981" w:type="dxa"/>
            <w:noWrap w:val="0"/>
            <w:vAlign w:val="center"/>
          </w:tcPr>
          <w:p w14:paraId="6F0936D2">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noWrap w:val="0"/>
            <w:vAlign w:val="center"/>
          </w:tcPr>
          <w:p w14:paraId="3695DED1">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07D65836">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24E5D24">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严重事故的，系数9；3.对桥梁造成损害影响使用的，系数9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76EE110B">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w:t>
            </w:r>
          </w:p>
        </w:tc>
        <w:tc>
          <w:tcPr>
            <w:tcW w:w="2020" w:type="dxa"/>
            <w:gridSpan w:val="2"/>
            <w:noWrap w:val="0"/>
            <w:vAlign w:val="center"/>
          </w:tcPr>
          <w:p w14:paraId="5D5BF468">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14:paraId="593CF32E">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2D3680C6">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14:paraId="3C3BA7BB">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C4617000</w:t>
            </w:r>
          </w:p>
        </w:tc>
      </w:tr>
      <w:tr w14:paraId="3CBC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33" w:hRule="atLeast"/>
        </w:trPr>
        <w:tc>
          <w:tcPr>
            <w:tcW w:w="14587" w:type="dxa"/>
            <w:gridSpan w:val="13"/>
            <w:noWrap w:val="0"/>
            <w:vAlign w:val="center"/>
          </w:tcPr>
          <w:p w14:paraId="3B3EDCA2">
            <w:pPr>
              <w:pStyle w:val="3"/>
              <w:widowControl w:val="0"/>
              <w:spacing w:line="232" w:lineRule="exact"/>
              <w:jc w:val="center"/>
              <w:rPr>
                <w:rFonts w:ascii="宋体" w:hAnsi="宋体" w:eastAsia="宋体"/>
                <w:color w:val="auto"/>
                <w:sz w:val="15"/>
                <w:szCs w:val="15"/>
                <w:highlight w:val="none"/>
              </w:rPr>
            </w:pPr>
            <w:bookmarkStart w:id="59" w:name="_Toc1871081357"/>
            <w:bookmarkStart w:id="60" w:name="_Toc1973624040"/>
            <w:bookmarkStart w:id="61" w:name="_Toc110851455"/>
            <w:r>
              <w:rPr>
                <w:rFonts w:hint="eastAsia" w:ascii="宋体" w:hAnsi="宋体" w:eastAsia="宋体"/>
                <w:color w:val="auto"/>
                <w:sz w:val="21"/>
                <w:szCs w:val="21"/>
                <w:highlight w:val="none"/>
              </w:rPr>
              <w:t>《北京市地下设施检查井井盖管理规定》案由5项</w:t>
            </w:r>
            <w:bookmarkEnd w:id="59"/>
            <w:bookmarkEnd w:id="60"/>
            <w:bookmarkEnd w:id="61"/>
          </w:p>
        </w:tc>
        <w:tc>
          <w:tcPr>
            <w:tcW w:w="1869" w:type="dxa"/>
            <w:noWrap w:val="0"/>
            <w:vAlign w:val="center"/>
          </w:tcPr>
          <w:p w14:paraId="2478BFA1">
            <w:pPr>
              <w:pStyle w:val="3"/>
              <w:widowControl w:val="0"/>
              <w:spacing w:line="232" w:lineRule="exact"/>
              <w:jc w:val="center"/>
              <w:rPr>
                <w:rFonts w:hint="eastAsia" w:ascii="宋体" w:hAnsi="宋体" w:eastAsia="宋体"/>
                <w:color w:val="auto"/>
                <w:sz w:val="21"/>
                <w:szCs w:val="21"/>
                <w:highlight w:val="none"/>
              </w:rPr>
            </w:pPr>
          </w:p>
        </w:tc>
      </w:tr>
      <w:tr w14:paraId="75192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61" w:hRule="atLeast"/>
        </w:trPr>
        <w:tc>
          <w:tcPr>
            <w:tcW w:w="714" w:type="dxa"/>
            <w:noWrap w:val="0"/>
            <w:vAlign w:val="center"/>
          </w:tcPr>
          <w:p w14:paraId="20F9A73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0D4DC1E9">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井盖管理单位未建立管理制度</w:t>
            </w:r>
          </w:p>
        </w:tc>
        <w:tc>
          <w:tcPr>
            <w:tcW w:w="2981" w:type="dxa"/>
            <w:noWrap w:val="0"/>
            <w:vAlign w:val="center"/>
          </w:tcPr>
          <w:p w14:paraId="235186B6">
            <w:pPr>
              <w:spacing w:line="22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违反条款：第九条第一款；处罚条款：第十一条第一款，责令限期改正，并可处200元以上2000元以下罚款。</w:t>
            </w:r>
          </w:p>
        </w:tc>
        <w:tc>
          <w:tcPr>
            <w:tcW w:w="851" w:type="dxa"/>
            <w:noWrap w:val="0"/>
            <w:vAlign w:val="center"/>
          </w:tcPr>
          <w:p w14:paraId="514D4C21">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34E30738">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94BEB4D">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16FF9337">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1FA06504">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需要给予1000元以下处罚的，报案审会决定。</w:t>
            </w:r>
          </w:p>
        </w:tc>
        <w:tc>
          <w:tcPr>
            <w:tcW w:w="1304" w:type="dxa"/>
            <w:gridSpan w:val="2"/>
            <w:noWrap w:val="0"/>
            <w:vAlign w:val="center"/>
          </w:tcPr>
          <w:p w14:paraId="732B9680">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077D9719">
            <w:pPr>
              <w:spacing w:line="220" w:lineRule="exact"/>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14:paraId="6358A48F">
            <w:pPr>
              <w:spacing w:line="22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C4617100</w:t>
            </w:r>
          </w:p>
        </w:tc>
      </w:tr>
      <w:tr w14:paraId="2594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973" w:hRule="atLeast"/>
        </w:trPr>
        <w:tc>
          <w:tcPr>
            <w:tcW w:w="714" w:type="dxa"/>
            <w:noWrap w:val="0"/>
            <w:vAlign w:val="center"/>
          </w:tcPr>
          <w:p w14:paraId="6D3E35C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14:paraId="529C29E5">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未及时补装、维修或更换井盖</w:t>
            </w:r>
          </w:p>
        </w:tc>
        <w:tc>
          <w:tcPr>
            <w:tcW w:w="2981" w:type="dxa"/>
            <w:noWrap w:val="0"/>
            <w:vAlign w:val="center"/>
          </w:tcPr>
          <w:p w14:paraId="675CDB5C">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违反条款：第九条第二款；处罚条款：第十一条第一款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责令限期改正，并可处200元以上2000元以下罚款。</w:t>
            </w:r>
          </w:p>
        </w:tc>
        <w:tc>
          <w:tcPr>
            <w:tcW w:w="851" w:type="dxa"/>
            <w:noWrap w:val="0"/>
            <w:vAlign w:val="center"/>
          </w:tcPr>
          <w:p w14:paraId="56519516">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28AC709D">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09E3CBD">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井盖、雨箅所有权人或者维护管理单位接到维修通知后：1.未立即采取临时防护措施的，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1；2.未在规定时间（城市主要道路、公共场所和居民居住区等地区4小时内，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地区12小时内）内修复的，延后1小时，系数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；延后2小时，系数</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；延后3小时，系数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4小时，系数4；延后5小时，系数5；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9小时及以上的，系数9</w:t>
            </w:r>
            <w:r>
              <w:rPr>
                <w:rFonts w:hint="eastAsia" w:ascii="宋体" w:hAnsi="宋体" w:eastAsia="宋体" w:cs="宋体"/>
                <w:color w:val="auto"/>
                <w:kern w:val="0"/>
                <w:sz w:val="15"/>
                <w:szCs w:val="15"/>
                <w:highlight w:val="none"/>
              </w:rPr>
              <w:t>。3.因未及时补装、维修或更换，致人伤亡或车辆损毁等严重事故的，系数9。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04787097">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6ADB0A83">
            <w:pPr>
              <w:spacing w:line="220" w:lineRule="exact"/>
              <w:rPr>
                <w:rFonts w:ascii="宋体" w:hAnsi="宋体" w:eastAsia="宋体" w:cs="宋体"/>
                <w:color w:val="auto"/>
                <w:kern w:val="0"/>
                <w:sz w:val="15"/>
                <w:szCs w:val="15"/>
                <w:highlight w:val="none"/>
              </w:rPr>
            </w:pPr>
          </w:p>
        </w:tc>
        <w:tc>
          <w:tcPr>
            <w:tcW w:w="1304" w:type="dxa"/>
            <w:gridSpan w:val="2"/>
            <w:noWrap w:val="0"/>
            <w:vAlign w:val="center"/>
          </w:tcPr>
          <w:p w14:paraId="39554B0C">
            <w:pPr>
              <w:spacing w:line="22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1D172FF8">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14:paraId="464CF4A0">
            <w:pPr>
              <w:spacing w:line="22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C4617200</w:t>
            </w:r>
          </w:p>
        </w:tc>
      </w:tr>
      <w:tr w14:paraId="06222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861" w:hRule="atLeast"/>
        </w:trPr>
        <w:tc>
          <w:tcPr>
            <w:tcW w:w="714" w:type="dxa"/>
            <w:noWrap w:val="0"/>
            <w:vAlign w:val="center"/>
          </w:tcPr>
          <w:p w14:paraId="28D7665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14:paraId="216DF28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擅自移动井盖</w:t>
            </w:r>
          </w:p>
        </w:tc>
        <w:tc>
          <w:tcPr>
            <w:tcW w:w="2981" w:type="dxa"/>
            <w:noWrap w:val="0"/>
            <w:vAlign w:val="center"/>
          </w:tcPr>
          <w:p w14:paraId="0A90333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违反条款：第十条第一款；</w:t>
            </w:r>
          </w:p>
          <w:p w14:paraId="222EB91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处罚条款：第十一条第一款：责令限期改正，并可处200元以上2000元以下罚款。</w:t>
            </w:r>
          </w:p>
        </w:tc>
        <w:tc>
          <w:tcPr>
            <w:tcW w:w="851" w:type="dxa"/>
            <w:noWrap w:val="0"/>
            <w:vAlign w:val="center"/>
          </w:tcPr>
          <w:p w14:paraId="5857AC4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586F75E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7FEA40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擅自移动车站、机场、居民小区、医院、学校、体育场馆、影剧院、繁华商业街区、旅游景区等人口集中地区井盖的，系数4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5AA225C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46F228E3">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2A659365">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p>
          <w:p w14:paraId="649271AB">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7A681638">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41F463E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14:paraId="4878581B">
            <w:pPr>
              <w:spacing w:line="232"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C4617300</w:t>
            </w:r>
          </w:p>
        </w:tc>
      </w:tr>
      <w:tr w14:paraId="09AE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87" w:hRule="atLeast"/>
        </w:trPr>
        <w:tc>
          <w:tcPr>
            <w:tcW w:w="714" w:type="dxa"/>
            <w:noWrap w:val="0"/>
            <w:vAlign w:val="center"/>
          </w:tcPr>
          <w:p w14:paraId="09716FA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14:paraId="134DC89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井盖作业未采取安全措施</w:t>
            </w:r>
          </w:p>
        </w:tc>
        <w:tc>
          <w:tcPr>
            <w:tcW w:w="2981" w:type="dxa"/>
            <w:noWrap w:val="0"/>
            <w:vAlign w:val="center"/>
          </w:tcPr>
          <w:p w14:paraId="3230E57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14:paraId="3D901E9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 责令限期改正，并可处200元以上2000元以下罚款。</w:t>
            </w:r>
          </w:p>
        </w:tc>
        <w:tc>
          <w:tcPr>
            <w:tcW w:w="851" w:type="dxa"/>
            <w:noWrap w:val="0"/>
            <w:vAlign w:val="center"/>
          </w:tcPr>
          <w:p w14:paraId="5A6FA8B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04107EC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542A58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1.车站、机场、居民小区、医院、学校、体育场馆、影剧院、繁华商业街区、旅游景区等人口集中地区范围内的，系数4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37CFB3B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1EEABADF">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0EDB5E92">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4F28E119">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35DD60B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14:paraId="5793932C">
            <w:pPr>
              <w:spacing w:line="232"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C4617400</w:t>
            </w:r>
          </w:p>
        </w:tc>
      </w:tr>
      <w:tr w14:paraId="0DB5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857" w:hRule="atLeast"/>
        </w:trPr>
        <w:tc>
          <w:tcPr>
            <w:tcW w:w="714" w:type="dxa"/>
            <w:noWrap w:val="0"/>
            <w:vAlign w:val="center"/>
          </w:tcPr>
          <w:p w14:paraId="5AE6444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14:paraId="79C9D5D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井盖作业完毕未及时清理现场、恢复原状</w:t>
            </w:r>
          </w:p>
        </w:tc>
        <w:tc>
          <w:tcPr>
            <w:tcW w:w="2981" w:type="dxa"/>
            <w:noWrap w:val="0"/>
            <w:vAlign w:val="center"/>
          </w:tcPr>
          <w:p w14:paraId="27EB3B1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14:paraId="68802A5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 责令限期改正，并可处200元以上2000元以下罚款。</w:t>
            </w:r>
          </w:p>
        </w:tc>
        <w:tc>
          <w:tcPr>
            <w:tcW w:w="851" w:type="dxa"/>
            <w:noWrap w:val="0"/>
            <w:vAlign w:val="center"/>
          </w:tcPr>
          <w:p w14:paraId="0C29C6D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2B2BFC7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529E08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车站、机场、居民小区、医院、学校、体育场馆、影剧院、繁华商业街区、旅游景区等人口集中地区范围内的，系数4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4F5BF74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16526F1F">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54D60322">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00A3F21E">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43889C8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14:paraId="41EBA60B">
            <w:pPr>
              <w:spacing w:line="232"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C4617500</w:t>
            </w:r>
          </w:p>
        </w:tc>
      </w:tr>
      <w:tr w14:paraId="63A6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65" w:hRule="atLeast"/>
        </w:trPr>
        <w:tc>
          <w:tcPr>
            <w:tcW w:w="14587" w:type="dxa"/>
            <w:gridSpan w:val="13"/>
            <w:noWrap w:val="0"/>
            <w:vAlign w:val="center"/>
          </w:tcPr>
          <w:p w14:paraId="1E49EB98">
            <w:pPr>
              <w:pStyle w:val="2"/>
              <w:keepNext w:val="0"/>
              <w:keepLines w:val="0"/>
              <w:rPr>
                <w:rFonts w:ascii="黑体" w:hAnsi="黑体" w:eastAsia="黑体"/>
                <w:b w:val="0"/>
                <w:color w:val="auto"/>
                <w:sz w:val="24"/>
                <w:szCs w:val="24"/>
                <w:highlight w:val="none"/>
              </w:rPr>
            </w:pPr>
            <w:bookmarkStart w:id="62" w:name="_Toc110851456"/>
            <w:bookmarkStart w:id="63" w:name="_Toc1693504403"/>
            <w:bookmarkStart w:id="64" w:name="_Toc603539653"/>
            <w:r>
              <w:rPr>
                <w:rFonts w:hint="eastAsia" w:ascii="黑体" w:hAnsi="黑体" w:eastAsia="黑体"/>
                <w:b w:val="0"/>
                <w:color w:val="auto"/>
                <w:sz w:val="28"/>
                <w:szCs w:val="28"/>
                <w:highlight w:val="none"/>
              </w:rPr>
              <w:t>公用事业管理方面</w:t>
            </w:r>
            <w:bookmarkEnd w:id="62"/>
            <w:bookmarkEnd w:id="63"/>
            <w:bookmarkEnd w:id="64"/>
          </w:p>
        </w:tc>
        <w:tc>
          <w:tcPr>
            <w:tcW w:w="1869" w:type="dxa"/>
            <w:noWrap w:val="0"/>
            <w:vAlign w:val="center"/>
          </w:tcPr>
          <w:p w14:paraId="27C59794">
            <w:pPr>
              <w:pStyle w:val="2"/>
              <w:keepNext w:val="0"/>
              <w:keepLines w:val="0"/>
              <w:rPr>
                <w:rFonts w:hint="eastAsia" w:ascii="黑体" w:hAnsi="黑体" w:eastAsia="黑体"/>
                <w:b w:val="0"/>
                <w:color w:val="auto"/>
                <w:sz w:val="28"/>
                <w:szCs w:val="28"/>
                <w:highlight w:val="none"/>
              </w:rPr>
            </w:pPr>
          </w:p>
        </w:tc>
      </w:tr>
      <w:tr w14:paraId="07D7F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54" w:hRule="atLeast"/>
        </w:trPr>
        <w:tc>
          <w:tcPr>
            <w:tcW w:w="14587" w:type="dxa"/>
            <w:gridSpan w:val="13"/>
            <w:noWrap w:val="0"/>
            <w:vAlign w:val="center"/>
          </w:tcPr>
          <w:p w14:paraId="0560F723">
            <w:pPr>
              <w:pStyle w:val="3"/>
              <w:widowControl w:val="0"/>
              <w:spacing w:line="232" w:lineRule="exact"/>
              <w:jc w:val="center"/>
              <w:rPr>
                <w:rFonts w:ascii="宋体" w:hAnsi="宋体" w:eastAsia="宋体"/>
                <w:color w:val="auto"/>
                <w:sz w:val="15"/>
                <w:szCs w:val="15"/>
                <w:highlight w:val="none"/>
              </w:rPr>
            </w:pPr>
            <w:bookmarkStart w:id="65" w:name="_Toc51430679"/>
            <w:bookmarkStart w:id="66" w:name="_Toc110851457"/>
            <w:bookmarkStart w:id="67" w:name="_Toc1349825120"/>
            <w:r>
              <w:rPr>
                <w:rFonts w:hint="eastAsia" w:ascii="宋体" w:hAnsi="宋体" w:eastAsia="宋体"/>
                <w:color w:val="auto"/>
                <w:sz w:val="21"/>
                <w:szCs w:val="21"/>
                <w:highlight w:val="none"/>
              </w:rPr>
              <w:t>《城镇燃气管理条例》案由30项</w:t>
            </w:r>
            <w:bookmarkEnd w:id="65"/>
            <w:bookmarkEnd w:id="66"/>
            <w:bookmarkEnd w:id="67"/>
          </w:p>
        </w:tc>
        <w:tc>
          <w:tcPr>
            <w:tcW w:w="1869" w:type="dxa"/>
            <w:noWrap w:val="0"/>
            <w:vAlign w:val="center"/>
          </w:tcPr>
          <w:p w14:paraId="12059DE3">
            <w:pPr>
              <w:pStyle w:val="3"/>
              <w:widowControl w:val="0"/>
              <w:spacing w:line="232" w:lineRule="exact"/>
              <w:jc w:val="center"/>
              <w:rPr>
                <w:rFonts w:hint="eastAsia" w:ascii="宋体" w:hAnsi="宋体" w:eastAsia="宋体"/>
                <w:color w:val="auto"/>
                <w:sz w:val="21"/>
                <w:szCs w:val="21"/>
                <w:highlight w:val="none"/>
              </w:rPr>
            </w:pPr>
          </w:p>
        </w:tc>
      </w:tr>
      <w:tr w14:paraId="11A0A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79" w:hRule="atLeast"/>
        </w:trPr>
        <w:tc>
          <w:tcPr>
            <w:tcW w:w="714" w:type="dxa"/>
            <w:noWrap w:val="0"/>
            <w:vAlign w:val="center"/>
          </w:tcPr>
          <w:p w14:paraId="2FB7962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296DFFAC">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未取得燃气经营许可从事经营活动</w:t>
            </w:r>
          </w:p>
        </w:tc>
        <w:tc>
          <w:tcPr>
            <w:tcW w:w="2981" w:type="dxa"/>
            <w:noWrap w:val="0"/>
            <w:vAlign w:val="center"/>
          </w:tcPr>
          <w:p w14:paraId="7A33F856">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违反条款：第十五条第一款；处罚条款：第四十五条第一款 责令停止违法行为，处5万元以上50万元以下罚款。有违法所得的，没收违法所得。</w:t>
            </w:r>
          </w:p>
        </w:tc>
        <w:tc>
          <w:tcPr>
            <w:tcW w:w="851" w:type="dxa"/>
            <w:noWrap w:val="0"/>
            <w:vAlign w:val="center"/>
          </w:tcPr>
          <w:p w14:paraId="45F067D5">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14:paraId="22CF694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B3F64C5">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1.跨区级区域经营的或者违规经营规模较大(气瓶数量超过28个)，系数5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经营场所在人口集中地区、人员密集场所</w:t>
            </w:r>
            <w:r>
              <w:rPr>
                <w:rFonts w:hint="eastAsia" w:ascii="宋体" w:hAnsi="宋体" w:eastAsia="宋体" w:cs="宋体"/>
                <w:color w:val="auto"/>
                <w:kern w:val="0"/>
                <w:sz w:val="15"/>
                <w:szCs w:val="15"/>
                <w:highlight w:val="none"/>
                <w:lang w:eastAsia="zh-CN"/>
              </w:rPr>
              <w:t>或者邻近电力、管线等需要特殊保护的场所</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.持续时间超过</w:t>
            </w:r>
            <w:r>
              <w:rPr>
                <w:rFonts w:hint="eastAsia" w:ascii="宋体" w:hAnsi="宋体" w:eastAsia="宋体" w:cs="宋体"/>
                <w:b w:val="0"/>
                <w:bCs w:val="0"/>
                <w:strike w:val="0"/>
                <w:dstrike w:val="0"/>
                <w:color w:val="auto"/>
                <w:kern w:val="0"/>
                <w:sz w:val="15"/>
                <w:szCs w:val="15"/>
                <w:highlight w:val="none"/>
                <w:u w:val="none"/>
                <w:lang w:val="en-US" w:eastAsia="zh-CN"/>
              </w:rPr>
              <w:t>2个月的</w:t>
            </w:r>
            <w:r>
              <w:rPr>
                <w:rFonts w:hint="eastAsia" w:ascii="宋体" w:hAnsi="宋体" w:eastAsia="宋体" w:cs="宋体"/>
                <w:b w:val="0"/>
                <w:bCs w:val="0"/>
                <w:color w:val="auto"/>
                <w:kern w:val="0"/>
                <w:sz w:val="15"/>
                <w:szCs w:val="15"/>
                <w:highlight w:val="none"/>
                <w:u w:val="none"/>
              </w:rPr>
              <w:t>，系数</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w:t>
            </w:r>
            <w:r>
              <w:rPr>
                <w:rFonts w:hint="eastAsia" w:ascii="宋体" w:hAnsi="宋体" w:eastAsia="宋体" w:cs="宋体"/>
                <w:b w:val="0"/>
                <w:bCs w:val="0"/>
                <w:color w:val="auto"/>
                <w:kern w:val="0"/>
                <w:sz w:val="15"/>
                <w:szCs w:val="15"/>
                <w:highlight w:val="none"/>
                <w:u w:val="none"/>
                <w:lang w:eastAsia="zh-CN"/>
              </w:rPr>
              <w:t>超过半年的</w:t>
            </w:r>
            <w:r>
              <w:rPr>
                <w:rFonts w:hint="eastAsia" w:ascii="宋体" w:hAnsi="宋体" w:eastAsia="宋体" w:cs="宋体"/>
                <w:b w:val="0"/>
                <w:bCs w:val="0"/>
                <w:color w:val="auto"/>
                <w:kern w:val="0"/>
                <w:sz w:val="15"/>
                <w:szCs w:val="15"/>
                <w:highlight w:val="none"/>
                <w:u w:val="none"/>
                <w:lang w:val="en-US" w:eastAsia="zh-CN"/>
              </w:rPr>
              <w:t>，</w:t>
            </w:r>
            <w:r>
              <w:rPr>
                <w:rFonts w:hint="eastAsia" w:ascii="宋体" w:hAnsi="宋体" w:eastAsia="宋体" w:cs="宋体"/>
                <w:b w:val="0"/>
                <w:bCs w:val="0"/>
                <w:color w:val="auto"/>
                <w:kern w:val="0"/>
                <w:sz w:val="15"/>
                <w:szCs w:val="15"/>
                <w:highlight w:val="none"/>
                <w:u w:val="none"/>
                <w:lang w:eastAsia="zh-CN"/>
              </w:rPr>
              <w:t>系数</w:t>
            </w:r>
            <w:r>
              <w:rPr>
                <w:rFonts w:hint="eastAsia" w:ascii="宋体" w:hAnsi="宋体" w:eastAsia="宋体" w:cs="宋体"/>
                <w:b w:val="0"/>
                <w:bCs w:val="0"/>
                <w:color w:val="auto"/>
                <w:kern w:val="0"/>
                <w:sz w:val="15"/>
                <w:szCs w:val="15"/>
                <w:highlight w:val="none"/>
                <w:u w:val="none"/>
                <w:lang w:val="en-US" w:eastAsia="zh-CN"/>
              </w:rPr>
              <w:t>6；</w:t>
            </w:r>
            <w:r>
              <w:rPr>
                <w:rFonts w:hint="eastAsia" w:ascii="宋体" w:hAnsi="宋体" w:eastAsia="宋体" w:cs="宋体"/>
                <w:b w:val="0"/>
                <w:bCs w:val="0"/>
                <w:color w:val="auto"/>
                <w:kern w:val="0"/>
                <w:sz w:val="15"/>
                <w:szCs w:val="15"/>
                <w:highlight w:val="none"/>
                <w:u w:val="none"/>
              </w:rPr>
              <w:t>1年以上，系数9；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07FCDFC">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bottom w:val="single" w:color="auto" w:sz="4" w:space="0"/>
            </w:tcBorders>
            <w:noWrap w:val="0"/>
            <w:vAlign w:val="center"/>
          </w:tcPr>
          <w:p w14:paraId="22DEC6DA">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p>
        </w:tc>
        <w:tc>
          <w:tcPr>
            <w:tcW w:w="1304" w:type="dxa"/>
            <w:gridSpan w:val="2"/>
            <w:noWrap w:val="0"/>
            <w:vAlign w:val="center"/>
          </w:tcPr>
          <w:p w14:paraId="3D2B1A24">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14:paraId="75C85A63">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c>
          <w:tcPr>
            <w:tcW w:w="1869" w:type="dxa"/>
            <w:noWrap w:val="0"/>
            <w:vAlign w:val="center"/>
          </w:tcPr>
          <w:p w14:paraId="09FF27F2">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C4617600</w:t>
            </w:r>
          </w:p>
        </w:tc>
      </w:tr>
      <w:tr w14:paraId="3521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970" w:hRule="atLeast"/>
        </w:trPr>
        <w:tc>
          <w:tcPr>
            <w:tcW w:w="714" w:type="dxa"/>
            <w:shd w:val="clear" w:color="auto" w:fill="auto"/>
            <w:noWrap w:val="0"/>
            <w:vAlign w:val="center"/>
          </w:tcPr>
          <w:p w14:paraId="63D115A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shd w:val="clear" w:color="auto" w:fill="auto"/>
            <w:noWrap w:val="0"/>
            <w:vAlign w:val="center"/>
          </w:tcPr>
          <w:p w14:paraId="58242976">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不按照燃气经营许可的规定从事经营活动</w:t>
            </w:r>
          </w:p>
        </w:tc>
        <w:tc>
          <w:tcPr>
            <w:tcW w:w="2981" w:type="dxa"/>
            <w:shd w:val="clear" w:color="auto" w:fill="auto"/>
            <w:noWrap w:val="0"/>
            <w:vAlign w:val="center"/>
          </w:tcPr>
          <w:p w14:paraId="2481F165">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noWrap w:val="0"/>
            <w:vAlign w:val="center"/>
          </w:tcPr>
          <w:p w14:paraId="26BBFD36">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shd w:val="clear" w:color="auto" w:fill="auto"/>
            <w:noWrap w:val="0"/>
            <w:vAlign w:val="center"/>
          </w:tcPr>
          <w:p w14:paraId="7EA4897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705CA2F7">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宋体"/>
                <w:color w:val="auto"/>
                <w:kern w:val="0"/>
                <w:sz w:val="15"/>
                <w:szCs w:val="15"/>
                <w:highlight w:val="none"/>
              </w:rPr>
              <w:t>，或者经营场所在人口集中地区、人员密集场所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tcBorders>
              <w:right w:val="single" w:color="auto" w:sz="4" w:space="0"/>
            </w:tcBorders>
            <w:shd w:val="clear" w:color="auto" w:fill="auto"/>
            <w:noWrap w:val="0"/>
            <w:vAlign w:val="center"/>
          </w:tcPr>
          <w:p w14:paraId="42AA1F35">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7A037B">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s="宋体"/>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tcBorders>
              <w:left w:val="single" w:color="auto" w:sz="4" w:space="0"/>
            </w:tcBorders>
            <w:shd w:val="clear" w:color="auto" w:fill="FFFFFF"/>
            <w:noWrap w:val="0"/>
            <w:vAlign w:val="center"/>
          </w:tcPr>
          <w:p w14:paraId="66D9FD3B">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263FFF7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tcBorders>
              <w:left w:val="single" w:color="auto" w:sz="4" w:space="0"/>
            </w:tcBorders>
            <w:shd w:val="clear" w:color="auto" w:fill="FFFFFF"/>
            <w:noWrap w:val="0"/>
            <w:vAlign w:val="center"/>
          </w:tcPr>
          <w:p w14:paraId="57FFAC7B">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C4617700</w:t>
            </w:r>
          </w:p>
        </w:tc>
      </w:tr>
      <w:tr w14:paraId="3DCA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96" w:hRule="atLeast"/>
        </w:trPr>
        <w:tc>
          <w:tcPr>
            <w:tcW w:w="714" w:type="dxa"/>
            <w:shd w:val="clear" w:color="auto" w:fill="auto"/>
            <w:noWrap w:val="0"/>
            <w:vAlign w:val="center"/>
          </w:tcPr>
          <w:p w14:paraId="5373836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shd w:val="clear" w:color="auto" w:fill="auto"/>
            <w:noWrap w:val="0"/>
            <w:vAlign w:val="center"/>
          </w:tcPr>
          <w:p w14:paraId="3E937F0F">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拒绝向市政燃气管网覆盖范围内符合用气条件的单位或者个人供气</w:t>
            </w:r>
          </w:p>
        </w:tc>
        <w:tc>
          <w:tcPr>
            <w:tcW w:w="2981" w:type="dxa"/>
            <w:shd w:val="clear" w:color="auto" w:fill="auto"/>
            <w:noWrap w:val="0"/>
            <w:vAlign w:val="center"/>
          </w:tcPr>
          <w:p w14:paraId="09EBC100">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noWrap w:val="0"/>
            <w:vAlign w:val="center"/>
          </w:tcPr>
          <w:p w14:paraId="26E664A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14:paraId="1D13AB3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3A48CE09">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1.断供超过12小时的，或影响1000户以上（含1000户）居民无法正常供气超过2小时的，系数9；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.发生燃气安全事故或者引发群体性事件的，系数9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14:paraId="3255DE6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tcBorders>
            <w:shd w:val="clear" w:color="auto" w:fill="FFFFFF"/>
            <w:noWrap w:val="0"/>
            <w:vAlign w:val="center"/>
          </w:tcPr>
          <w:p w14:paraId="1CA093D9">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w:t>
            </w:r>
            <w:r>
              <w:rPr>
                <w:rFonts w:ascii="宋体" w:hAnsi="宋体" w:eastAsia="宋体"/>
                <w:color w:val="auto"/>
                <w:sz w:val="15"/>
                <w:szCs w:val="15"/>
                <w:highlight w:val="none"/>
              </w:rPr>
              <w:t>市政燃气管网覆盖范围内</w:t>
            </w:r>
            <w:r>
              <w:rPr>
                <w:rFonts w:hint="eastAsia" w:ascii="宋体" w:hAnsi="宋体" w:eastAsia="宋体"/>
                <w:color w:val="auto"/>
                <w:sz w:val="15"/>
                <w:szCs w:val="15"/>
                <w:highlight w:val="none"/>
              </w:rPr>
              <w:t>燃气断供超过12小时的，或影响1000户以上（含1000户）居民无法正常供</w:t>
            </w:r>
            <w:r>
              <w:rPr>
                <w:rFonts w:hint="eastAsia" w:ascii="宋体" w:hAnsi="宋体" w:eastAsia="宋体"/>
                <w:color w:val="auto"/>
                <w:sz w:val="15"/>
                <w:szCs w:val="15"/>
                <w:highlight w:val="none"/>
                <w:lang w:eastAsia="zh-CN"/>
              </w:rPr>
              <w:t>气</w:t>
            </w:r>
            <w:r>
              <w:rPr>
                <w:rFonts w:hint="eastAsia" w:ascii="宋体" w:hAnsi="宋体" w:eastAsia="宋体"/>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宋体" w:hAnsi="宋体" w:eastAsia="宋体"/>
                <w:color w:val="auto"/>
                <w:sz w:val="15"/>
                <w:szCs w:val="15"/>
                <w:highlight w:val="none"/>
              </w:rPr>
              <w:t>的</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shd w:val="clear" w:color="auto" w:fill="FFFFFF"/>
            <w:noWrap w:val="0"/>
            <w:vAlign w:val="center"/>
          </w:tcPr>
          <w:p w14:paraId="1B1CAC4A">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14:paraId="57702C4F">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c>
          <w:tcPr>
            <w:tcW w:w="1869" w:type="dxa"/>
            <w:shd w:val="clear" w:color="auto" w:fill="FFFFFF"/>
            <w:noWrap w:val="0"/>
            <w:vAlign w:val="center"/>
          </w:tcPr>
          <w:p w14:paraId="1D196BB5">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C4617800</w:t>
            </w:r>
          </w:p>
        </w:tc>
      </w:tr>
      <w:tr w14:paraId="3ACF8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740" w:hRule="atLeast"/>
        </w:trPr>
        <w:tc>
          <w:tcPr>
            <w:tcW w:w="714" w:type="dxa"/>
            <w:shd w:val="clear" w:color="auto" w:fill="auto"/>
            <w:noWrap w:val="0"/>
            <w:vAlign w:val="center"/>
          </w:tcPr>
          <w:p w14:paraId="1532C4B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shd w:val="clear" w:color="auto" w:fill="auto"/>
            <w:noWrap w:val="0"/>
            <w:vAlign w:val="center"/>
          </w:tcPr>
          <w:p w14:paraId="3D0EFB17">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倒卖、抵押、出租、出借、转让、涂改燃气经营许可证</w:t>
            </w:r>
          </w:p>
        </w:tc>
        <w:tc>
          <w:tcPr>
            <w:tcW w:w="2981" w:type="dxa"/>
            <w:shd w:val="clear" w:color="auto" w:fill="auto"/>
            <w:noWrap w:val="0"/>
            <w:vAlign w:val="center"/>
          </w:tcPr>
          <w:p w14:paraId="427D801A">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noWrap w:val="0"/>
            <w:vAlign w:val="center"/>
          </w:tcPr>
          <w:p w14:paraId="03E9DAF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14:paraId="7B4A08F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543E9E5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.发生燃气安全事故</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燃气安全隐患的，系数9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14:paraId="06CD2A0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FFFFFF"/>
            <w:noWrap w:val="0"/>
            <w:vAlign w:val="center"/>
          </w:tcPr>
          <w:p w14:paraId="4AA3BE5B">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shd w:val="clear" w:color="auto" w:fill="FFFFFF"/>
            <w:noWrap w:val="0"/>
            <w:vAlign w:val="center"/>
          </w:tcPr>
          <w:p w14:paraId="335BD949">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14:paraId="4A63A556">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c>
          <w:tcPr>
            <w:tcW w:w="1869" w:type="dxa"/>
            <w:shd w:val="clear" w:color="auto" w:fill="FFFFFF"/>
            <w:noWrap w:val="0"/>
            <w:vAlign w:val="center"/>
          </w:tcPr>
          <w:p w14:paraId="56B7C677">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C4617900</w:t>
            </w:r>
          </w:p>
        </w:tc>
      </w:tr>
      <w:tr w14:paraId="3ED2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685" w:hRule="atLeast"/>
        </w:trPr>
        <w:tc>
          <w:tcPr>
            <w:tcW w:w="714" w:type="dxa"/>
            <w:shd w:val="clear" w:color="auto" w:fill="auto"/>
            <w:noWrap w:val="0"/>
            <w:vAlign w:val="center"/>
          </w:tcPr>
          <w:p w14:paraId="08ED193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shd w:val="clear" w:color="auto" w:fill="auto"/>
            <w:noWrap w:val="0"/>
            <w:vAlign w:val="center"/>
          </w:tcPr>
          <w:p w14:paraId="6C775CB6">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擅自停止供气、调整供气量，或者擅自停业或者歇业</w:t>
            </w:r>
          </w:p>
        </w:tc>
        <w:tc>
          <w:tcPr>
            <w:tcW w:w="2981" w:type="dxa"/>
            <w:shd w:val="clear" w:color="auto" w:fill="auto"/>
            <w:noWrap w:val="0"/>
            <w:vAlign w:val="center"/>
          </w:tcPr>
          <w:p w14:paraId="0D13C5AF">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noWrap w:val="0"/>
            <w:vAlign w:val="center"/>
          </w:tcPr>
          <w:p w14:paraId="632052B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14:paraId="1CF3CCC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462E8133">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1.断供超过12小时的，或者100户以上（含100户）居民无法正常用气超过24小时的；或影响1000户以上（含1000户）居民无法正常供气超过2小时的，系数9；</w:t>
            </w:r>
          </w:p>
          <w:p w14:paraId="46144C53">
            <w:pPr>
              <w:keepNext w:val="0"/>
              <w:keepLines w:val="0"/>
              <w:pageBreakBefore w:val="0"/>
              <w:widowControl w:val="0"/>
              <w:kinsoku/>
              <w:wordWrap/>
              <w:overflowPunct/>
              <w:topLinePunct w:val="0"/>
              <w:autoSpaceDE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.发生燃气安全事故或者引发群体性事件的，系数9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14:paraId="57659B85">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FFFFFF"/>
            <w:noWrap w:val="0"/>
            <w:vAlign w:val="center"/>
          </w:tcPr>
          <w:p w14:paraId="5508F3FE">
            <w:pPr>
              <w:keepNext w:val="0"/>
              <w:keepLines w:val="0"/>
              <w:pageBreakBefore w:val="0"/>
              <w:widowControl w:val="0"/>
              <w:kinsoku/>
              <w:wordWrap/>
              <w:overflowPunct/>
              <w:topLinePunct w:val="0"/>
              <w:autoSpaceDE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 2.导致</w:t>
            </w:r>
            <w:r>
              <w:rPr>
                <w:rFonts w:ascii="宋体" w:hAnsi="宋体" w:eastAsia="宋体"/>
                <w:color w:val="auto"/>
                <w:sz w:val="15"/>
                <w:szCs w:val="15"/>
                <w:highlight w:val="none"/>
              </w:rPr>
              <w:t>燃气管网覆盖范围内</w:t>
            </w:r>
            <w:r>
              <w:rPr>
                <w:rFonts w:hint="eastAsia" w:ascii="宋体" w:hAnsi="宋体" w:eastAsia="宋体"/>
                <w:color w:val="auto"/>
                <w:sz w:val="15"/>
                <w:szCs w:val="15"/>
                <w:highlight w:val="none"/>
              </w:rPr>
              <w:t>燃气断供超过12小时，或者100户以上（含100户）居民无法正常用气超过24小时的；或影响1000户以上（含1000户）居民无法正常供</w:t>
            </w:r>
            <w:r>
              <w:rPr>
                <w:rFonts w:hint="eastAsia" w:ascii="宋体" w:hAnsi="宋体" w:eastAsia="宋体"/>
                <w:color w:val="auto"/>
                <w:sz w:val="15"/>
                <w:szCs w:val="15"/>
                <w:highlight w:val="none"/>
                <w:lang w:eastAsia="zh-CN"/>
              </w:rPr>
              <w:t>气</w:t>
            </w:r>
            <w:r>
              <w:rPr>
                <w:rFonts w:hint="eastAsia" w:ascii="宋体" w:hAnsi="宋体" w:eastAsia="宋体"/>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shd w:val="clear" w:color="auto" w:fill="FFFFFF"/>
            <w:noWrap w:val="0"/>
            <w:vAlign w:val="center"/>
          </w:tcPr>
          <w:p w14:paraId="0B5834F8">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14:paraId="15EC8B22">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869" w:type="dxa"/>
            <w:shd w:val="clear" w:color="auto" w:fill="FFFFFF"/>
            <w:noWrap w:val="0"/>
            <w:vAlign w:val="center"/>
          </w:tcPr>
          <w:p w14:paraId="1ED24C06">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C4618000</w:t>
            </w:r>
          </w:p>
        </w:tc>
      </w:tr>
      <w:tr w14:paraId="5477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71" w:hRule="atLeast"/>
        </w:trPr>
        <w:tc>
          <w:tcPr>
            <w:tcW w:w="714" w:type="dxa"/>
            <w:shd w:val="clear" w:color="auto" w:fill="auto"/>
            <w:noWrap w:val="0"/>
            <w:vAlign w:val="center"/>
          </w:tcPr>
          <w:p w14:paraId="7BD9BD3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shd w:val="clear" w:color="auto" w:fill="auto"/>
            <w:noWrap w:val="0"/>
            <w:vAlign w:val="center"/>
          </w:tcPr>
          <w:p w14:paraId="1A789B14">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向未取得燃气经营许可证的单位或者个人提供用于经营的燃气</w:t>
            </w:r>
          </w:p>
        </w:tc>
        <w:tc>
          <w:tcPr>
            <w:tcW w:w="2981" w:type="dxa"/>
            <w:shd w:val="clear" w:color="auto" w:fill="auto"/>
            <w:noWrap w:val="0"/>
            <w:vAlign w:val="center"/>
          </w:tcPr>
          <w:p w14:paraId="75ADCF50">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noWrap w:val="0"/>
            <w:vAlign w:val="center"/>
          </w:tcPr>
          <w:p w14:paraId="6F636B7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14:paraId="06A1944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6895AF27">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提供液化石油气瓶数量</w:t>
            </w:r>
            <w:r>
              <w:rPr>
                <w:rFonts w:hint="eastAsia" w:ascii="宋体" w:hAnsi="宋体" w:cs="宋体"/>
                <w:b w:val="0"/>
                <w:bCs w:val="0"/>
                <w:color w:val="auto"/>
                <w:kern w:val="0"/>
                <w:sz w:val="15"/>
                <w:szCs w:val="15"/>
                <w:highlight w:val="none"/>
                <w:lang w:val="en-US" w:eastAsia="zh-CN"/>
              </w:rPr>
              <w:t>5个及以上的，系数1；10个及以上的，系数2；15个及以上的，系数3；20个及以上的，系数4；25个及以上的，系数5；以此类推，45个及以上的，系数9。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.持续时间超过半年的，系数4；持续时间1年以上，系数9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14:paraId="6E2B3101">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FFFFFF"/>
            <w:noWrap w:val="0"/>
            <w:vAlign w:val="center"/>
          </w:tcPr>
          <w:p w14:paraId="3E542C27">
            <w:pPr>
              <w:keepNext w:val="0"/>
              <w:keepLines w:val="0"/>
              <w:pageBreakBefore w:val="0"/>
              <w:widowControl w:val="0"/>
              <w:kinsoku/>
              <w:wordWrap/>
              <w:overflowPunct/>
              <w:topLinePunct w:val="0"/>
              <w:autoSpaceDE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shd w:val="clear" w:color="auto" w:fill="FFFFFF"/>
            <w:noWrap w:val="0"/>
            <w:vAlign w:val="center"/>
          </w:tcPr>
          <w:p w14:paraId="303B36F5">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14:paraId="3C6991BD">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869" w:type="dxa"/>
            <w:shd w:val="clear" w:color="auto" w:fill="FFFFFF"/>
            <w:noWrap w:val="0"/>
            <w:vAlign w:val="center"/>
          </w:tcPr>
          <w:p w14:paraId="50364E64">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C4618100</w:t>
            </w:r>
          </w:p>
        </w:tc>
      </w:tr>
      <w:tr w14:paraId="7C1E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935" w:hRule="atLeast"/>
        </w:trPr>
        <w:tc>
          <w:tcPr>
            <w:tcW w:w="714" w:type="dxa"/>
            <w:shd w:val="clear" w:color="auto" w:fill="auto"/>
            <w:noWrap w:val="0"/>
            <w:vAlign w:val="center"/>
          </w:tcPr>
          <w:p w14:paraId="77CEEA8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shd w:val="clear" w:color="auto" w:fill="auto"/>
            <w:noWrap w:val="0"/>
            <w:vAlign w:val="center"/>
          </w:tcPr>
          <w:p w14:paraId="3F3FF0F6">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燃气经营者在不具备安全条件的场所储存燃气</w:t>
            </w:r>
          </w:p>
        </w:tc>
        <w:tc>
          <w:tcPr>
            <w:tcW w:w="2981" w:type="dxa"/>
            <w:shd w:val="clear" w:color="auto" w:fill="auto"/>
            <w:noWrap w:val="0"/>
            <w:vAlign w:val="center"/>
          </w:tcPr>
          <w:p w14:paraId="4A45E367">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noWrap w:val="0"/>
            <w:vAlign w:val="center"/>
          </w:tcPr>
          <w:p w14:paraId="4FC61DC9">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14:paraId="7A2CFEDD">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57C85458">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color w:val="auto"/>
                <w:kern w:val="0"/>
                <w:sz w:val="15"/>
                <w:szCs w:val="15"/>
                <w:highlight w:val="none"/>
                <w:lang w:val="en-US" w:eastAsia="zh-CN"/>
              </w:rPr>
              <w:t>2个及以上不合格安全条件的，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4个及以上的，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6个及以上的，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7；8个及以上的，系数9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14:paraId="23C50758">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FFFFFF"/>
            <w:noWrap w:val="0"/>
            <w:vAlign w:val="center"/>
          </w:tcPr>
          <w:p w14:paraId="4C0ACA06">
            <w:pPr>
              <w:keepNext w:val="0"/>
              <w:keepLines w:val="0"/>
              <w:pageBreakBefore w:val="0"/>
              <w:widowControl w:val="0"/>
              <w:kinsoku/>
              <w:wordWrap/>
              <w:overflowPunct/>
              <w:topLinePunct w:val="0"/>
              <w:autoSpaceDE w:val="0"/>
              <w:autoSpaceDN/>
              <w:bidi w:val="0"/>
              <w:adjustRightInd/>
              <w:snapToGrid/>
              <w:spacing w:line="210"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shd w:val="clear" w:color="auto" w:fill="FFFFFF"/>
            <w:noWrap w:val="0"/>
            <w:vAlign w:val="center"/>
          </w:tcPr>
          <w:p w14:paraId="5AB4E5C9">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14:paraId="60A7E1AB">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c>
          <w:tcPr>
            <w:tcW w:w="1869" w:type="dxa"/>
            <w:shd w:val="clear" w:color="auto" w:fill="FFFFFF"/>
            <w:noWrap w:val="0"/>
            <w:vAlign w:val="center"/>
          </w:tcPr>
          <w:p w14:paraId="546CCCF4">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C4618200</w:t>
            </w:r>
          </w:p>
        </w:tc>
      </w:tr>
      <w:tr w14:paraId="4F12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990" w:hRule="atLeast"/>
        </w:trPr>
        <w:tc>
          <w:tcPr>
            <w:tcW w:w="714" w:type="dxa"/>
            <w:shd w:val="clear" w:color="auto" w:fill="auto"/>
            <w:noWrap w:val="0"/>
            <w:vAlign w:val="center"/>
          </w:tcPr>
          <w:p w14:paraId="5181249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shd w:val="clear" w:color="auto" w:fill="auto"/>
            <w:noWrap w:val="0"/>
            <w:vAlign w:val="center"/>
          </w:tcPr>
          <w:p w14:paraId="34516C91">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要求燃气用户购买其指定的产品或者接受其提供的服务</w:t>
            </w:r>
          </w:p>
        </w:tc>
        <w:tc>
          <w:tcPr>
            <w:tcW w:w="2981" w:type="dxa"/>
            <w:shd w:val="clear" w:color="auto" w:fill="auto"/>
            <w:noWrap w:val="0"/>
            <w:vAlign w:val="center"/>
          </w:tcPr>
          <w:p w14:paraId="6146F14F">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noWrap w:val="0"/>
            <w:vAlign w:val="center"/>
          </w:tcPr>
          <w:p w14:paraId="3A8190C8">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14:paraId="17B017C0">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017189FD">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涉及燃气非居民、居民用户</w:t>
            </w:r>
            <w:r>
              <w:rPr>
                <w:rFonts w:hint="eastAsia" w:ascii="宋体" w:hAnsi="宋体" w:cs="宋体"/>
                <w:b w:val="0"/>
                <w:bCs w:val="0"/>
                <w:color w:val="auto"/>
                <w:kern w:val="0"/>
                <w:sz w:val="15"/>
                <w:szCs w:val="15"/>
                <w:highlight w:val="none"/>
                <w:lang w:val="en-US" w:eastAsia="zh-CN"/>
              </w:rPr>
              <w:t>5户及以上的，系数1；10户及以上的，系数3；15户及以上的，系数5；20户及以上的，系数7；25户及以上的，系数9。2.</w:t>
            </w:r>
            <w:r>
              <w:rPr>
                <w:rFonts w:hint="eastAsia" w:ascii="宋体" w:hAnsi="宋体" w:eastAsia="宋体" w:cs="宋体"/>
                <w:color w:val="auto"/>
                <w:kern w:val="0"/>
                <w:sz w:val="15"/>
                <w:szCs w:val="15"/>
                <w:highlight w:val="none"/>
              </w:rPr>
              <w:t>发生燃气安全事故，经事故调查部门认定，事故发生与其提供的产品或服务存在因果关系的，系数9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14:paraId="59E2983E">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FFFFFF"/>
            <w:noWrap w:val="0"/>
            <w:vAlign w:val="center"/>
          </w:tcPr>
          <w:p w14:paraId="4AAADC0D">
            <w:pPr>
              <w:keepNext w:val="0"/>
              <w:keepLines w:val="0"/>
              <w:pageBreakBefore w:val="0"/>
              <w:widowControl w:val="0"/>
              <w:kinsoku/>
              <w:wordWrap/>
              <w:overflowPunct/>
              <w:topLinePunct w:val="0"/>
              <w:autoSpaceDE w:val="0"/>
              <w:autoSpaceDN/>
              <w:bidi w:val="0"/>
              <w:adjustRightInd/>
              <w:snapToGrid/>
              <w:spacing w:line="21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shd w:val="clear" w:color="auto" w:fill="FFFFFF"/>
            <w:noWrap w:val="0"/>
            <w:vAlign w:val="center"/>
          </w:tcPr>
          <w:p w14:paraId="46E2E6E8">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14:paraId="180736E3">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c>
          <w:tcPr>
            <w:tcW w:w="1869" w:type="dxa"/>
            <w:shd w:val="clear" w:color="auto" w:fill="FFFFFF"/>
            <w:noWrap w:val="0"/>
            <w:vAlign w:val="center"/>
          </w:tcPr>
          <w:p w14:paraId="330705DC">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C4618300</w:t>
            </w:r>
          </w:p>
        </w:tc>
      </w:tr>
      <w:tr w14:paraId="0AC9F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shd w:val="clear" w:color="auto" w:fill="auto"/>
            <w:noWrap w:val="0"/>
            <w:vAlign w:val="center"/>
          </w:tcPr>
          <w:p w14:paraId="1000E4D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shd w:val="clear" w:color="auto" w:fill="auto"/>
            <w:noWrap w:val="0"/>
            <w:vAlign w:val="center"/>
          </w:tcPr>
          <w:p w14:paraId="2D2E6735">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未向燃气用户持续、稳定、安全供应符合国家质量标准的燃气，或者未对燃气用户的燃气设施定期进行安全检查</w:t>
            </w:r>
          </w:p>
        </w:tc>
        <w:tc>
          <w:tcPr>
            <w:tcW w:w="2981" w:type="dxa"/>
            <w:shd w:val="clear" w:color="auto" w:fill="auto"/>
            <w:noWrap w:val="0"/>
            <w:vAlign w:val="center"/>
          </w:tcPr>
          <w:p w14:paraId="2A4103FA">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noWrap w:val="0"/>
            <w:vAlign w:val="center"/>
          </w:tcPr>
          <w:p w14:paraId="0BD1AC2A">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14:paraId="5513ABCA">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2B5B6A37">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超出检查周期半年以内未进行检查的，系数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半年以上的，系数</w:t>
            </w:r>
            <w:r>
              <w:rPr>
                <w:rFonts w:hint="eastAsia" w:ascii="宋体" w:hAnsi="宋体" w:eastAsia="宋体" w:cs="宋体"/>
                <w:color w:val="auto"/>
                <w:kern w:val="0"/>
                <w:sz w:val="15"/>
                <w:szCs w:val="15"/>
                <w:highlight w:val="none"/>
                <w:lang w:val="en-US" w:eastAsia="zh-CN"/>
              </w:rPr>
              <w:t>9；2</w:t>
            </w:r>
            <w:r>
              <w:rPr>
                <w:rFonts w:hint="eastAsia" w:ascii="宋体" w:hAnsi="宋体" w:eastAsia="宋体" w:cs="宋体"/>
                <w:color w:val="auto"/>
                <w:kern w:val="0"/>
                <w:sz w:val="15"/>
                <w:szCs w:val="15"/>
                <w:highlight w:val="none"/>
              </w:rPr>
              <w:t>.发生燃气安全事故，经事故调查部门认定，事故发生与其提供的燃气质量不符合国家标准，或者未履行定期安全检查义务存在因果关系的，系数9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14:paraId="7CCE04E7">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FFFFFF"/>
            <w:noWrap w:val="0"/>
            <w:vAlign w:val="center"/>
          </w:tcPr>
          <w:p w14:paraId="16B3EC0F">
            <w:pPr>
              <w:keepNext w:val="0"/>
              <w:keepLines w:val="0"/>
              <w:pageBreakBefore w:val="0"/>
              <w:widowControl w:val="0"/>
              <w:kinsoku/>
              <w:wordWrap/>
              <w:overflowPunct/>
              <w:topLinePunct w:val="0"/>
              <w:autoSpaceDE w:val="0"/>
              <w:autoSpaceDN/>
              <w:bidi w:val="0"/>
              <w:adjustRightInd/>
              <w:snapToGrid/>
              <w:spacing w:line="21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shd w:val="clear" w:color="auto" w:fill="FFFFFF"/>
            <w:noWrap w:val="0"/>
            <w:vAlign w:val="center"/>
          </w:tcPr>
          <w:p w14:paraId="10116278">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14:paraId="33D84561">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c>
          <w:tcPr>
            <w:tcW w:w="1869" w:type="dxa"/>
            <w:shd w:val="clear" w:color="auto" w:fill="FFFFFF"/>
            <w:noWrap w:val="0"/>
            <w:vAlign w:val="center"/>
          </w:tcPr>
          <w:p w14:paraId="0D9F079B">
            <w:pPr>
              <w:keepNext w:val="0"/>
              <w:keepLines w:val="0"/>
              <w:widowControl w:val="0"/>
              <w:suppressLineNumbers w:val="0"/>
              <w:spacing w:before="0" w:beforeAutospacing="0" w:after="0" w:afterAutospacing="0"/>
              <w:ind w:left="0" w:right="0"/>
              <w:jc w:val="center"/>
              <w:rPr>
                <w:rFonts w:ascii="宋体" w:hAnsi="宋体" w:eastAsia="宋体"/>
                <w:color w:val="auto"/>
                <w:sz w:val="15"/>
                <w:szCs w:val="15"/>
                <w:highlight w:val="none"/>
              </w:rPr>
            </w:pPr>
            <w:r>
              <w:rPr>
                <w:rFonts w:hint="eastAsia" w:ascii="宋体" w:hAnsi="宋体" w:eastAsia="宋体" w:cs="宋体"/>
                <w:i w:val="0"/>
                <w:iCs w:val="0"/>
                <w:kern w:val="0"/>
                <w:sz w:val="15"/>
                <w:szCs w:val="15"/>
                <w:highlight w:val="none"/>
                <w:lang w:val="en-US" w:eastAsia="zh-CN" w:bidi="ar"/>
              </w:rPr>
              <w:t>C4618400</w:t>
            </w:r>
          </w:p>
        </w:tc>
      </w:tr>
      <w:tr w14:paraId="592A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20" w:hRule="atLeast"/>
        </w:trPr>
        <w:tc>
          <w:tcPr>
            <w:tcW w:w="714" w:type="dxa"/>
            <w:noWrap w:val="0"/>
            <w:vAlign w:val="center"/>
          </w:tcPr>
          <w:p w14:paraId="2E4ECD3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14:paraId="6FF36F48">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销售充装单位擅自为非自有气瓶充装的瓶装燃气</w:t>
            </w:r>
          </w:p>
        </w:tc>
        <w:tc>
          <w:tcPr>
            <w:tcW w:w="2981" w:type="dxa"/>
            <w:noWrap w:val="0"/>
            <w:vAlign w:val="center"/>
          </w:tcPr>
          <w:p w14:paraId="3B3E0518">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违反条款：第十八条第（八）项；处罚条款：第四十七条第二款 责令改正，可以处1万元以下罚款</w:t>
            </w:r>
          </w:p>
        </w:tc>
        <w:tc>
          <w:tcPr>
            <w:tcW w:w="851" w:type="dxa"/>
            <w:noWrap w:val="0"/>
            <w:vAlign w:val="center"/>
          </w:tcPr>
          <w:p w14:paraId="6E3C1BB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5BEAB27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D3DD956">
            <w:pPr>
              <w:spacing w:line="232" w:lineRule="exact"/>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充装气瓶数量</w:t>
            </w:r>
            <w:r>
              <w:rPr>
                <w:rFonts w:hint="eastAsia" w:ascii="宋体" w:hAnsi="宋体" w:cs="宋体"/>
                <w:b w:val="0"/>
                <w:bCs w:val="0"/>
                <w:color w:val="auto"/>
                <w:kern w:val="0"/>
                <w:sz w:val="15"/>
                <w:szCs w:val="15"/>
                <w:highlight w:val="none"/>
                <w:lang w:val="en-US" w:eastAsia="zh-CN"/>
              </w:rPr>
              <w:t>5个及以上的，系数1；10个及以上的，系数2；15个及以上的，系数3；20个及以上的，系数4；25个及以上的，系数5；以此类推，45个及以上的，系数9。2.</w:t>
            </w:r>
            <w:r>
              <w:rPr>
                <w:rFonts w:hint="eastAsia" w:ascii="宋体" w:hAnsi="宋体" w:eastAsia="宋体" w:cs="宋体"/>
                <w:b w:val="0"/>
                <w:bCs w:val="0"/>
                <w:color w:val="auto"/>
                <w:kern w:val="0"/>
                <w:sz w:val="15"/>
                <w:szCs w:val="15"/>
                <w:highlight w:val="none"/>
              </w:rPr>
              <w:t>违法行为持续时间超过半年的，系数4；1年以上，系数9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.未按燃气管理部门要求整改，或整改后再次发生类似违法行为的，系数9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.发生相关燃气安全事故的，系数9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D1467A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777BB033">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4A585C7E">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14:paraId="2782A1B4">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c>
          <w:tcPr>
            <w:tcW w:w="1869" w:type="dxa"/>
            <w:noWrap w:val="0"/>
            <w:vAlign w:val="center"/>
          </w:tcPr>
          <w:p w14:paraId="6F8CE93A">
            <w:pPr>
              <w:keepNext w:val="0"/>
              <w:keepLines w:val="0"/>
              <w:widowControl w:val="0"/>
              <w:suppressLineNumbers w:val="0"/>
              <w:spacing w:before="0" w:beforeAutospacing="0" w:after="0" w:afterAutospacing="0"/>
              <w:ind w:left="0" w:right="0"/>
              <w:jc w:val="center"/>
              <w:rPr>
                <w:rFonts w:ascii="宋体" w:hAnsi="宋体" w:eastAsia="宋体" w:cs="宋体"/>
                <w:color w:val="auto"/>
                <w:kern w:val="0"/>
                <w:sz w:val="15"/>
                <w:szCs w:val="15"/>
                <w:highlight w:val="none"/>
              </w:rPr>
            </w:pPr>
            <w:r>
              <w:rPr>
                <w:rFonts w:hint="eastAsia" w:ascii="宋体" w:hAnsi="宋体" w:eastAsia="宋体" w:cs="宋体"/>
                <w:i w:val="0"/>
                <w:iCs w:val="0"/>
                <w:kern w:val="0"/>
                <w:sz w:val="15"/>
                <w:szCs w:val="15"/>
                <w:highlight w:val="none"/>
                <w:lang w:val="en-US" w:eastAsia="zh-CN" w:bidi="ar"/>
              </w:rPr>
              <w:t>C4618500</w:t>
            </w:r>
          </w:p>
        </w:tc>
      </w:tr>
      <w:tr w14:paraId="3BE6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99" w:hRule="atLeast"/>
        </w:trPr>
        <w:tc>
          <w:tcPr>
            <w:tcW w:w="714" w:type="dxa"/>
            <w:vMerge w:val="restart"/>
            <w:noWrap w:val="0"/>
            <w:vAlign w:val="center"/>
          </w:tcPr>
          <w:p w14:paraId="7F51954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vMerge w:val="restart"/>
            <w:noWrap w:val="0"/>
            <w:vAlign w:val="center"/>
          </w:tcPr>
          <w:p w14:paraId="07377865">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未按规定设置燃气设施保护装置和安全警示标志</w:t>
            </w:r>
          </w:p>
        </w:tc>
        <w:tc>
          <w:tcPr>
            <w:tcW w:w="2981" w:type="dxa"/>
            <w:noWrap w:val="0"/>
            <w:vAlign w:val="center"/>
          </w:tcPr>
          <w:p w14:paraId="7B190A46">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《城镇燃气管理条例》违反条款：第三十五条；处罚条款：第四十八条 责令限期改正，处1万元以上10万元以下罚款。</w:t>
            </w:r>
          </w:p>
        </w:tc>
        <w:tc>
          <w:tcPr>
            <w:tcW w:w="851" w:type="dxa"/>
            <w:noWrap w:val="0"/>
            <w:vAlign w:val="center"/>
          </w:tcPr>
          <w:p w14:paraId="0D94D40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3406BCB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6776252">
            <w:pPr>
              <w:spacing w:line="232" w:lineRule="exact"/>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未按规定设置燃气设施保护装置和安全警示标志</w:t>
            </w:r>
            <w:r>
              <w:rPr>
                <w:rFonts w:hint="eastAsia" w:ascii="宋体" w:hAnsi="宋体" w:eastAsia="宋体" w:cs="宋体"/>
                <w:b w:val="0"/>
                <w:bCs w:val="0"/>
                <w:color w:val="auto"/>
                <w:kern w:val="0"/>
                <w:sz w:val="15"/>
                <w:szCs w:val="15"/>
                <w:highlight w:val="none"/>
                <w:lang w:val="en-US" w:eastAsia="zh-CN"/>
              </w:rPr>
              <w:t>2处的，系数1；</w:t>
            </w:r>
            <w:r>
              <w:rPr>
                <w:rFonts w:hint="eastAsia" w:ascii="宋体" w:hAnsi="宋体" w:cs="宋体"/>
                <w:b w:val="0"/>
                <w:bCs w:val="0"/>
                <w:color w:val="auto"/>
                <w:kern w:val="0"/>
                <w:sz w:val="15"/>
                <w:szCs w:val="15"/>
                <w:highlight w:val="none"/>
                <w:lang w:val="en-US" w:eastAsia="zh-CN"/>
              </w:rPr>
              <w:t>3处的，系数2；</w:t>
            </w:r>
            <w:r>
              <w:rPr>
                <w:rFonts w:hint="eastAsia" w:ascii="宋体" w:hAnsi="宋体" w:eastAsia="宋体" w:cs="宋体"/>
                <w:b w:val="0"/>
                <w:bCs w:val="0"/>
                <w:color w:val="auto"/>
                <w:kern w:val="0"/>
                <w:sz w:val="15"/>
                <w:szCs w:val="15"/>
                <w:highlight w:val="none"/>
                <w:lang w:val="en-US" w:eastAsia="zh-CN"/>
              </w:rPr>
              <w:t>4处的，系数3；</w:t>
            </w:r>
            <w:r>
              <w:rPr>
                <w:rFonts w:hint="eastAsia" w:ascii="宋体" w:hAnsi="宋体" w:cs="宋体"/>
                <w:b w:val="0"/>
                <w:bCs w:val="0"/>
                <w:color w:val="auto"/>
                <w:kern w:val="0"/>
                <w:sz w:val="15"/>
                <w:szCs w:val="15"/>
                <w:highlight w:val="none"/>
                <w:lang w:val="en-US" w:eastAsia="zh-CN"/>
              </w:rPr>
              <w:t>5处的，系数4；6处的，系数5；</w:t>
            </w:r>
            <w:r>
              <w:rPr>
                <w:rFonts w:hint="eastAsia" w:ascii="宋体" w:hAnsi="宋体" w:eastAsia="宋体" w:cs="宋体"/>
                <w:b w:val="0"/>
                <w:bCs w:val="0"/>
                <w:color w:val="auto"/>
                <w:kern w:val="0"/>
                <w:sz w:val="15"/>
                <w:szCs w:val="15"/>
                <w:highlight w:val="none"/>
                <w:lang w:val="en-US" w:eastAsia="zh-CN"/>
              </w:rPr>
              <w:t>以此类推</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每增加1处，系数加1，10处及以上的，系数9。2.</w:t>
            </w:r>
            <w:r>
              <w:rPr>
                <w:rFonts w:hint="eastAsia" w:ascii="宋体" w:hAnsi="宋体" w:eastAsia="宋体" w:cs="宋体"/>
                <w:b w:val="0"/>
                <w:bCs w:val="0"/>
                <w:color w:val="auto"/>
                <w:kern w:val="0"/>
                <w:sz w:val="15"/>
                <w:szCs w:val="15"/>
                <w:highlight w:val="none"/>
              </w:rPr>
              <w:t>发生在人口集中地区或人员密集场所的，系数4</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.未按燃气管理部门要求整改，或整改后再次发生类似违法行为的，系数9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5775EB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16BF753A">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3A7B2C00">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14:paraId="52CE14B2">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c>
          <w:tcPr>
            <w:tcW w:w="1869" w:type="dxa"/>
            <w:noWrap w:val="0"/>
            <w:vAlign w:val="center"/>
          </w:tcPr>
          <w:p w14:paraId="639938D7">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C4618600</w:t>
            </w:r>
          </w:p>
        </w:tc>
      </w:tr>
      <w:tr w14:paraId="2A9DB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3"/>
          <w:wAfter w:w="2374" w:type="dxa"/>
          <w:trHeight w:val="2751" w:hRule="atLeast"/>
        </w:trPr>
        <w:tc>
          <w:tcPr>
            <w:tcW w:w="714" w:type="dxa"/>
            <w:vMerge w:val="continue"/>
            <w:noWrap w:val="0"/>
            <w:vAlign w:val="center"/>
          </w:tcPr>
          <w:p w14:paraId="589F22D3">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4BE7491E">
            <w:pPr>
              <w:spacing w:line="232" w:lineRule="exact"/>
              <w:rPr>
                <w:rFonts w:ascii="宋体" w:hAnsi="宋体" w:eastAsia="宋体"/>
                <w:color w:val="auto"/>
                <w:sz w:val="15"/>
                <w:szCs w:val="15"/>
                <w:highlight w:val="none"/>
              </w:rPr>
            </w:pPr>
          </w:p>
        </w:tc>
        <w:tc>
          <w:tcPr>
            <w:tcW w:w="2981" w:type="dxa"/>
            <w:noWrap w:val="0"/>
            <w:vAlign w:val="center"/>
          </w:tcPr>
          <w:p w14:paraId="6DEF63D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noWrap w:val="0"/>
            <w:vAlign w:val="center"/>
          </w:tcPr>
          <w:p w14:paraId="20027A69">
            <w:pPr>
              <w:spacing w:line="232" w:lineRule="exac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依据应急管理部门的裁量权基准执行。【“以上”包含本数、“以下”除法律规定的包含本数和最高档的“以下”包含本数外，其余均不包含本数。】</w:t>
            </w:r>
          </w:p>
          <w:p w14:paraId="637AF6CC">
            <w:pPr>
              <w:spacing w:line="232" w:lineRule="exac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未在构成四级重大危险源的场所设置明显的安全警示标志的，责令限期改正，可以处1万元以下的罚款；逾期未改正的，处5万元以上10万元以下的罚款，对其直接负责的主管人员和其他直接责任人员处1万元以上2万元以下的罚款；情节严重的，责令停产停业整顿；</w:t>
            </w:r>
          </w:p>
          <w:p w14:paraId="45F5D051">
            <w:pPr>
              <w:spacing w:line="232" w:lineRule="exac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2.未在构成三级重大危险源的场所设置明显的安全警示标志的，责令限期改正，可以处1万元以上2万元以下的罚款；逾期未改正的，处10万元以上13万元以下的罚款，对其直接负责的主管人员和其他直接责任人员处1万元以上2万元以下的罚款；情节严重的，责令停产停业整顿；</w:t>
            </w:r>
          </w:p>
          <w:p w14:paraId="35AC2D0A">
            <w:pPr>
              <w:spacing w:line="232" w:lineRule="exac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3.未在构成二级重大危险源的场所设置明显的安全警示标志的，责令限期改正，可以处2万元以上3万元以下的罚款；逾期未改正的，处13万元以上17万元以下的罚款，对其直接负责的主管人员和其他直接责任人员处1万元以上2万元以下的罚款；情节严重的，责令停产停业整顿。"</w:t>
            </w:r>
          </w:p>
          <w:p w14:paraId="02DBBD07">
            <w:pPr>
              <w:spacing w:line="232" w:lineRule="exact"/>
              <w:rPr>
                <w:rFonts w:ascii="宋体" w:hAnsi="宋体" w:eastAsia="宋体" w:cs="宋体"/>
                <w:strike/>
                <w:dstrike w:val="0"/>
                <w:color w:val="auto"/>
                <w:kern w:val="0"/>
                <w:sz w:val="15"/>
                <w:szCs w:val="15"/>
                <w:highlight w:val="none"/>
              </w:rPr>
            </w:pPr>
          </w:p>
        </w:tc>
        <w:tc>
          <w:tcPr>
            <w:tcW w:w="2016" w:type="dxa"/>
            <w:noWrap w:val="0"/>
            <w:vAlign w:val="center"/>
          </w:tcPr>
          <w:p w14:paraId="1FBCB913">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对燃气经营者</w:t>
            </w:r>
            <w:r>
              <w:rPr>
                <w:rFonts w:hint="eastAsia" w:ascii="宋体" w:hAnsi="宋体" w:eastAsia="宋体" w:cs="宋体"/>
                <w:color w:val="auto"/>
                <w:kern w:val="0"/>
                <w:sz w:val="15"/>
                <w:szCs w:val="15"/>
                <w:highlight w:val="none"/>
              </w:rPr>
              <w:t>的</w:t>
            </w:r>
            <w:r>
              <w:rPr>
                <w:rFonts w:ascii="宋体" w:hAnsi="宋体" w:eastAsia="宋体" w:cs="宋体"/>
                <w:color w:val="auto"/>
                <w:kern w:val="0"/>
                <w:sz w:val="15"/>
                <w:szCs w:val="15"/>
                <w:highlight w:val="none"/>
              </w:rPr>
              <w:t>违法行为，适用《城镇燃气管理条例》处罚。逾期未改正的，应另行立案，适用《中华人民共和国安全生产法》“逾期未改正”情形处罚。</w:t>
            </w:r>
          </w:p>
          <w:p w14:paraId="5E0B839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《应急管理行政裁量权基准暂行规定》（应急管理部令第12号）</w:t>
            </w:r>
          </w:p>
          <w:p w14:paraId="1BEBDEEF">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《应急管理行政处罚裁量权基准》</w:t>
            </w:r>
          </w:p>
          <w:p w14:paraId="39722AA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《北京市安全生产行政处罚自由裁量基准》（2025 年修订版）</w:t>
            </w:r>
          </w:p>
        </w:tc>
        <w:tc>
          <w:tcPr>
            <w:tcW w:w="1304" w:type="dxa"/>
            <w:gridSpan w:val="2"/>
            <w:noWrap w:val="0"/>
            <w:vAlign w:val="center"/>
          </w:tcPr>
          <w:p w14:paraId="6412DED3">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14:paraId="06417A2A">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14:paraId="054B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14:paraId="4827657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14:paraId="2E288612">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燃气经营者未定期进行巡查、检测、维修和维护 </w:t>
            </w:r>
          </w:p>
        </w:tc>
        <w:tc>
          <w:tcPr>
            <w:tcW w:w="2981" w:type="dxa"/>
            <w:noWrap w:val="0"/>
            <w:vAlign w:val="center"/>
          </w:tcPr>
          <w:p w14:paraId="6C159E97">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违反条款：第三十五条；处罚条款：第四十八条 责令限期改正，处1万元以上10万元以下罚款。</w:t>
            </w:r>
          </w:p>
        </w:tc>
        <w:tc>
          <w:tcPr>
            <w:tcW w:w="851" w:type="dxa"/>
            <w:noWrap w:val="0"/>
            <w:vAlign w:val="center"/>
          </w:tcPr>
          <w:p w14:paraId="23CA47F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39EAC0D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3F8EB9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超出检查周期半年以内未进行检查的，系数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半年以上的，系数</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 xml:space="preserve"> </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.未按燃气管理部门要求整改，或整改后再次发生类似违法行为的，系数9；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E62E06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654AC841">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234C4F2F">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14:paraId="7AC165B3">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c>
          <w:tcPr>
            <w:tcW w:w="1869" w:type="dxa"/>
            <w:noWrap w:val="0"/>
            <w:vAlign w:val="center"/>
          </w:tcPr>
          <w:p w14:paraId="4779C56B">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C4618600</w:t>
            </w:r>
          </w:p>
        </w:tc>
      </w:tr>
      <w:tr w14:paraId="62CF9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41" w:hRule="atLeast"/>
        </w:trPr>
        <w:tc>
          <w:tcPr>
            <w:tcW w:w="714" w:type="dxa"/>
            <w:vMerge w:val="restart"/>
            <w:noWrap w:val="0"/>
            <w:vAlign w:val="center"/>
          </w:tcPr>
          <w:p w14:paraId="338E3F3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vMerge w:val="restart"/>
            <w:noWrap w:val="0"/>
            <w:vAlign w:val="center"/>
          </w:tcPr>
          <w:p w14:paraId="467B9C63">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未采取措施及时消除燃气安全事故隐患</w:t>
            </w:r>
          </w:p>
        </w:tc>
        <w:tc>
          <w:tcPr>
            <w:tcW w:w="2981" w:type="dxa"/>
            <w:noWrap w:val="0"/>
            <w:vAlign w:val="center"/>
          </w:tcPr>
          <w:p w14:paraId="026BC811">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违反条款：《城镇燃气管理条例》第四十一条第一款；处罚条款：第四十八条 责令限期改正，处1万元以上10万元以下罚款。</w:t>
            </w:r>
          </w:p>
        </w:tc>
        <w:tc>
          <w:tcPr>
            <w:tcW w:w="851" w:type="dxa"/>
            <w:noWrap w:val="0"/>
            <w:vAlign w:val="center"/>
          </w:tcPr>
          <w:p w14:paraId="4E002B8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10C6DF4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9B733B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B27490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45D60046">
            <w:pPr>
              <w:spacing w:line="232" w:lineRule="exact"/>
              <w:rPr>
                <w:color w:val="auto"/>
                <w:highlight w:val="none"/>
              </w:rPr>
            </w:pPr>
            <w:r>
              <w:rPr>
                <w:rFonts w:hint="eastAsia" w:ascii="宋体" w:hAnsi="宋体" w:eastAsia="宋体"/>
                <w:color w:val="auto"/>
                <w:sz w:val="15"/>
                <w:szCs w:val="15"/>
                <w:highlight w:val="none"/>
              </w:rPr>
              <w:t>对</w:t>
            </w:r>
            <w:r>
              <w:rPr>
                <w:rFonts w:hint="eastAsia" w:ascii="宋体" w:hAnsi="宋体" w:eastAsia="宋体" w:cs="Times New Roman"/>
                <w:color w:val="auto"/>
                <w:spacing w:val="-4"/>
                <w:kern w:val="2"/>
                <w:sz w:val="15"/>
                <w:szCs w:val="15"/>
                <w:highlight w:val="none"/>
                <w:lang w:val="en-US" w:eastAsia="zh-CN" w:bidi="ar-SA"/>
              </w:rPr>
              <w:t>燃气经营者相关违法行为，适用《城镇燃气管理条例》处罚。拒不执行的，应另行立案，适用《中华人民共和国安全生产法》“拒不执行”情形处罚。</w:t>
            </w:r>
          </w:p>
        </w:tc>
        <w:tc>
          <w:tcPr>
            <w:tcW w:w="1304" w:type="dxa"/>
            <w:gridSpan w:val="2"/>
            <w:noWrap w:val="0"/>
            <w:vAlign w:val="center"/>
          </w:tcPr>
          <w:p w14:paraId="2C34832E">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14:paraId="08CAAD1A">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c>
          <w:tcPr>
            <w:tcW w:w="1869" w:type="dxa"/>
            <w:noWrap w:val="0"/>
            <w:vAlign w:val="center"/>
          </w:tcPr>
          <w:p w14:paraId="48200BC7">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C4618700</w:t>
            </w:r>
          </w:p>
        </w:tc>
      </w:tr>
      <w:tr w14:paraId="6490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801" w:hRule="atLeast"/>
        </w:trPr>
        <w:tc>
          <w:tcPr>
            <w:tcW w:w="714" w:type="dxa"/>
            <w:vMerge w:val="continue"/>
            <w:noWrap w:val="0"/>
            <w:vAlign w:val="center"/>
          </w:tcPr>
          <w:p w14:paraId="6A980F0E">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59DD88BD">
            <w:pPr>
              <w:spacing w:line="232" w:lineRule="exact"/>
              <w:rPr>
                <w:rFonts w:ascii="宋体" w:hAnsi="宋体" w:eastAsia="宋体"/>
                <w:color w:val="auto"/>
                <w:sz w:val="15"/>
                <w:szCs w:val="15"/>
                <w:highlight w:val="none"/>
              </w:rPr>
            </w:pPr>
          </w:p>
        </w:tc>
        <w:tc>
          <w:tcPr>
            <w:tcW w:w="2981" w:type="dxa"/>
            <w:noWrap w:val="0"/>
            <w:vAlign w:val="center"/>
          </w:tcPr>
          <w:p w14:paraId="521F66EC">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5946" w:type="dxa"/>
            <w:gridSpan w:val="6"/>
            <w:noWrap w:val="0"/>
            <w:vAlign w:val="center"/>
          </w:tcPr>
          <w:p w14:paraId="0605478E">
            <w:pPr>
              <w:pStyle w:val="8"/>
              <w:rPr>
                <w:rFonts w:hint="eastAsia" w:ascii="宋体" w:hAnsi="宋体" w:eastAsia="宋体" w:cs="Times New Roman"/>
                <w:color w:val="auto"/>
                <w:spacing w:val="-4"/>
                <w:sz w:val="15"/>
                <w:szCs w:val="15"/>
                <w:highlight w:val="none"/>
                <w:lang w:val="en-US" w:eastAsia="zh-CN"/>
              </w:rPr>
            </w:pPr>
            <w:r>
              <w:rPr>
                <w:rFonts w:hint="eastAsia" w:ascii="宋体" w:hAnsi="宋体" w:eastAsia="宋体" w:cs="Times New Roman"/>
                <w:color w:val="auto"/>
                <w:spacing w:val="-4"/>
                <w:sz w:val="15"/>
                <w:szCs w:val="15"/>
                <w:highlight w:val="none"/>
                <w:lang w:val="en-US" w:eastAsia="zh-CN"/>
              </w:rPr>
              <w:t>依据应急管理部门的裁量权基准执行。【“以上”包含本数、“以下”除法律规定的包含本数和最高档的“以下”包含本数外，其余均不包含本数。】</w:t>
            </w:r>
          </w:p>
          <w:p w14:paraId="768E88AF">
            <w:pPr>
              <w:pStyle w:val="8"/>
              <w:rPr>
                <w:rFonts w:hint="eastAsia" w:ascii="宋体" w:hAnsi="宋体" w:eastAsia="宋体" w:cs="Times New Roman"/>
                <w:color w:val="auto"/>
                <w:spacing w:val="-4"/>
                <w:sz w:val="15"/>
                <w:szCs w:val="15"/>
                <w:highlight w:val="none"/>
                <w:lang w:val="en-US" w:eastAsia="zh-CN"/>
              </w:rPr>
            </w:pPr>
            <w:r>
              <w:rPr>
                <w:rFonts w:hint="eastAsia" w:ascii="宋体" w:hAnsi="宋体" w:eastAsia="宋体" w:cs="Times New Roman"/>
                <w:color w:val="auto"/>
                <w:spacing w:val="-4"/>
                <w:sz w:val="15"/>
                <w:szCs w:val="15"/>
                <w:highlight w:val="none"/>
                <w:lang w:val="en-US" w:eastAsia="zh-CN"/>
              </w:rPr>
              <w:t>1.未对3处以下一般事故隐患或1处重大事故隐患采取措施消除的，责令立即消除或者限期消除，处2万元以下的罚款；生产经营单位拒不执行的，责令停产停业整顿，对其直接负责的主管人员和其他直接责任人员处5万元以上7万元以下的罚款；</w:t>
            </w:r>
          </w:p>
          <w:p w14:paraId="2D232CCC">
            <w:pPr>
              <w:pStyle w:val="8"/>
              <w:rPr>
                <w:rFonts w:hint="eastAsia" w:ascii="宋体" w:hAnsi="宋体" w:eastAsia="宋体" w:cs="Times New Roman"/>
                <w:color w:val="auto"/>
                <w:spacing w:val="-4"/>
                <w:sz w:val="15"/>
                <w:szCs w:val="15"/>
                <w:highlight w:val="none"/>
                <w:lang w:val="en-US" w:eastAsia="zh-CN"/>
              </w:rPr>
            </w:pPr>
            <w:r>
              <w:rPr>
                <w:rFonts w:hint="eastAsia" w:ascii="宋体" w:hAnsi="宋体" w:eastAsia="宋体" w:cs="Times New Roman"/>
                <w:color w:val="auto"/>
                <w:spacing w:val="-4"/>
                <w:sz w:val="15"/>
                <w:szCs w:val="15"/>
                <w:highlight w:val="none"/>
                <w:lang w:val="en-US" w:eastAsia="zh-CN"/>
              </w:rPr>
              <w:t>2.未对3处以上7处以下一般事故隐患或2处重大事故隐患采取措施消除的，责令立即消除或者限期消除，处2万元以上4万元以下的罚款；生产经营单位拒不执行的，责令停产停业整顿，对其直接负责的主管人员和其他直接责任人员处7万元以上9万元以下的罚款；</w:t>
            </w:r>
          </w:p>
          <w:p w14:paraId="2E5B395F">
            <w:pPr>
              <w:pStyle w:val="8"/>
              <w:rPr>
                <w:rFonts w:ascii="宋体" w:hAnsi="宋体" w:eastAsia="宋体" w:cs="宋体"/>
                <w:strike/>
                <w:dstrike w:val="0"/>
                <w:color w:val="auto"/>
                <w:kern w:val="0"/>
                <w:sz w:val="15"/>
                <w:szCs w:val="15"/>
                <w:highlight w:val="none"/>
              </w:rPr>
            </w:pPr>
            <w:r>
              <w:rPr>
                <w:rFonts w:hint="eastAsia" w:ascii="宋体" w:hAnsi="宋体" w:eastAsia="宋体" w:cs="Times New Roman"/>
                <w:color w:val="auto"/>
                <w:spacing w:val="-4"/>
                <w:sz w:val="15"/>
                <w:szCs w:val="15"/>
                <w:highlight w:val="none"/>
                <w:lang w:val="en-US" w:eastAsia="zh-CN"/>
              </w:rPr>
              <w:t>3.未对7处以上一般事故隐患或3处以上重大事故隐患采取措施消除的，责令立即消除或者限期消除，处4万元以上5万元以下的罚款；生产经营单位拒不执行的，责令停产停业整顿，对其直接负责的主管人员和其他直接责任人员处9万元以上10万元以下的罚款。</w:t>
            </w:r>
          </w:p>
        </w:tc>
        <w:tc>
          <w:tcPr>
            <w:tcW w:w="2016" w:type="dxa"/>
            <w:noWrap w:val="0"/>
            <w:vAlign w:val="center"/>
          </w:tcPr>
          <w:p w14:paraId="137052E5">
            <w:pPr>
              <w:pStyle w:val="8"/>
              <w:rPr>
                <w:rFonts w:hint="eastAsia" w:ascii="宋体" w:hAnsi="宋体" w:eastAsia="宋体" w:cs="Times New Roman"/>
                <w:color w:val="auto"/>
                <w:spacing w:val="-4"/>
                <w:sz w:val="15"/>
                <w:szCs w:val="15"/>
                <w:highlight w:val="none"/>
                <w:lang w:val="en-US" w:eastAsia="zh-CN"/>
              </w:rPr>
            </w:pPr>
            <w:r>
              <w:rPr>
                <w:rFonts w:hint="eastAsia" w:ascii="宋体" w:hAnsi="宋体" w:eastAsia="宋体" w:cs="Times New Roman"/>
                <w:color w:val="auto"/>
                <w:spacing w:val="-4"/>
                <w:sz w:val="15"/>
                <w:szCs w:val="15"/>
                <w:highlight w:val="none"/>
                <w:lang w:val="en-US" w:eastAsia="zh-CN"/>
              </w:rPr>
              <w:t>《应急管理行政裁量权基准暂行规定》（应急管理部令第12号）</w:t>
            </w:r>
          </w:p>
          <w:p w14:paraId="0529AB62">
            <w:pPr>
              <w:pStyle w:val="8"/>
              <w:rPr>
                <w:rFonts w:hint="eastAsia" w:ascii="宋体" w:hAnsi="宋体" w:eastAsia="宋体" w:cs="Times New Roman"/>
                <w:color w:val="auto"/>
                <w:spacing w:val="-4"/>
                <w:sz w:val="15"/>
                <w:szCs w:val="15"/>
                <w:highlight w:val="none"/>
                <w:lang w:val="en-US" w:eastAsia="zh-CN"/>
              </w:rPr>
            </w:pPr>
            <w:r>
              <w:rPr>
                <w:rFonts w:hint="eastAsia" w:ascii="宋体" w:hAnsi="宋体" w:eastAsia="宋体" w:cs="Times New Roman"/>
                <w:color w:val="auto"/>
                <w:spacing w:val="-4"/>
                <w:sz w:val="15"/>
                <w:szCs w:val="15"/>
                <w:highlight w:val="none"/>
                <w:lang w:val="en-US" w:eastAsia="zh-CN"/>
              </w:rPr>
              <w:t>《应急管理行政处罚裁量权基准》</w:t>
            </w:r>
          </w:p>
          <w:p w14:paraId="4541B1DF">
            <w:pPr>
              <w:pStyle w:val="8"/>
              <w:rPr>
                <w:rFonts w:ascii="宋体" w:hAnsi="宋体" w:eastAsia="宋体" w:cs="宋体"/>
                <w:color w:val="auto"/>
                <w:kern w:val="0"/>
                <w:sz w:val="15"/>
                <w:szCs w:val="15"/>
                <w:highlight w:val="none"/>
              </w:rPr>
            </w:pPr>
            <w:r>
              <w:rPr>
                <w:rFonts w:hint="eastAsia" w:ascii="宋体" w:hAnsi="宋体" w:eastAsia="宋体" w:cs="Times New Roman"/>
                <w:color w:val="auto"/>
                <w:spacing w:val="-4"/>
                <w:sz w:val="15"/>
                <w:szCs w:val="15"/>
                <w:highlight w:val="none"/>
                <w:lang w:val="en-US" w:eastAsia="zh-CN"/>
              </w:rPr>
              <w:t>《北京市安全生产行政处罚自由裁量基准》（2025 年修订版）</w:t>
            </w:r>
          </w:p>
        </w:tc>
        <w:tc>
          <w:tcPr>
            <w:tcW w:w="1304" w:type="dxa"/>
            <w:gridSpan w:val="2"/>
            <w:noWrap w:val="0"/>
            <w:vAlign w:val="center"/>
          </w:tcPr>
          <w:p w14:paraId="556FB397">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14:paraId="700F3A50">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c>
          <w:tcPr>
            <w:tcW w:w="1869" w:type="dxa"/>
            <w:noWrap w:val="0"/>
            <w:vAlign w:val="center"/>
          </w:tcPr>
          <w:p w14:paraId="14670F81">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C4618700</w:t>
            </w:r>
          </w:p>
        </w:tc>
      </w:tr>
      <w:tr w14:paraId="147B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15" w:hRule="atLeast"/>
        </w:trPr>
        <w:tc>
          <w:tcPr>
            <w:tcW w:w="714" w:type="dxa"/>
            <w:noWrap w:val="0"/>
            <w:vAlign w:val="center"/>
          </w:tcPr>
          <w:p w14:paraId="5136583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14:paraId="1817F1E1">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擅自操作公用燃气阀门</w:t>
            </w:r>
          </w:p>
        </w:tc>
        <w:tc>
          <w:tcPr>
            <w:tcW w:w="2981" w:type="dxa"/>
            <w:noWrap w:val="0"/>
            <w:vAlign w:val="center"/>
          </w:tcPr>
          <w:p w14:paraId="7091AFBC">
            <w:pPr>
              <w:spacing w:line="22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14:paraId="2141380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48334C1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60FE7C1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03B5ED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lang w:val="en-US" w:eastAsia="zh-CN"/>
              </w:rPr>
              <w:t>安</w:t>
            </w:r>
            <w:r>
              <w:rPr>
                <w:rFonts w:hint="eastAsia" w:ascii="宋体" w:hAnsi="宋体" w:eastAsia="宋体" w:cs="宋体"/>
                <w:color w:val="auto"/>
                <w:kern w:val="0"/>
                <w:sz w:val="15"/>
                <w:szCs w:val="15"/>
                <w:highlight w:val="none"/>
              </w:rPr>
              <w:t>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434F3C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2737ABE6">
            <w:pPr>
              <w:spacing w:line="23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14:paraId="3CD7B62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1304" w:type="dxa"/>
            <w:gridSpan w:val="2"/>
            <w:noWrap w:val="0"/>
            <w:vAlign w:val="center"/>
          </w:tcPr>
          <w:p w14:paraId="13CDB8B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B12542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3321770">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C4618800</w:t>
            </w:r>
          </w:p>
        </w:tc>
      </w:tr>
      <w:tr w14:paraId="29D86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15" w:hRule="atLeast"/>
        </w:trPr>
        <w:tc>
          <w:tcPr>
            <w:tcW w:w="714" w:type="dxa"/>
            <w:noWrap w:val="0"/>
            <w:vAlign w:val="center"/>
          </w:tcPr>
          <w:p w14:paraId="6F06138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6" w:type="dxa"/>
            <w:gridSpan w:val="2"/>
            <w:noWrap w:val="0"/>
            <w:vAlign w:val="center"/>
          </w:tcPr>
          <w:p w14:paraId="7CCAEDE4">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将燃气管道作为负重支架或者接地引线</w:t>
            </w:r>
          </w:p>
        </w:tc>
        <w:tc>
          <w:tcPr>
            <w:tcW w:w="2981" w:type="dxa"/>
            <w:noWrap w:val="0"/>
            <w:vAlign w:val="center"/>
          </w:tcPr>
          <w:p w14:paraId="6B3880EA">
            <w:pPr>
              <w:spacing w:line="22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14:paraId="50B0C1B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57E04E5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3E0AC6D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556958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EFBAB1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545221FA">
            <w:pPr>
              <w:spacing w:line="23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14:paraId="1C18A75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1304" w:type="dxa"/>
            <w:gridSpan w:val="2"/>
            <w:noWrap w:val="0"/>
            <w:vAlign w:val="center"/>
          </w:tcPr>
          <w:p w14:paraId="51D5088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4536BD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2B46B75">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C4618900</w:t>
            </w:r>
          </w:p>
        </w:tc>
      </w:tr>
      <w:tr w14:paraId="59339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12" w:hRule="atLeast"/>
        </w:trPr>
        <w:tc>
          <w:tcPr>
            <w:tcW w:w="714" w:type="dxa"/>
            <w:noWrap w:val="0"/>
            <w:vAlign w:val="center"/>
          </w:tcPr>
          <w:p w14:paraId="3A3BF0C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noWrap w:val="0"/>
            <w:vAlign w:val="center"/>
          </w:tcPr>
          <w:p w14:paraId="2C782F00">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安装、使用不符合气源要求的燃气燃烧器具</w:t>
            </w:r>
          </w:p>
        </w:tc>
        <w:tc>
          <w:tcPr>
            <w:tcW w:w="2981" w:type="dxa"/>
            <w:noWrap w:val="0"/>
            <w:vAlign w:val="center"/>
          </w:tcPr>
          <w:p w14:paraId="44D1A8B9">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14:paraId="2E2DDD16">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2D0E3746">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3C5A2CA6">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03742E6">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w:t>
            </w:r>
            <w:r>
              <w:rPr>
                <w:rFonts w:hint="eastAsia" w:ascii="宋体" w:hAnsi="宋体" w:eastAsia="宋体" w:cs="宋体"/>
                <w:color w:val="auto"/>
                <w:kern w:val="0"/>
                <w:sz w:val="15"/>
                <w:szCs w:val="15"/>
                <w:highlight w:val="none"/>
                <w:lang w:eastAsia="zh-CN"/>
              </w:rPr>
              <w:t>安装、使用明令淘汰的燃气燃烧器</w:t>
            </w:r>
            <w:r>
              <w:rPr>
                <w:rFonts w:hint="eastAsia" w:ascii="宋体" w:hAnsi="宋体" w:eastAsia="宋体"/>
                <w:color w:val="auto"/>
                <w:sz w:val="15"/>
                <w:szCs w:val="15"/>
                <w:highlight w:val="none"/>
              </w:rPr>
              <w:t>具</w:t>
            </w:r>
            <w:r>
              <w:rPr>
                <w:rFonts w:hint="eastAsia" w:ascii="宋体" w:hAnsi="宋体" w:eastAsia="宋体"/>
                <w:color w:val="auto"/>
                <w:sz w:val="15"/>
                <w:szCs w:val="15"/>
                <w:highlight w:val="none"/>
                <w:lang w:eastAsia="zh-CN"/>
              </w:rPr>
              <w:t>的，系数</w:t>
            </w:r>
            <w:r>
              <w:rPr>
                <w:rFonts w:hint="default" w:ascii="宋体" w:hAnsi="宋体" w:eastAsia="宋体"/>
                <w:color w:val="auto"/>
                <w:sz w:val="15"/>
                <w:szCs w:val="15"/>
                <w:highlight w:val="none"/>
                <w:lang w:val="en" w:eastAsia="zh-CN"/>
              </w:rPr>
              <w:t>4</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lang w:val="en-US" w:eastAsia="zh-CN"/>
              </w:rPr>
              <w:t>3</w:t>
            </w:r>
            <w:r>
              <w:rPr>
                <w:rFonts w:hint="default" w:ascii="宋体" w:hAnsi="宋体" w:eastAsia="宋体"/>
                <w:color w:val="auto"/>
                <w:sz w:val="15"/>
                <w:szCs w:val="15"/>
                <w:highlight w:val="none"/>
                <w:lang w:val="en" w:eastAsia="zh-CN"/>
              </w:rPr>
              <w:t>.</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A5F0E45">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04AEC2C7">
            <w:pPr>
              <w:spacing w:line="240"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14:paraId="56DB8554">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1304" w:type="dxa"/>
            <w:gridSpan w:val="2"/>
            <w:noWrap w:val="0"/>
            <w:vAlign w:val="center"/>
          </w:tcPr>
          <w:p w14:paraId="39E17C1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7783F5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31356B8">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C4619000</w:t>
            </w:r>
          </w:p>
        </w:tc>
      </w:tr>
      <w:tr w14:paraId="5C0D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91" w:hRule="atLeast"/>
        </w:trPr>
        <w:tc>
          <w:tcPr>
            <w:tcW w:w="714" w:type="dxa"/>
            <w:noWrap w:val="0"/>
            <w:vAlign w:val="center"/>
          </w:tcPr>
          <w:p w14:paraId="2D7A210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6" w:type="dxa"/>
            <w:gridSpan w:val="2"/>
            <w:noWrap w:val="0"/>
            <w:vAlign w:val="center"/>
          </w:tcPr>
          <w:p w14:paraId="79F5515C">
            <w:pPr>
              <w:spacing w:line="232" w:lineRule="exact"/>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擅自安装、改装、拆除户内燃气设施和燃气计量装置</w:t>
            </w:r>
          </w:p>
        </w:tc>
        <w:tc>
          <w:tcPr>
            <w:tcW w:w="2981" w:type="dxa"/>
            <w:noWrap w:val="0"/>
            <w:vAlign w:val="center"/>
          </w:tcPr>
          <w:p w14:paraId="647D2B99">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14:paraId="390E7A71">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4D1914C5">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63ECBB7A">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6456815">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，系数4</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F137FC6">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3155AB82">
            <w:pPr>
              <w:spacing w:line="232" w:lineRule="exact"/>
              <w:rPr>
                <w:rFonts w:hint="eastAsia" w:ascii="宋体" w:hAnsi="宋体" w:eastAsia="宋体"/>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14:paraId="07256BC2">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1304" w:type="dxa"/>
            <w:gridSpan w:val="2"/>
            <w:noWrap w:val="0"/>
            <w:vAlign w:val="center"/>
          </w:tcPr>
          <w:p w14:paraId="2C3C422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10E9E9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1B67058">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C4619100</w:t>
            </w:r>
          </w:p>
        </w:tc>
      </w:tr>
      <w:tr w14:paraId="63F56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66" w:hRule="atLeast"/>
        </w:trPr>
        <w:tc>
          <w:tcPr>
            <w:tcW w:w="714" w:type="dxa"/>
            <w:noWrap w:val="0"/>
            <w:vAlign w:val="center"/>
          </w:tcPr>
          <w:p w14:paraId="6A11F2D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6" w:type="dxa"/>
            <w:gridSpan w:val="2"/>
            <w:noWrap w:val="0"/>
            <w:vAlign w:val="center"/>
          </w:tcPr>
          <w:p w14:paraId="282DF566">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在不具备安全条件的场所使用、储存燃气</w:t>
            </w:r>
          </w:p>
        </w:tc>
        <w:tc>
          <w:tcPr>
            <w:tcW w:w="2981" w:type="dxa"/>
            <w:noWrap w:val="0"/>
            <w:vAlign w:val="center"/>
          </w:tcPr>
          <w:p w14:paraId="06212F34">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14:paraId="4F62A0F6">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738F08C4">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61FB1FB0">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033666F">
            <w:pPr>
              <w:spacing w:line="240" w:lineRule="exact"/>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color w:val="auto"/>
                <w:kern w:val="0"/>
                <w:sz w:val="15"/>
                <w:szCs w:val="15"/>
                <w:highlight w:val="none"/>
                <w:lang w:val="en-US" w:eastAsia="zh-CN"/>
              </w:rPr>
              <w:t>2个及以上不合格安全条件的，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4个及以上的，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eastAsia="zh-CN"/>
              </w:rPr>
              <w:t>以此类推，</w:t>
            </w:r>
            <w:r>
              <w:rPr>
                <w:rFonts w:hint="eastAsia" w:ascii="宋体" w:hAnsi="宋体" w:eastAsia="宋体" w:cs="宋体"/>
                <w:b w:val="0"/>
                <w:bCs w:val="0"/>
                <w:color w:val="auto"/>
                <w:kern w:val="0"/>
                <w:sz w:val="15"/>
                <w:szCs w:val="15"/>
                <w:highlight w:val="none"/>
                <w:lang w:val="en-US" w:eastAsia="zh-CN"/>
              </w:rPr>
              <w:t>8个及以上的，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12E58A0">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3B654676">
            <w:pPr>
              <w:spacing w:line="240"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14:paraId="5B73EF82">
            <w:pPr>
              <w:spacing w:line="24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1304" w:type="dxa"/>
            <w:gridSpan w:val="2"/>
            <w:noWrap w:val="0"/>
            <w:vAlign w:val="center"/>
          </w:tcPr>
          <w:p w14:paraId="66BFB95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0FE190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581B211">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C4619200</w:t>
            </w:r>
          </w:p>
        </w:tc>
      </w:tr>
      <w:tr w14:paraId="7DA4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89" w:hRule="atLeast"/>
        </w:trPr>
        <w:tc>
          <w:tcPr>
            <w:tcW w:w="714" w:type="dxa"/>
            <w:noWrap w:val="0"/>
            <w:vAlign w:val="center"/>
          </w:tcPr>
          <w:p w14:paraId="050AF11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626" w:type="dxa"/>
            <w:gridSpan w:val="2"/>
            <w:noWrap w:val="0"/>
            <w:vAlign w:val="center"/>
          </w:tcPr>
          <w:p w14:paraId="34B28AB8">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改变燃气用途或者转供燃气</w:t>
            </w:r>
          </w:p>
        </w:tc>
        <w:tc>
          <w:tcPr>
            <w:tcW w:w="2981" w:type="dxa"/>
            <w:noWrap w:val="0"/>
            <w:vAlign w:val="center"/>
          </w:tcPr>
          <w:p w14:paraId="093A4089">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noWrap w:val="0"/>
            <w:vAlign w:val="center"/>
          </w:tcPr>
          <w:p w14:paraId="38F10E34">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574BECDF">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3B5AAED3">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2B27F5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9456038">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35AAAC9E">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14:paraId="4BE3641F">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1304" w:type="dxa"/>
            <w:gridSpan w:val="2"/>
            <w:noWrap w:val="0"/>
            <w:vAlign w:val="center"/>
          </w:tcPr>
          <w:p w14:paraId="25249AF2">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8A54EF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D74B98D">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C4619300</w:t>
            </w:r>
          </w:p>
        </w:tc>
      </w:tr>
      <w:tr w14:paraId="61290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23" w:hRule="atLeast"/>
        </w:trPr>
        <w:tc>
          <w:tcPr>
            <w:tcW w:w="714" w:type="dxa"/>
            <w:noWrap w:val="0"/>
            <w:vAlign w:val="center"/>
          </w:tcPr>
          <w:p w14:paraId="48E8CAB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626" w:type="dxa"/>
            <w:gridSpan w:val="2"/>
            <w:noWrap w:val="0"/>
            <w:vAlign w:val="center"/>
          </w:tcPr>
          <w:p w14:paraId="3D212DBE">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未设立售后服务站点或者未配备经考核合格的燃气燃烧器具安装、维修人员</w:t>
            </w:r>
          </w:p>
        </w:tc>
        <w:tc>
          <w:tcPr>
            <w:tcW w:w="2981" w:type="dxa"/>
            <w:noWrap w:val="0"/>
            <w:vAlign w:val="center"/>
          </w:tcPr>
          <w:p w14:paraId="5FE277FB">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noWrap w:val="0"/>
            <w:vAlign w:val="center"/>
          </w:tcPr>
          <w:p w14:paraId="3660D2CE">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68194263">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042D8D35">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80AB8C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违法行为持续时间超过半年的，系数4；1年以上</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，系数9；2.未按燃气管理部门要求整改，或整改后再次发生类似违法行为的，系数9；3.发生相关燃气安全事故的，系数9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231CC9A">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0866690B">
            <w:pPr>
              <w:spacing w:line="212" w:lineRule="exact"/>
              <w:rPr>
                <w:rFonts w:hint="eastAsia" w:ascii="宋体" w:hAnsi="宋体" w:eastAsia="宋体"/>
                <w:color w:val="auto"/>
                <w:sz w:val="15"/>
                <w:szCs w:val="15"/>
                <w:highlight w:val="none"/>
              </w:rPr>
            </w:pPr>
          </w:p>
          <w:p w14:paraId="350D320F">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14:paraId="4B93B983">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1304" w:type="dxa"/>
            <w:gridSpan w:val="2"/>
            <w:noWrap w:val="0"/>
            <w:vAlign w:val="center"/>
          </w:tcPr>
          <w:p w14:paraId="096B5837">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14:paraId="3FF12DA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869" w:type="dxa"/>
            <w:noWrap w:val="0"/>
            <w:vAlign w:val="center"/>
          </w:tcPr>
          <w:p w14:paraId="4EF13B9A">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C4619400</w:t>
            </w:r>
          </w:p>
        </w:tc>
      </w:tr>
      <w:tr w14:paraId="66373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12" w:hRule="atLeast"/>
        </w:trPr>
        <w:tc>
          <w:tcPr>
            <w:tcW w:w="714" w:type="dxa"/>
            <w:noWrap w:val="0"/>
            <w:vAlign w:val="center"/>
          </w:tcPr>
          <w:p w14:paraId="23102DF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626" w:type="dxa"/>
            <w:gridSpan w:val="2"/>
            <w:noWrap w:val="0"/>
            <w:vAlign w:val="center"/>
          </w:tcPr>
          <w:p w14:paraId="1702B291">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燃气燃烧器具的安装、维修不符合国家有关标准</w:t>
            </w:r>
          </w:p>
        </w:tc>
        <w:tc>
          <w:tcPr>
            <w:tcW w:w="2981" w:type="dxa"/>
            <w:noWrap w:val="0"/>
            <w:vAlign w:val="center"/>
          </w:tcPr>
          <w:p w14:paraId="384A6163">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noWrap w:val="0"/>
            <w:vAlign w:val="center"/>
          </w:tcPr>
          <w:p w14:paraId="74D12EDA">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584E7E18">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1EE7C481">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2F63A1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违法行为持续时间超过半年的，系数4；1年以上</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，系数9；2.未按燃气管理部门要求整改，或整改后再次发生类似违法行为的，系数9；3.发生相关燃气安全事故的，系数9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1E96045">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6CA331C4">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14:paraId="4528BC48">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1304" w:type="dxa"/>
            <w:gridSpan w:val="2"/>
            <w:noWrap w:val="0"/>
            <w:vAlign w:val="center"/>
          </w:tcPr>
          <w:p w14:paraId="710ABCC7">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14:paraId="1189F29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869" w:type="dxa"/>
            <w:noWrap w:val="0"/>
            <w:vAlign w:val="center"/>
          </w:tcPr>
          <w:p w14:paraId="4476E046">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C4619500</w:t>
            </w:r>
          </w:p>
        </w:tc>
      </w:tr>
      <w:tr w14:paraId="768B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62" w:hRule="atLeast"/>
        </w:trPr>
        <w:tc>
          <w:tcPr>
            <w:tcW w:w="714" w:type="dxa"/>
            <w:vMerge w:val="restart"/>
            <w:noWrap w:val="0"/>
            <w:vAlign w:val="center"/>
          </w:tcPr>
          <w:p w14:paraId="7908B9B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626" w:type="dxa"/>
            <w:gridSpan w:val="2"/>
            <w:vMerge w:val="restart"/>
            <w:noWrap w:val="0"/>
            <w:vAlign w:val="center"/>
          </w:tcPr>
          <w:p w14:paraId="38699EBA">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在燃气设施保护范围内进行爆破取土等作业或者动用明火</w:t>
            </w:r>
          </w:p>
        </w:tc>
        <w:tc>
          <w:tcPr>
            <w:tcW w:w="2981" w:type="dxa"/>
            <w:vMerge w:val="restart"/>
            <w:noWrap w:val="0"/>
            <w:vAlign w:val="center"/>
          </w:tcPr>
          <w:p w14:paraId="65BD422A">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违反条款：第三十三条第二款第（二）项；处罚条款：第五十条第一款第（一）项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14:paraId="063B106D">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14:paraId="609E5E72">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39BAF307">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1DAC86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影响用气情形的，系数0.5；</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DE9CB83">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401E6FC1">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14:paraId="6EB5918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1A749CF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5FCDBFA9">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C4619600</w:t>
            </w:r>
          </w:p>
        </w:tc>
      </w:tr>
      <w:tr w14:paraId="7C01C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22" w:hRule="atLeast"/>
        </w:trPr>
        <w:tc>
          <w:tcPr>
            <w:tcW w:w="714" w:type="dxa"/>
            <w:vMerge w:val="continue"/>
            <w:noWrap w:val="0"/>
            <w:vAlign w:val="center"/>
          </w:tcPr>
          <w:p w14:paraId="5B9C496D">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51978888">
            <w:pPr>
              <w:spacing w:line="190" w:lineRule="exact"/>
              <w:rPr>
                <w:rFonts w:ascii="宋体" w:hAnsi="宋体" w:eastAsia="宋体"/>
                <w:color w:val="auto"/>
                <w:sz w:val="15"/>
                <w:szCs w:val="15"/>
                <w:highlight w:val="none"/>
              </w:rPr>
            </w:pPr>
          </w:p>
        </w:tc>
        <w:tc>
          <w:tcPr>
            <w:tcW w:w="2981" w:type="dxa"/>
            <w:vMerge w:val="continue"/>
            <w:noWrap w:val="0"/>
            <w:vAlign w:val="center"/>
          </w:tcPr>
          <w:p w14:paraId="772C470E">
            <w:pPr>
              <w:spacing w:line="190" w:lineRule="exact"/>
              <w:rPr>
                <w:rFonts w:ascii="宋体" w:hAnsi="宋体" w:eastAsia="宋体" w:cs="宋体"/>
                <w:color w:val="auto"/>
                <w:sz w:val="15"/>
                <w:szCs w:val="15"/>
                <w:highlight w:val="none"/>
              </w:rPr>
            </w:pPr>
          </w:p>
        </w:tc>
        <w:tc>
          <w:tcPr>
            <w:tcW w:w="851" w:type="dxa"/>
            <w:noWrap w:val="0"/>
            <w:vAlign w:val="center"/>
          </w:tcPr>
          <w:p w14:paraId="7BD1B917">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4AF2F625">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14:paraId="71F9BC62">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AA2DBF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83C0440">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4EB8B344">
            <w:pPr>
              <w:spacing w:line="232"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14:paraId="145F23B6">
            <w:pPr>
              <w:spacing w:line="232" w:lineRule="exact"/>
              <w:jc w:val="center"/>
              <w:rPr>
                <w:rFonts w:ascii="宋体" w:hAnsi="宋体" w:eastAsia="宋体" w:cs="宋体"/>
                <w:color w:val="auto"/>
                <w:kern w:val="0"/>
                <w:sz w:val="15"/>
                <w:szCs w:val="15"/>
                <w:highlight w:val="none"/>
              </w:rPr>
            </w:pPr>
          </w:p>
        </w:tc>
        <w:tc>
          <w:tcPr>
            <w:tcW w:w="1869" w:type="dxa"/>
            <w:noWrap w:val="0"/>
            <w:vAlign w:val="center"/>
          </w:tcPr>
          <w:p w14:paraId="34FB79FC">
            <w:pPr>
              <w:spacing w:line="232" w:lineRule="exact"/>
              <w:jc w:val="center"/>
              <w:rPr>
                <w:rFonts w:hint="eastAsia" w:ascii="宋体" w:hAnsi="宋体" w:eastAsia="宋体" w:cs="宋体"/>
                <w:color w:val="auto"/>
                <w:kern w:val="0"/>
                <w:sz w:val="15"/>
                <w:szCs w:val="15"/>
                <w:highlight w:val="none"/>
                <w:lang w:eastAsia="zh"/>
              </w:rPr>
            </w:pPr>
          </w:p>
        </w:tc>
      </w:tr>
      <w:tr w14:paraId="75573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57" w:hRule="atLeast"/>
        </w:trPr>
        <w:tc>
          <w:tcPr>
            <w:tcW w:w="714" w:type="dxa"/>
            <w:vMerge w:val="restart"/>
            <w:noWrap w:val="0"/>
            <w:vAlign w:val="center"/>
          </w:tcPr>
          <w:p w14:paraId="4F980AB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626" w:type="dxa"/>
            <w:gridSpan w:val="2"/>
            <w:vMerge w:val="restart"/>
            <w:noWrap w:val="0"/>
            <w:vAlign w:val="center"/>
          </w:tcPr>
          <w:p w14:paraId="1EB7854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在燃气设施保护范围内倾倒、排放腐蚀性物质</w:t>
            </w:r>
          </w:p>
        </w:tc>
        <w:tc>
          <w:tcPr>
            <w:tcW w:w="2981" w:type="dxa"/>
            <w:vMerge w:val="restart"/>
            <w:noWrap w:val="0"/>
            <w:vAlign w:val="center"/>
          </w:tcPr>
          <w:p w14:paraId="39AF9B27">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违反条款：第三十三条第二款第（三）项；处罚条款：第五十条第一款第（二）项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14:paraId="31250F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14:paraId="47CD04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6CB20A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FA10F0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lang w:val="en-US" w:eastAsia="zh-CN"/>
              </w:rPr>
              <w:t>2.燃气设施为高压管线，系数0.5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严重影响用气情形的，系数1。</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DEDB41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367E8ED0">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14:paraId="3F6316B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416878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restart"/>
            <w:noWrap w:val="0"/>
            <w:vAlign w:val="center"/>
          </w:tcPr>
          <w:p w14:paraId="3C308F7C">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C4619700</w:t>
            </w:r>
          </w:p>
        </w:tc>
      </w:tr>
      <w:tr w14:paraId="0C465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15" w:hRule="atLeast"/>
        </w:trPr>
        <w:tc>
          <w:tcPr>
            <w:tcW w:w="714" w:type="dxa"/>
            <w:vMerge w:val="continue"/>
            <w:noWrap w:val="0"/>
            <w:vAlign w:val="center"/>
          </w:tcPr>
          <w:p w14:paraId="4A59F353">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27353A48">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981" w:type="dxa"/>
            <w:vMerge w:val="continue"/>
            <w:noWrap w:val="0"/>
            <w:vAlign w:val="center"/>
          </w:tcPr>
          <w:p w14:paraId="5CC8877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noWrap w:val="0"/>
            <w:vAlign w:val="center"/>
          </w:tcPr>
          <w:p w14:paraId="3C4DAB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41C735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14:paraId="7D45816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4B66E8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38DA838">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490F5D48">
            <w:pPr>
              <w:spacing w:line="232"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14:paraId="29A904C1">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28E23ACA">
            <w:pPr>
              <w:spacing w:line="232" w:lineRule="exact"/>
              <w:jc w:val="center"/>
              <w:rPr>
                <w:rFonts w:hint="eastAsia" w:ascii="宋体" w:hAnsi="宋体" w:eastAsia="宋体" w:cs="宋体"/>
                <w:color w:val="auto"/>
                <w:kern w:val="0"/>
                <w:sz w:val="15"/>
                <w:szCs w:val="15"/>
                <w:highlight w:val="none"/>
                <w:lang w:eastAsia="zh"/>
              </w:rPr>
            </w:pPr>
          </w:p>
        </w:tc>
      </w:tr>
      <w:tr w14:paraId="794F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22" w:hRule="atLeast"/>
        </w:trPr>
        <w:tc>
          <w:tcPr>
            <w:tcW w:w="714" w:type="dxa"/>
            <w:vMerge w:val="restart"/>
            <w:noWrap w:val="0"/>
            <w:vAlign w:val="center"/>
          </w:tcPr>
          <w:p w14:paraId="215D7DD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626" w:type="dxa"/>
            <w:gridSpan w:val="2"/>
            <w:vMerge w:val="restart"/>
            <w:noWrap w:val="0"/>
            <w:vAlign w:val="center"/>
          </w:tcPr>
          <w:p w14:paraId="76380E53">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在燃气设施保护范围内放置易燃易爆物品或者种植深根植物</w:t>
            </w:r>
          </w:p>
        </w:tc>
        <w:tc>
          <w:tcPr>
            <w:tcW w:w="2981" w:type="dxa"/>
            <w:vMerge w:val="restart"/>
            <w:noWrap w:val="0"/>
            <w:vAlign w:val="center"/>
          </w:tcPr>
          <w:p w14:paraId="59D30D4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违反条款：第三十三条第二款第（四）项；处罚条款：第五十条第一款第（三）项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14:paraId="2DD143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14:paraId="15F202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7DF1B83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6176F3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2.燃气设施为高压管线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E1D30B6">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29563E7B">
            <w:pPr>
              <w:spacing w:line="170"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14:paraId="6584DA77">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4356D7E">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restart"/>
            <w:noWrap w:val="0"/>
            <w:vAlign w:val="center"/>
          </w:tcPr>
          <w:p w14:paraId="4B9213BA">
            <w:pPr>
              <w:spacing w:line="17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C4619800</w:t>
            </w:r>
          </w:p>
        </w:tc>
      </w:tr>
      <w:tr w14:paraId="5D8B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86" w:hRule="atLeast"/>
        </w:trPr>
        <w:tc>
          <w:tcPr>
            <w:tcW w:w="714" w:type="dxa"/>
            <w:vMerge w:val="continue"/>
            <w:noWrap w:val="0"/>
            <w:vAlign w:val="center"/>
          </w:tcPr>
          <w:p w14:paraId="568A8757">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53DC220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981" w:type="dxa"/>
            <w:vMerge w:val="continue"/>
            <w:noWrap w:val="0"/>
            <w:vAlign w:val="center"/>
          </w:tcPr>
          <w:p w14:paraId="2CAAF81B">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851" w:type="dxa"/>
            <w:noWrap w:val="0"/>
            <w:vAlign w:val="center"/>
          </w:tcPr>
          <w:p w14:paraId="150ADA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1F0A268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14:paraId="19E42DD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D22EB0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rPr>
              <w:t>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影响用气情形的，系数7；</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B4A587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6BEAB468">
            <w:pPr>
              <w:spacing w:line="170"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14:paraId="5019A333">
            <w:pPr>
              <w:spacing w:line="170"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5EAD81FF">
            <w:pPr>
              <w:spacing w:line="170" w:lineRule="exact"/>
              <w:jc w:val="both"/>
              <w:rPr>
                <w:rFonts w:hint="eastAsia" w:ascii="宋体" w:hAnsi="宋体" w:eastAsia="宋体" w:cs="宋体"/>
                <w:color w:val="auto"/>
                <w:kern w:val="0"/>
                <w:sz w:val="15"/>
                <w:szCs w:val="15"/>
                <w:highlight w:val="none"/>
                <w:lang w:eastAsia="zh"/>
              </w:rPr>
            </w:pPr>
          </w:p>
        </w:tc>
      </w:tr>
      <w:tr w14:paraId="69644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46" w:hRule="atLeast"/>
        </w:trPr>
        <w:tc>
          <w:tcPr>
            <w:tcW w:w="714" w:type="dxa"/>
            <w:vMerge w:val="restart"/>
            <w:noWrap w:val="0"/>
            <w:vAlign w:val="center"/>
          </w:tcPr>
          <w:p w14:paraId="068CEE8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626" w:type="dxa"/>
            <w:gridSpan w:val="2"/>
            <w:vMerge w:val="restart"/>
            <w:noWrap w:val="0"/>
            <w:vAlign w:val="center"/>
          </w:tcPr>
          <w:p w14:paraId="4781A0B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在燃气设施保护范围内擅自从事敷设管道、打桩、顶进、挖掘、钻探等可能影响燃气设施安全活动</w:t>
            </w:r>
          </w:p>
        </w:tc>
        <w:tc>
          <w:tcPr>
            <w:tcW w:w="2981" w:type="dxa"/>
            <w:vMerge w:val="restart"/>
            <w:noWrap w:val="0"/>
            <w:vAlign w:val="center"/>
          </w:tcPr>
          <w:p w14:paraId="470CAB0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违反条款：第三十四条；处罚条款：第五十条第一款第（四）项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14:paraId="1C072C0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14:paraId="28170E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485DA0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435690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lang w:val="en-US" w:eastAsia="zh-CN"/>
              </w:rPr>
              <w:t>2.燃气设施为高压管线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560FF5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5DD27F62">
            <w:pPr>
              <w:spacing w:line="170" w:lineRule="exact"/>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eastAsia="zh-CN"/>
              </w:rPr>
              <w:t>造成燃气设施损坏的，优先适用“</w:t>
            </w:r>
            <w:r>
              <w:rPr>
                <w:rFonts w:hint="eastAsia" w:ascii="宋体" w:hAnsi="宋体" w:eastAsia="宋体"/>
                <w:strike w:val="0"/>
                <w:dstrike w:val="0"/>
                <w:color w:val="auto"/>
                <w:sz w:val="15"/>
                <w:szCs w:val="15"/>
                <w:highlight w:val="none"/>
              </w:rPr>
              <w:t>侵占、毁损、擅自拆除、移动燃气设施</w:t>
            </w:r>
            <w:r>
              <w:rPr>
                <w:rFonts w:hint="eastAsia" w:ascii="宋体" w:hAnsi="宋体" w:eastAsia="宋体" w:cs="宋体"/>
                <w:strike w:val="0"/>
                <w:dstrike w:val="0"/>
                <w:color w:val="auto"/>
                <w:kern w:val="0"/>
                <w:sz w:val="15"/>
                <w:szCs w:val="15"/>
                <w:highlight w:val="none"/>
                <w:lang w:eastAsia="zh-CN"/>
              </w:rPr>
              <w:t>”案由。</w:t>
            </w:r>
          </w:p>
        </w:tc>
        <w:tc>
          <w:tcPr>
            <w:tcW w:w="1304" w:type="dxa"/>
            <w:gridSpan w:val="2"/>
            <w:vMerge w:val="restart"/>
            <w:noWrap w:val="0"/>
            <w:vAlign w:val="center"/>
          </w:tcPr>
          <w:p w14:paraId="2418B643">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9DA4139">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26C3C783">
            <w:pPr>
              <w:spacing w:line="17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C4619900</w:t>
            </w:r>
          </w:p>
        </w:tc>
      </w:tr>
      <w:tr w14:paraId="03B3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35" w:hRule="atLeast"/>
        </w:trPr>
        <w:tc>
          <w:tcPr>
            <w:tcW w:w="714" w:type="dxa"/>
            <w:vMerge w:val="continue"/>
            <w:noWrap w:val="0"/>
            <w:vAlign w:val="center"/>
          </w:tcPr>
          <w:p w14:paraId="0ECC8D4D">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1508898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981" w:type="dxa"/>
            <w:vMerge w:val="continue"/>
            <w:noWrap w:val="0"/>
            <w:vAlign w:val="center"/>
          </w:tcPr>
          <w:p w14:paraId="5DE561B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noWrap w:val="0"/>
            <w:vAlign w:val="center"/>
          </w:tcPr>
          <w:p w14:paraId="73F22E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5DA41D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14:paraId="2C1BAE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6E6C21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1.燃气设施为高压管线，系数4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259723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3B792335">
            <w:pPr>
              <w:spacing w:line="170"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lang w:eastAsia="zh-CN"/>
              </w:rPr>
              <w:t>造成燃气设施损坏的，优先适用“</w:t>
            </w:r>
            <w:r>
              <w:rPr>
                <w:rFonts w:hint="eastAsia" w:ascii="宋体" w:hAnsi="宋体" w:eastAsia="宋体"/>
                <w:strike w:val="0"/>
                <w:dstrike w:val="0"/>
                <w:color w:val="auto"/>
                <w:sz w:val="15"/>
                <w:szCs w:val="15"/>
                <w:highlight w:val="none"/>
              </w:rPr>
              <w:t>侵占、毁损、擅自拆除、移动燃气设施</w:t>
            </w:r>
            <w:r>
              <w:rPr>
                <w:rFonts w:hint="eastAsia" w:ascii="宋体" w:hAnsi="宋体" w:eastAsia="宋体" w:cs="宋体"/>
                <w:strike w:val="0"/>
                <w:dstrike w:val="0"/>
                <w:color w:val="auto"/>
                <w:kern w:val="0"/>
                <w:sz w:val="15"/>
                <w:szCs w:val="15"/>
                <w:highlight w:val="none"/>
                <w:lang w:eastAsia="zh-CN"/>
              </w:rPr>
              <w:t>”案由。</w:t>
            </w:r>
          </w:p>
        </w:tc>
        <w:tc>
          <w:tcPr>
            <w:tcW w:w="1304" w:type="dxa"/>
            <w:gridSpan w:val="2"/>
            <w:vMerge w:val="continue"/>
            <w:noWrap w:val="0"/>
            <w:vAlign w:val="center"/>
          </w:tcPr>
          <w:p w14:paraId="4A39C62D">
            <w:pPr>
              <w:spacing w:line="170" w:lineRule="exact"/>
              <w:jc w:val="center"/>
              <w:rPr>
                <w:rFonts w:ascii="宋体" w:hAnsi="宋体" w:eastAsia="宋体" w:cs="宋体"/>
                <w:color w:val="auto"/>
                <w:kern w:val="0"/>
                <w:sz w:val="15"/>
                <w:szCs w:val="15"/>
                <w:highlight w:val="none"/>
              </w:rPr>
            </w:pPr>
          </w:p>
        </w:tc>
        <w:tc>
          <w:tcPr>
            <w:tcW w:w="1869" w:type="dxa"/>
            <w:noWrap w:val="0"/>
            <w:vAlign w:val="center"/>
          </w:tcPr>
          <w:p w14:paraId="0BA0131B">
            <w:pPr>
              <w:spacing w:line="17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C4619900</w:t>
            </w:r>
          </w:p>
        </w:tc>
      </w:tr>
      <w:tr w14:paraId="68F0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06" w:hRule="atLeast"/>
        </w:trPr>
        <w:tc>
          <w:tcPr>
            <w:tcW w:w="714" w:type="dxa"/>
            <w:vMerge w:val="restart"/>
            <w:noWrap w:val="0"/>
            <w:vAlign w:val="center"/>
          </w:tcPr>
          <w:p w14:paraId="29A7EEC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626" w:type="dxa"/>
            <w:gridSpan w:val="2"/>
            <w:vMerge w:val="restart"/>
            <w:noWrap w:val="0"/>
            <w:vAlign w:val="center"/>
          </w:tcPr>
          <w:p w14:paraId="058200B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侵占、毁损、擅自拆除、移动燃气设施</w:t>
            </w:r>
          </w:p>
        </w:tc>
        <w:tc>
          <w:tcPr>
            <w:tcW w:w="2981" w:type="dxa"/>
            <w:vMerge w:val="restart"/>
            <w:noWrap w:val="0"/>
            <w:vAlign w:val="center"/>
          </w:tcPr>
          <w:p w14:paraId="083CCA0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违反条款：第三十六条第一款；处罚条款：第五十一条第一款 责令限期改正，恢复原状或者采取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14:paraId="02FD7B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14:paraId="377B88B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09DAD0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964306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6138D4F">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4DACDCED">
            <w:pPr>
              <w:spacing w:line="232" w:lineRule="exact"/>
              <w:rPr>
                <w:rFonts w:hint="default" w:ascii="宋体" w:hAnsi="宋体" w:eastAsia="宋体" w:cs="宋体"/>
                <w:color w:val="auto"/>
                <w:kern w:val="0"/>
                <w:sz w:val="15"/>
                <w:szCs w:val="15"/>
                <w:highlight w:val="none"/>
                <w:lang w:val="en-US" w:eastAsia="zh-CN"/>
              </w:rPr>
            </w:pPr>
          </w:p>
        </w:tc>
        <w:tc>
          <w:tcPr>
            <w:tcW w:w="1304" w:type="dxa"/>
            <w:gridSpan w:val="2"/>
            <w:vMerge w:val="restart"/>
            <w:noWrap w:val="0"/>
            <w:vAlign w:val="center"/>
          </w:tcPr>
          <w:p w14:paraId="20FFF3E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9C0B1F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restart"/>
            <w:noWrap w:val="0"/>
            <w:vAlign w:val="center"/>
          </w:tcPr>
          <w:p w14:paraId="5BD070A5">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C4620000</w:t>
            </w:r>
          </w:p>
        </w:tc>
      </w:tr>
      <w:tr w14:paraId="215B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94" w:hRule="atLeast"/>
        </w:trPr>
        <w:tc>
          <w:tcPr>
            <w:tcW w:w="714" w:type="dxa"/>
            <w:vMerge w:val="continue"/>
            <w:noWrap w:val="0"/>
            <w:vAlign w:val="center"/>
          </w:tcPr>
          <w:p w14:paraId="40B25F27">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6935A2E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981" w:type="dxa"/>
            <w:vMerge w:val="continue"/>
            <w:noWrap w:val="0"/>
            <w:vAlign w:val="center"/>
          </w:tcPr>
          <w:p w14:paraId="35074D0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noWrap w:val="0"/>
            <w:vAlign w:val="center"/>
          </w:tcPr>
          <w:p w14:paraId="7FB8BB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6B0D07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14:paraId="167E9C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40E629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500户（含500户）或者非居民用户达到5户（含5户）或者燃气管道为高压管线或者停气时间超过10小时的，系数9；2.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w:t>
            </w:r>
            <w:r>
              <w:rPr>
                <w:rFonts w:hint="eastAsia" w:ascii="宋体" w:hAnsi="宋体" w:eastAsia="宋体" w:cs="宋体"/>
                <w:b w:val="0"/>
                <w:bCs w:val="0"/>
                <w:color w:val="auto"/>
                <w:kern w:val="0"/>
                <w:sz w:val="15"/>
                <w:szCs w:val="15"/>
                <w:highlight w:val="none"/>
                <w:lang w:val="en-US" w:eastAsia="zh-CN"/>
              </w:rPr>
              <w:t>9；3</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5C8CE6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43205B03">
            <w:pPr>
              <w:spacing w:line="232"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14:paraId="67564B40">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1F1DF3D5">
            <w:pPr>
              <w:spacing w:line="232" w:lineRule="exact"/>
              <w:jc w:val="center"/>
              <w:rPr>
                <w:rFonts w:hint="eastAsia" w:ascii="宋体" w:hAnsi="宋体" w:eastAsia="宋体" w:cs="宋体"/>
                <w:color w:val="auto"/>
                <w:kern w:val="0"/>
                <w:sz w:val="15"/>
                <w:szCs w:val="15"/>
                <w:highlight w:val="none"/>
                <w:lang w:eastAsia="zh"/>
              </w:rPr>
            </w:pPr>
          </w:p>
        </w:tc>
      </w:tr>
      <w:tr w14:paraId="12B1C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93" w:hRule="atLeast"/>
        </w:trPr>
        <w:tc>
          <w:tcPr>
            <w:tcW w:w="714" w:type="dxa"/>
            <w:vMerge w:val="restart"/>
            <w:noWrap w:val="0"/>
            <w:vAlign w:val="center"/>
          </w:tcPr>
          <w:p w14:paraId="433680D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626" w:type="dxa"/>
            <w:gridSpan w:val="2"/>
            <w:vMerge w:val="restart"/>
            <w:noWrap w:val="0"/>
            <w:vAlign w:val="center"/>
          </w:tcPr>
          <w:p w14:paraId="75947F3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擅自改动市政燃气设施</w:t>
            </w:r>
          </w:p>
        </w:tc>
        <w:tc>
          <w:tcPr>
            <w:tcW w:w="2981" w:type="dxa"/>
            <w:noWrap w:val="0"/>
            <w:vAlign w:val="center"/>
          </w:tcPr>
          <w:p w14:paraId="7EC21A2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违反条款：第三十八条第一款；处罚条款：第五十一条第一款 责令限期改正，恢复原状或者采取</w:t>
            </w:r>
            <w:r>
              <w:rPr>
                <w:rFonts w:hint="eastAsia" w:ascii="宋体" w:hAnsi="宋体" w:eastAsia="宋体"/>
                <w:color w:val="auto"/>
                <w:spacing w:val="-4"/>
                <w:sz w:val="15"/>
                <w:szCs w:val="15"/>
                <w:highlight w:val="none"/>
                <w:lang w:eastAsia="zh-CN"/>
              </w:rPr>
              <w:t>其他</w:t>
            </w:r>
            <w:r>
              <w:rPr>
                <w:rFonts w:hint="eastAsia" w:ascii="宋体" w:hAnsi="宋体" w:eastAsia="宋体"/>
                <w:color w:val="auto"/>
                <w:spacing w:val="-4"/>
                <w:sz w:val="15"/>
                <w:szCs w:val="15"/>
                <w:highlight w:val="none"/>
              </w:rPr>
              <w:t>补救措施，对单位处5万元以上10万元以下罚款，对个人处5000元以上5万元以下罚款</w:t>
            </w:r>
          </w:p>
        </w:tc>
        <w:tc>
          <w:tcPr>
            <w:tcW w:w="851" w:type="dxa"/>
            <w:noWrap w:val="0"/>
            <w:vAlign w:val="center"/>
          </w:tcPr>
          <w:p w14:paraId="27D0D1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14:paraId="6AD7B7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13372B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1C8E6B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C58DDF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2EED58F4">
            <w:pPr>
              <w:pStyle w:val="22"/>
              <w:ind w:left="0" w:leftChars="0" w:firstLine="0" w:firstLineChars="0"/>
              <w:rPr>
                <w:rFonts w:ascii="宋体" w:hAnsi="宋体" w:eastAsia="宋体" w:cs="宋体"/>
                <w:color w:val="auto"/>
                <w:kern w:val="0"/>
                <w:sz w:val="15"/>
                <w:szCs w:val="15"/>
                <w:highlight w:val="none"/>
              </w:rPr>
            </w:pPr>
          </w:p>
        </w:tc>
        <w:tc>
          <w:tcPr>
            <w:tcW w:w="1304" w:type="dxa"/>
            <w:gridSpan w:val="2"/>
            <w:noWrap w:val="0"/>
            <w:vAlign w:val="center"/>
          </w:tcPr>
          <w:p w14:paraId="174D811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80EF20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restart"/>
            <w:noWrap w:val="0"/>
            <w:vAlign w:val="center"/>
          </w:tcPr>
          <w:p w14:paraId="50900464">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C4620000</w:t>
            </w:r>
          </w:p>
        </w:tc>
      </w:tr>
      <w:tr w14:paraId="20EE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vMerge w:val="continue"/>
            <w:noWrap w:val="0"/>
            <w:vAlign w:val="center"/>
          </w:tcPr>
          <w:p w14:paraId="4E67545F">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158EC85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981" w:type="dxa"/>
            <w:noWrap w:val="0"/>
            <w:vAlign w:val="center"/>
          </w:tcPr>
          <w:p w14:paraId="5653296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pacing w:val="-4"/>
                <w:sz w:val="15"/>
                <w:szCs w:val="15"/>
                <w:highlight w:val="none"/>
              </w:rPr>
              <w:t>违反条款：第三十八条第一款；处罚条款：第五十一条第一款 责令限期改正，恢复原状或者采取</w:t>
            </w:r>
            <w:r>
              <w:rPr>
                <w:rFonts w:hint="eastAsia" w:ascii="宋体" w:hAnsi="宋体" w:eastAsia="宋体"/>
                <w:color w:val="auto"/>
                <w:spacing w:val="-4"/>
                <w:sz w:val="15"/>
                <w:szCs w:val="15"/>
                <w:highlight w:val="none"/>
                <w:lang w:eastAsia="zh-CN"/>
              </w:rPr>
              <w:t>其他</w:t>
            </w:r>
            <w:r>
              <w:rPr>
                <w:rFonts w:hint="eastAsia" w:ascii="宋体" w:hAnsi="宋体" w:eastAsia="宋体"/>
                <w:color w:val="auto"/>
                <w:spacing w:val="-4"/>
                <w:sz w:val="15"/>
                <w:szCs w:val="15"/>
                <w:highlight w:val="none"/>
              </w:rPr>
              <w:t>补救措施，对单位处5万元以上10万元以下罚款，对个人处5000元以上5万元以下罚款</w:t>
            </w:r>
          </w:p>
        </w:tc>
        <w:tc>
          <w:tcPr>
            <w:tcW w:w="851" w:type="dxa"/>
            <w:noWrap w:val="0"/>
            <w:vAlign w:val="center"/>
          </w:tcPr>
          <w:p w14:paraId="252462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787EB5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14:paraId="0473FF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44236AD">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w:t>
            </w:r>
            <w:r>
              <w:rPr>
                <w:rFonts w:hint="eastAsia" w:ascii="宋体" w:hAnsi="宋体" w:cs="宋体"/>
                <w:b w:val="0"/>
                <w:bCs w:val="0"/>
                <w:color w:val="auto"/>
                <w:kern w:val="0"/>
                <w:sz w:val="15"/>
                <w:szCs w:val="15"/>
                <w:highlight w:val="none"/>
                <w:lang w:val="en-US" w:eastAsia="zh"/>
              </w:rPr>
              <w:t>C4620000</w:t>
            </w:r>
            <w:r>
              <w:rPr>
                <w:rFonts w:hint="eastAsia" w:ascii="宋体" w:hAnsi="宋体" w:eastAsia="宋体" w:cs="宋体"/>
                <w:b w:val="0"/>
                <w:bCs w:val="0"/>
                <w:color w:val="auto"/>
                <w:kern w:val="0"/>
                <w:sz w:val="15"/>
                <w:szCs w:val="15"/>
                <w:highlight w:val="none"/>
                <w:lang w:val="en-US" w:eastAsia="zh-CN"/>
              </w:rPr>
              <w:t>者停气时间超过10小时</w:t>
            </w:r>
            <w:r>
              <w:rPr>
                <w:rFonts w:hint="eastAsia" w:ascii="宋体" w:hAnsi="宋体" w:cs="宋体"/>
                <w:b w:val="0"/>
                <w:bCs w:val="0"/>
                <w:color w:val="auto"/>
                <w:kern w:val="0"/>
                <w:sz w:val="15"/>
                <w:szCs w:val="15"/>
                <w:highlight w:val="none"/>
                <w:lang w:val="en-US" w:eastAsia="zh"/>
              </w:rPr>
              <w:t>C4620000</w:t>
            </w:r>
            <w:r>
              <w:rPr>
                <w:rFonts w:hint="eastAsia" w:ascii="宋体" w:hAnsi="宋体" w:eastAsia="宋体" w:cs="宋体"/>
                <w:b w:val="0"/>
                <w:bCs w:val="0"/>
                <w:color w:val="auto"/>
                <w:kern w:val="0"/>
                <w:sz w:val="15"/>
                <w:szCs w:val="15"/>
                <w:highlight w:val="none"/>
                <w:lang w:val="en-US" w:eastAsia="zh-CN"/>
              </w:rPr>
              <w:t>的，系数9；2.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w:t>
            </w:r>
            <w:r>
              <w:rPr>
                <w:rFonts w:hint="eastAsia" w:ascii="宋体" w:hAnsi="宋体" w:eastAsia="宋体" w:cs="宋体"/>
                <w:b w:val="0"/>
                <w:bCs w:val="0"/>
                <w:color w:val="auto"/>
                <w:kern w:val="0"/>
                <w:sz w:val="15"/>
                <w:szCs w:val="15"/>
                <w:highlight w:val="none"/>
                <w:lang w:val="en-US" w:eastAsia="zh-CN"/>
              </w:rPr>
              <w:t>9；3</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C15B36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663E3779">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09C44FB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7718BF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continue"/>
            <w:noWrap w:val="0"/>
            <w:vAlign w:val="center"/>
          </w:tcPr>
          <w:p w14:paraId="5BA7F4B2">
            <w:pPr>
              <w:spacing w:line="232" w:lineRule="exact"/>
              <w:jc w:val="center"/>
              <w:rPr>
                <w:rFonts w:hint="eastAsia" w:ascii="宋体" w:hAnsi="宋体" w:eastAsia="宋体" w:cs="宋体"/>
                <w:color w:val="auto"/>
                <w:kern w:val="0"/>
                <w:sz w:val="15"/>
                <w:szCs w:val="15"/>
                <w:highlight w:val="none"/>
                <w:lang w:eastAsia="zh"/>
              </w:rPr>
            </w:pPr>
          </w:p>
        </w:tc>
      </w:tr>
      <w:tr w14:paraId="1481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3" w:hRule="atLeast"/>
        </w:trPr>
        <w:tc>
          <w:tcPr>
            <w:tcW w:w="714" w:type="dxa"/>
            <w:noWrap w:val="0"/>
            <w:vAlign w:val="center"/>
          </w:tcPr>
          <w:p w14:paraId="34D9E91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626" w:type="dxa"/>
            <w:gridSpan w:val="2"/>
            <w:noWrap w:val="0"/>
            <w:vAlign w:val="center"/>
          </w:tcPr>
          <w:p w14:paraId="590B67DB">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毁损、覆盖、涂改、擅自拆除或者移动燃气设施安全警示标志</w:t>
            </w:r>
          </w:p>
        </w:tc>
        <w:tc>
          <w:tcPr>
            <w:tcW w:w="2981" w:type="dxa"/>
            <w:noWrap w:val="0"/>
            <w:vAlign w:val="center"/>
          </w:tcPr>
          <w:p w14:paraId="0FE5BEE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违反条款：第三十六条第一款；处罚条款：第五十一条第二款 责令限期改正，恢复原状，可以处5000元以下罚款</w:t>
            </w:r>
          </w:p>
        </w:tc>
        <w:tc>
          <w:tcPr>
            <w:tcW w:w="851" w:type="dxa"/>
            <w:noWrap w:val="0"/>
            <w:vAlign w:val="center"/>
          </w:tcPr>
          <w:p w14:paraId="62ABE6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650889D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81C3926">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涉及安全警示标志</w:t>
            </w:r>
            <w:r>
              <w:rPr>
                <w:rFonts w:hint="eastAsia" w:ascii="宋体" w:hAnsi="宋体" w:eastAsia="宋体" w:cs="宋体"/>
                <w:b w:val="0"/>
                <w:bCs w:val="0"/>
                <w:color w:val="auto"/>
                <w:kern w:val="0"/>
                <w:sz w:val="15"/>
                <w:szCs w:val="15"/>
                <w:highlight w:val="none"/>
                <w:lang w:val="en-US" w:eastAsia="zh-CN"/>
              </w:rPr>
              <w:t>2处及以上的，系数1；4处及以上的，系数2；6处及以上的，系数4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rPr>
              <w:t xml:space="preserve"> 发生在人口集中地区或人员密集场所的，系数2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.导致相关燃气安全事故的，系数4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19A3CB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638CE28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处以1000元以下的罚款。按照办法规定和实际情况执行。</w:t>
            </w:r>
          </w:p>
        </w:tc>
        <w:tc>
          <w:tcPr>
            <w:tcW w:w="1304" w:type="dxa"/>
            <w:gridSpan w:val="2"/>
            <w:noWrap w:val="0"/>
            <w:vAlign w:val="center"/>
          </w:tcPr>
          <w:p w14:paraId="437A6C2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193546D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59102D3B">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C4620100</w:t>
            </w:r>
          </w:p>
        </w:tc>
      </w:tr>
      <w:tr w14:paraId="702E9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23" w:hRule="atLeast"/>
        </w:trPr>
        <w:tc>
          <w:tcPr>
            <w:tcW w:w="714" w:type="dxa"/>
            <w:noWrap w:val="0"/>
            <w:vAlign w:val="center"/>
          </w:tcPr>
          <w:p w14:paraId="4EF3259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626" w:type="dxa"/>
            <w:gridSpan w:val="2"/>
            <w:noWrap w:val="0"/>
            <w:vAlign w:val="center"/>
          </w:tcPr>
          <w:p w14:paraId="7E8B802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建设单位未会同施工单位与管道燃气经营者共同制定燃气设施保护方案</w:t>
            </w:r>
          </w:p>
        </w:tc>
        <w:tc>
          <w:tcPr>
            <w:tcW w:w="2981" w:type="dxa"/>
            <w:noWrap w:val="0"/>
            <w:vAlign w:val="center"/>
          </w:tcPr>
          <w:p w14:paraId="3045715D">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违反条款：第三十七条第三款；处罚条款：第五十二条 责令改正，处1万元以上10万元以下罚款</w:t>
            </w:r>
          </w:p>
        </w:tc>
        <w:tc>
          <w:tcPr>
            <w:tcW w:w="851" w:type="dxa"/>
            <w:noWrap w:val="0"/>
            <w:vAlign w:val="center"/>
          </w:tcPr>
          <w:p w14:paraId="3FA07A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10000</w:t>
            </w:r>
          </w:p>
        </w:tc>
        <w:tc>
          <w:tcPr>
            <w:tcW w:w="840" w:type="dxa"/>
            <w:noWrap w:val="0"/>
            <w:vAlign w:val="center"/>
          </w:tcPr>
          <w:p w14:paraId="5114E1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EF3F0B0">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发生在人口集中地区或人员密集场所的，系数2</w:t>
            </w:r>
            <w:r>
              <w:rPr>
                <w:rFonts w:hint="eastAsia" w:ascii="宋体" w:hAnsi="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造成燃气设施毁损的，</w:t>
            </w:r>
            <w:r>
              <w:rPr>
                <w:rFonts w:hint="eastAsia" w:ascii="宋体" w:hAnsi="宋体" w:eastAsia="宋体" w:cs="宋体"/>
                <w:b w:val="0"/>
                <w:bCs w:val="0"/>
                <w:color w:val="auto"/>
                <w:kern w:val="0"/>
                <w:sz w:val="15"/>
                <w:szCs w:val="15"/>
                <w:highlight w:val="none"/>
                <w:lang w:val="en-US" w:eastAsia="zh-CN"/>
              </w:rPr>
              <w:t>影响居民用户200户（含200户）-500户或者非居民用户达到3户（含3户）-5户的，系数4；影响居民用户达到500户（含500户）或者非居民用户达到5户（含5户）的，系数9</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lang w:eastAsia="zh-CN"/>
              </w:rPr>
              <w:t>导致</w:t>
            </w:r>
            <w:r>
              <w:rPr>
                <w:rFonts w:hint="eastAsia" w:ascii="宋体" w:hAnsi="宋体" w:eastAsia="宋体" w:cs="宋体"/>
                <w:color w:val="auto"/>
                <w:kern w:val="0"/>
                <w:sz w:val="15"/>
                <w:szCs w:val="15"/>
                <w:highlight w:val="none"/>
              </w:rPr>
              <w:t>相关燃气安全事故的，系数</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p>
          <w:p w14:paraId="290BAE46">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07033C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493D31C9">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63AF049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076F0F6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3ADD3A96">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C4620200</w:t>
            </w:r>
          </w:p>
        </w:tc>
      </w:tr>
      <w:tr w14:paraId="5E93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94" w:hRule="atLeast"/>
        </w:trPr>
        <w:tc>
          <w:tcPr>
            <w:tcW w:w="714" w:type="dxa"/>
            <w:noWrap w:val="0"/>
            <w:vAlign w:val="center"/>
          </w:tcPr>
          <w:p w14:paraId="53035DE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626" w:type="dxa"/>
            <w:gridSpan w:val="2"/>
            <w:noWrap w:val="0"/>
            <w:vAlign w:val="center"/>
          </w:tcPr>
          <w:p w14:paraId="7FD054D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建设单位、施工单位未采取安全保护措施，确保燃气设施运行安全</w:t>
            </w:r>
          </w:p>
        </w:tc>
        <w:tc>
          <w:tcPr>
            <w:tcW w:w="2981" w:type="dxa"/>
            <w:noWrap w:val="0"/>
            <w:vAlign w:val="center"/>
          </w:tcPr>
          <w:p w14:paraId="46882136">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违反条款：第三十七条第三款；处罚条款：第五十二条 责令改正，处1万元以上10万元以下罚款</w:t>
            </w:r>
          </w:p>
        </w:tc>
        <w:tc>
          <w:tcPr>
            <w:tcW w:w="851" w:type="dxa"/>
            <w:noWrap w:val="0"/>
            <w:vAlign w:val="center"/>
          </w:tcPr>
          <w:p w14:paraId="0DECD9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36E5B9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D0E609F">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发生在人口集中地区或人员密集场所的，系数2</w:t>
            </w:r>
            <w:r>
              <w:rPr>
                <w:rFonts w:hint="eastAsia" w:ascii="宋体" w:hAnsi="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造成燃气设施毁损的，</w:t>
            </w:r>
            <w:r>
              <w:rPr>
                <w:rFonts w:hint="eastAsia" w:ascii="宋体" w:hAnsi="宋体" w:eastAsia="宋体" w:cs="宋体"/>
                <w:b w:val="0"/>
                <w:bCs w:val="0"/>
                <w:color w:val="auto"/>
                <w:kern w:val="0"/>
                <w:sz w:val="15"/>
                <w:szCs w:val="15"/>
                <w:highlight w:val="none"/>
                <w:lang w:val="en-US" w:eastAsia="zh-CN"/>
              </w:rPr>
              <w:t>影响居民用户200户（含200户）-500户或者非居民用户达到3户（含3户）-5户的，系数4；影响居民用户达到500户（含500户）或者非居民用户达到5户（含5户）的，系数9</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导致</w:t>
            </w:r>
            <w:r>
              <w:rPr>
                <w:rFonts w:hint="eastAsia" w:ascii="宋体" w:hAnsi="宋体" w:eastAsia="宋体" w:cs="宋体"/>
                <w:color w:val="auto"/>
                <w:kern w:val="0"/>
                <w:sz w:val="15"/>
                <w:szCs w:val="15"/>
                <w:highlight w:val="none"/>
              </w:rPr>
              <w:t>相关燃气安全事故的，系数9。</w:t>
            </w:r>
          </w:p>
          <w:p w14:paraId="2121F3A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191612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01DD451E">
            <w:pPr>
              <w:spacing w:line="232" w:lineRule="exact"/>
              <w:rPr>
                <w:rFonts w:hint="eastAsia" w:ascii="宋体" w:hAnsi="宋体" w:eastAsia="宋体" w:cs="宋体"/>
                <w:color w:val="auto"/>
                <w:kern w:val="0"/>
                <w:sz w:val="15"/>
                <w:szCs w:val="15"/>
                <w:highlight w:val="none"/>
                <w:lang w:eastAsia="zh-CN"/>
              </w:rPr>
            </w:pPr>
          </w:p>
        </w:tc>
        <w:tc>
          <w:tcPr>
            <w:tcW w:w="1304" w:type="dxa"/>
            <w:gridSpan w:val="2"/>
            <w:noWrap w:val="0"/>
            <w:vAlign w:val="center"/>
          </w:tcPr>
          <w:p w14:paraId="62D1A87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658BA85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141919FD">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C4620300</w:t>
            </w:r>
          </w:p>
        </w:tc>
      </w:tr>
      <w:tr w14:paraId="5AE3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16" w:hRule="atLeast"/>
        </w:trPr>
        <w:tc>
          <w:tcPr>
            <w:tcW w:w="14587" w:type="dxa"/>
            <w:gridSpan w:val="13"/>
            <w:noWrap w:val="0"/>
            <w:vAlign w:val="center"/>
          </w:tcPr>
          <w:p w14:paraId="6CA718F5">
            <w:pPr>
              <w:pStyle w:val="3"/>
              <w:widowControl w:val="0"/>
              <w:spacing w:line="232" w:lineRule="exact"/>
              <w:jc w:val="center"/>
              <w:rPr>
                <w:rFonts w:ascii="宋体" w:hAnsi="宋体" w:eastAsia="宋体"/>
                <w:color w:val="auto"/>
                <w:sz w:val="15"/>
                <w:szCs w:val="15"/>
                <w:highlight w:val="none"/>
              </w:rPr>
            </w:pPr>
            <w:bookmarkStart w:id="68" w:name="_Toc2063405547"/>
            <w:bookmarkStart w:id="69" w:name="_Toc1968530984"/>
            <w:bookmarkStart w:id="70" w:name="_Toc110851458"/>
            <w:r>
              <w:rPr>
                <w:rFonts w:hint="eastAsia" w:ascii="宋体" w:hAnsi="宋体" w:eastAsia="宋体"/>
                <w:color w:val="auto"/>
                <w:sz w:val="21"/>
                <w:szCs w:val="21"/>
                <w:highlight w:val="none"/>
              </w:rPr>
              <w:t>《北京市燃气管理条例》案由26项</w:t>
            </w:r>
            <w:bookmarkEnd w:id="68"/>
            <w:bookmarkEnd w:id="69"/>
            <w:bookmarkEnd w:id="70"/>
          </w:p>
        </w:tc>
        <w:tc>
          <w:tcPr>
            <w:tcW w:w="1869" w:type="dxa"/>
            <w:noWrap w:val="0"/>
            <w:vAlign w:val="center"/>
          </w:tcPr>
          <w:p w14:paraId="1FDA7032">
            <w:pPr>
              <w:pStyle w:val="3"/>
              <w:widowControl w:val="0"/>
              <w:spacing w:line="232" w:lineRule="exact"/>
              <w:jc w:val="center"/>
              <w:rPr>
                <w:rFonts w:hint="eastAsia" w:ascii="宋体" w:hAnsi="宋体" w:eastAsia="宋体"/>
                <w:color w:val="auto"/>
                <w:sz w:val="21"/>
                <w:szCs w:val="21"/>
                <w:highlight w:val="none"/>
              </w:rPr>
            </w:pPr>
          </w:p>
        </w:tc>
      </w:tr>
      <w:tr w14:paraId="44C1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7FB9B2F6">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w:t>
            </w:r>
          </w:p>
        </w:tc>
        <w:tc>
          <w:tcPr>
            <w:tcW w:w="1626" w:type="dxa"/>
            <w:gridSpan w:val="2"/>
            <w:noWrap w:val="0"/>
            <w:vAlign w:val="center"/>
          </w:tcPr>
          <w:p w14:paraId="6AC1A9C5">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未取得燃气经营许可从事燃气经营活动</w:t>
            </w:r>
          </w:p>
        </w:tc>
        <w:tc>
          <w:tcPr>
            <w:tcW w:w="2981" w:type="dxa"/>
            <w:noWrap w:val="0"/>
            <w:vAlign w:val="center"/>
          </w:tcPr>
          <w:p w14:paraId="0E7D9C49">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违反条款：第十六条第一款；</w:t>
            </w:r>
          </w:p>
          <w:p w14:paraId="41CE9263">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处罚条款：第五十五条第一款 责令停止违法行为，处五万元以上五十万元以下罚款；有违法所得的，没收违法所得。</w:t>
            </w:r>
          </w:p>
        </w:tc>
        <w:tc>
          <w:tcPr>
            <w:tcW w:w="851" w:type="dxa"/>
            <w:noWrap w:val="0"/>
            <w:vAlign w:val="center"/>
          </w:tcPr>
          <w:p w14:paraId="5C1136A3">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14:paraId="366EEAC4">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17F74B79">
            <w:pPr>
              <w:numPr>
                <w:ilvl w:val="0"/>
                <w:numId w:val="0"/>
              </w:num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rPr>
              <w:t>1.跨区级区域经营或者违规经营规模较大(气瓶数量超过28个)，系数5；</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经营场所在人口集中地区、人员密集场所</w:t>
            </w:r>
            <w:r>
              <w:rPr>
                <w:rFonts w:hint="eastAsia" w:ascii="宋体" w:hAnsi="宋体" w:eastAsia="宋体" w:cs="宋体"/>
                <w:color w:val="auto"/>
                <w:kern w:val="0"/>
                <w:sz w:val="15"/>
                <w:szCs w:val="15"/>
                <w:highlight w:val="none"/>
                <w:lang w:eastAsia="zh-CN"/>
              </w:rPr>
              <w:t>或者邻近电力、管线等需要特殊保护的场所的</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.持续时间超过</w:t>
            </w:r>
            <w:r>
              <w:rPr>
                <w:rFonts w:hint="eastAsia" w:ascii="宋体" w:hAnsi="宋体" w:eastAsia="宋体" w:cs="宋体"/>
                <w:b w:val="0"/>
                <w:bCs w:val="0"/>
                <w:strike w:val="0"/>
                <w:dstrike w:val="0"/>
                <w:color w:val="auto"/>
                <w:kern w:val="0"/>
                <w:sz w:val="15"/>
                <w:szCs w:val="15"/>
                <w:highlight w:val="none"/>
                <w:u w:val="none"/>
                <w:lang w:val="en-US" w:eastAsia="zh-CN"/>
              </w:rPr>
              <w:t>2个月的</w:t>
            </w:r>
            <w:r>
              <w:rPr>
                <w:rFonts w:hint="eastAsia" w:ascii="宋体" w:hAnsi="宋体" w:eastAsia="宋体" w:cs="宋体"/>
                <w:b w:val="0"/>
                <w:bCs w:val="0"/>
                <w:color w:val="auto"/>
                <w:kern w:val="0"/>
                <w:sz w:val="15"/>
                <w:szCs w:val="15"/>
                <w:highlight w:val="none"/>
                <w:u w:val="none"/>
              </w:rPr>
              <w:t>，系数</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w:t>
            </w:r>
            <w:r>
              <w:rPr>
                <w:rFonts w:hint="eastAsia" w:ascii="宋体" w:hAnsi="宋体" w:eastAsia="宋体" w:cs="宋体"/>
                <w:b w:val="0"/>
                <w:bCs w:val="0"/>
                <w:color w:val="auto"/>
                <w:kern w:val="0"/>
                <w:sz w:val="15"/>
                <w:szCs w:val="15"/>
                <w:highlight w:val="none"/>
                <w:u w:val="none"/>
                <w:lang w:eastAsia="zh-CN"/>
              </w:rPr>
              <w:t>超过半年的</w:t>
            </w:r>
            <w:r>
              <w:rPr>
                <w:rFonts w:hint="eastAsia" w:ascii="宋体" w:hAnsi="宋体" w:eastAsia="宋体" w:cs="宋体"/>
                <w:b w:val="0"/>
                <w:bCs w:val="0"/>
                <w:color w:val="auto"/>
                <w:kern w:val="0"/>
                <w:sz w:val="15"/>
                <w:szCs w:val="15"/>
                <w:highlight w:val="none"/>
                <w:u w:val="none"/>
                <w:lang w:val="en-US" w:eastAsia="zh-CN"/>
              </w:rPr>
              <w:t>，</w:t>
            </w:r>
            <w:r>
              <w:rPr>
                <w:rFonts w:hint="eastAsia" w:ascii="宋体" w:hAnsi="宋体" w:eastAsia="宋体" w:cs="宋体"/>
                <w:b w:val="0"/>
                <w:bCs w:val="0"/>
                <w:color w:val="auto"/>
                <w:kern w:val="0"/>
                <w:sz w:val="15"/>
                <w:szCs w:val="15"/>
                <w:highlight w:val="none"/>
                <w:u w:val="none"/>
                <w:lang w:eastAsia="zh-CN"/>
              </w:rPr>
              <w:t>系数</w:t>
            </w:r>
            <w:r>
              <w:rPr>
                <w:rFonts w:hint="eastAsia" w:ascii="宋体" w:hAnsi="宋体" w:eastAsia="宋体" w:cs="宋体"/>
                <w:b w:val="0"/>
                <w:bCs w:val="0"/>
                <w:color w:val="auto"/>
                <w:kern w:val="0"/>
                <w:sz w:val="15"/>
                <w:szCs w:val="15"/>
                <w:highlight w:val="none"/>
                <w:u w:val="none"/>
                <w:lang w:val="en-US" w:eastAsia="zh-CN"/>
              </w:rPr>
              <w:t>6；</w:t>
            </w:r>
            <w:r>
              <w:rPr>
                <w:rFonts w:hint="eastAsia" w:ascii="宋体" w:hAnsi="宋体" w:eastAsia="宋体" w:cs="宋体"/>
                <w:b w:val="0"/>
                <w:bCs w:val="0"/>
                <w:color w:val="auto"/>
                <w:kern w:val="0"/>
                <w:sz w:val="15"/>
                <w:szCs w:val="15"/>
                <w:highlight w:val="none"/>
                <w:u w:val="none"/>
              </w:rPr>
              <w:t>1年以上，系数9；</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发生燃气安全事故的，系数9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FE7CB90">
            <w:pPr>
              <w:spacing w:line="232" w:lineRule="exact"/>
              <w:rPr>
                <w:rFonts w:hint="eastAsia" w:ascii="宋体" w:hAnsi="宋体" w:eastAsia="宋体" w:cs="仿宋_GB2312"/>
                <w:color w:val="auto"/>
                <w:kern w:val="0"/>
                <w:sz w:val="15"/>
                <w:szCs w:val="15"/>
                <w:highlight w:val="none"/>
                <w:lang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6C1FA020">
            <w:pPr>
              <w:spacing w:line="232" w:lineRule="exact"/>
              <w:rPr>
                <w:rFonts w:ascii="宋体" w:hAnsi="宋体" w:eastAsia="宋体" w:cs="仿宋_GB2312"/>
                <w:color w:val="auto"/>
                <w:kern w:val="0"/>
                <w:sz w:val="15"/>
                <w:szCs w:val="15"/>
                <w:highlight w:val="none"/>
              </w:rPr>
            </w:pPr>
          </w:p>
        </w:tc>
        <w:tc>
          <w:tcPr>
            <w:tcW w:w="1304" w:type="dxa"/>
            <w:gridSpan w:val="2"/>
            <w:noWrap w:val="0"/>
            <w:vAlign w:val="center"/>
          </w:tcPr>
          <w:p w14:paraId="0300B58E">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2137F81F">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14:paraId="568BC22E">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C4617600</w:t>
            </w:r>
          </w:p>
        </w:tc>
      </w:tr>
      <w:tr w14:paraId="7473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5045EE44">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2</w:t>
            </w:r>
          </w:p>
        </w:tc>
        <w:tc>
          <w:tcPr>
            <w:tcW w:w="1626" w:type="dxa"/>
            <w:gridSpan w:val="2"/>
            <w:noWrap w:val="0"/>
            <w:vAlign w:val="center"/>
          </w:tcPr>
          <w:p w14:paraId="4D915D82">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燃气供应企业不按照燃气经营许可决定的要求从事燃气经营活动</w:t>
            </w:r>
          </w:p>
        </w:tc>
        <w:tc>
          <w:tcPr>
            <w:tcW w:w="2981" w:type="dxa"/>
            <w:noWrap w:val="0"/>
            <w:vAlign w:val="center"/>
          </w:tcPr>
          <w:p w14:paraId="07CBAA0F">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违反条款：第十六条第四款；</w:t>
            </w:r>
          </w:p>
          <w:p w14:paraId="35B96CC7">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noWrap w:val="0"/>
            <w:vAlign w:val="center"/>
          </w:tcPr>
          <w:p w14:paraId="2B386B53">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30000</w:t>
            </w:r>
          </w:p>
        </w:tc>
        <w:tc>
          <w:tcPr>
            <w:tcW w:w="840" w:type="dxa"/>
            <w:noWrap w:val="0"/>
            <w:vAlign w:val="center"/>
          </w:tcPr>
          <w:p w14:paraId="18CCED99">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213A0934">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仿宋_GB2312"/>
                <w:color w:val="auto"/>
                <w:kern w:val="0"/>
                <w:sz w:val="15"/>
                <w:szCs w:val="15"/>
                <w:highlight w:val="none"/>
              </w:rPr>
              <w:t>的，系数4；</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，系数6</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7513706">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罚款数额＝30000×（1＋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p w14:paraId="0AF48E94">
            <w:pPr>
              <w:spacing w:line="232" w:lineRule="exact"/>
              <w:rPr>
                <w:rFonts w:ascii="宋体" w:hAnsi="宋体" w:eastAsia="宋体" w:cs="仿宋_GB2312"/>
                <w:color w:val="auto"/>
                <w:kern w:val="0"/>
                <w:sz w:val="15"/>
                <w:szCs w:val="15"/>
                <w:highlight w:val="none"/>
              </w:rPr>
            </w:pPr>
          </w:p>
        </w:tc>
        <w:tc>
          <w:tcPr>
            <w:tcW w:w="2020" w:type="dxa"/>
            <w:gridSpan w:val="2"/>
            <w:noWrap w:val="0"/>
            <w:vAlign w:val="center"/>
          </w:tcPr>
          <w:p w14:paraId="44581094">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14:paraId="087E2252">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28DF7997">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14:paraId="358785BA">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C4617700</w:t>
            </w:r>
          </w:p>
        </w:tc>
      </w:tr>
      <w:tr w14:paraId="5D25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60" w:hRule="atLeast"/>
        </w:trPr>
        <w:tc>
          <w:tcPr>
            <w:tcW w:w="714" w:type="dxa"/>
            <w:noWrap w:val="0"/>
            <w:vAlign w:val="center"/>
          </w:tcPr>
          <w:p w14:paraId="0A5140DB">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3</w:t>
            </w:r>
          </w:p>
        </w:tc>
        <w:tc>
          <w:tcPr>
            <w:tcW w:w="1626" w:type="dxa"/>
            <w:gridSpan w:val="2"/>
            <w:noWrap w:val="0"/>
            <w:vAlign w:val="center"/>
          </w:tcPr>
          <w:p w14:paraId="3552D1C9">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燃气供应企业不符合燃气经营许可条件要求从事燃气经营活动</w:t>
            </w:r>
          </w:p>
        </w:tc>
        <w:tc>
          <w:tcPr>
            <w:tcW w:w="2981" w:type="dxa"/>
            <w:noWrap w:val="0"/>
            <w:vAlign w:val="center"/>
          </w:tcPr>
          <w:p w14:paraId="2B8ED691">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违反条款：第十六条第二款；</w:t>
            </w:r>
          </w:p>
          <w:p w14:paraId="2A4D0201">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noWrap w:val="0"/>
            <w:vAlign w:val="center"/>
          </w:tcPr>
          <w:p w14:paraId="418509B0">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30000</w:t>
            </w:r>
          </w:p>
        </w:tc>
        <w:tc>
          <w:tcPr>
            <w:tcW w:w="840" w:type="dxa"/>
            <w:noWrap w:val="0"/>
            <w:vAlign w:val="center"/>
          </w:tcPr>
          <w:p w14:paraId="3197CEF8">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38128DAB">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，系数4；</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安全隐患的，系数6</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6DB463E">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罚款数额＝30000×（1＋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1AA799F3">
            <w:pPr>
              <w:autoSpaceDE w:val="0"/>
              <w:spacing w:before="100" w:beforeAutospacing="1" w:after="100" w:afterAutospacing="1"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14:paraId="20053EE1">
            <w:pPr>
              <w:keepNext w:val="0"/>
              <w:keepLines w:val="0"/>
              <w:pageBreakBefore w:val="0"/>
              <w:widowControl w:val="0"/>
              <w:kinsoku/>
              <w:wordWrap/>
              <w:overflowPunct/>
              <w:topLinePunct w:val="0"/>
              <w:autoSpaceDN/>
              <w:bidi w:val="0"/>
              <w:adjustRightInd/>
              <w:snapToGrid/>
              <w:spacing w:beforeAutospacing="0" w:afterAutospacing="0" w:line="232" w:lineRule="exact"/>
              <w:jc w:val="center"/>
              <w:textAlignment w:val="auto"/>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7D555EC9">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14:paraId="495C2E54">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C4620400</w:t>
            </w:r>
          </w:p>
        </w:tc>
      </w:tr>
      <w:tr w14:paraId="6052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900" w:hRule="atLeast"/>
        </w:trPr>
        <w:tc>
          <w:tcPr>
            <w:tcW w:w="714" w:type="dxa"/>
            <w:noWrap w:val="0"/>
            <w:vAlign w:val="center"/>
          </w:tcPr>
          <w:p w14:paraId="601FBC1A">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4</w:t>
            </w:r>
          </w:p>
        </w:tc>
        <w:tc>
          <w:tcPr>
            <w:tcW w:w="1626" w:type="dxa"/>
            <w:gridSpan w:val="2"/>
            <w:noWrap w:val="0"/>
            <w:vAlign w:val="center"/>
          </w:tcPr>
          <w:p w14:paraId="5119B434">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燃气供应企业违反规定情形与非居民用户签订供用气合同（进行供气）</w:t>
            </w:r>
          </w:p>
        </w:tc>
        <w:tc>
          <w:tcPr>
            <w:tcW w:w="2981" w:type="dxa"/>
            <w:noWrap w:val="0"/>
            <w:vAlign w:val="center"/>
          </w:tcPr>
          <w:p w14:paraId="55093EF6">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第二十条（一）（二）（三）项（根据实际情况选择适用）；</w:t>
            </w:r>
          </w:p>
          <w:p w14:paraId="2240F2AE">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14:paraId="25950ADD">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4B1047EB">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2D626723">
            <w:pPr>
              <w:spacing w:line="212" w:lineRule="exact"/>
              <w:rPr>
                <w:rFonts w:ascii="宋体" w:hAnsi="宋体" w:eastAsia="宋体" w:cs="仿宋_GB2312"/>
                <w:color w:val="auto"/>
                <w:spacing w:val="-4"/>
                <w:kern w:val="0"/>
                <w:sz w:val="15"/>
                <w:szCs w:val="15"/>
                <w:highlight w:val="none"/>
              </w:rPr>
            </w:pPr>
            <w:r>
              <w:rPr>
                <w:rFonts w:hint="eastAsia" w:ascii="宋体" w:hAnsi="宋体" w:eastAsia="宋体" w:cs="仿宋_GB2312"/>
                <w:color w:val="auto"/>
                <w:spacing w:val="-4"/>
                <w:kern w:val="0"/>
                <w:sz w:val="15"/>
                <w:szCs w:val="15"/>
                <w:highlight w:val="none"/>
              </w:rPr>
              <w:t>1.存在第二十条第（二）项违法行为的，系数1；2.同时违反第二十条第（一）（二）（三）项中两项违法行为的，系数2；两项以上违法行为的，系数3-4；3.发生燃气事故，或者</w:t>
            </w:r>
            <w:r>
              <w:rPr>
                <w:rFonts w:hint="eastAsia" w:ascii="宋体" w:hAnsi="宋体" w:eastAsia="宋体" w:cs="仿宋_GB2312"/>
                <w:color w:val="auto"/>
                <w:spacing w:val="-4"/>
                <w:kern w:val="0"/>
                <w:sz w:val="15"/>
                <w:szCs w:val="15"/>
                <w:highlight w:val="none"/>
                <w:lang w:eastAsia="zh-CN"/>
              </w:rPr>
              <w:t>其他</w:t>
            </w:r>
            <w:r>
              <w:rPr>
                <w:rFonts w:hint="eastAsia" w:ascii="宋体" w:hAnsi="宋体" w:eastAsia="宋体" w:cs="仿宋_GB2312"/>
                <w:color w:val="auto"/>
                <w:spacing w:val="-4"/>
                <w:kern w:val="0"/>
                <w:sz w:val="15"/>
                <w:szCs w:val="15"/>
                <w:highlight w:val="none"/>
              </w:rPr>
              <w:t>严重影响用气情形的，系数4</w:t>
            </w:r>
            <w:r>
              <w:rPr>
                <w:rFonts w:hint="eastAsia" w:ascii="宋体" w:hAnsi="宋体" w:eastAsia="宋体" w:cs="仿宋_GB2312"/>
                <w:color w:val="auto"/>
                <w:spacing w:val="-4"/>
                <w:kern w:val="0"/>
                <w:sz w:val="15"/>
                <w:szCs w:val="15"/>
                <w:highlight w:val="none"/>
                <w:lang w:eastAsia="zh-CN"/>
              </w:rPr>
              <w:t>；</w:t>
            </w:r>
            <w:r>
              <w:rPr>
                <w:rFonts w:hint="eastAsia" w:ascii="宋体" w:hAnsi="宋体" w:eastAsia="宋体" w:cs="仿宋_GB2312"/>
                <w:color w:val="auto"/>
                <w:spacing w:val="-4"/>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419C656">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10AE156F">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p w14:paraId="6FCE1AB3">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p>
        </w:tc>
        <w:tc>
          <w:tcPr>
            <w:tcW w:w="1304" w:type="dxa"/>
            <w:gridSpan w:val="2"/>
            <w:noWrap w:val="0"/>
            <w:vAlign w:val="center"/>
          </w:tcPr>
          <w:p w14:paraId="0338F67C">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710CD0E0">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14:paraId="1EC51AC5">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C4649900</w:t>
            </w:r>
          </w:p>
        </w:tc>
      </w:tr>
      <w:tr w14:paraId="76E55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32AA28EA">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5</w:t>
            </w:r>
          </w:p>
        </w:tc>
        <w:tc>
          <w:tcPr>
            <w:tcW w:w="1626" w:type="dxa"/>
            <w:gridSpan w:val="2"/>
            <w:noWrap w:val="0"/>
            <w:vAlign w:val="center"/>
          </w:tcPr>
          <w:p w14:paraId="0BBF299A">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燃气供应企业未向用户提供安全、稳定、质量合格和价格合理的服务</w:t>
            </w:r>
          </w:p>
        </w:tc>
        <w:tc>
          <w:tcPr>
            <w:tcW w:w="2981" w:type="dxa"/>
            <w:noWrap w:val="0"/>
            <w:vAlign w:val="center"/>
          </w:tcPr>
          <w:p w14:paraId="1D28767B">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违反条款：第二十一条第一款；</w:t>
            </w:r>
          </w:p>
          <w:p w14:paraId="4E1A2BA8">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14:paraId="4CC36D45">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7F46269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1642A688">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仿宋_GB2312"/>
                <w:color w:val="auto"/>
                <w:kern w:val="0"/>
                <w:sz w:val="15"/>
                <w:szCs w:val="15"/>
                <w:highlight w:val="none"/>
              </w:rPr>
              <w:t>的，系数2；2.未按燃气管理部门要求整改，或整改后再次发生类似违法行为的，系数4；3.发生燃气安全事故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82F81A0">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1200032F">
            <w:pPr>
              <w:spacing w:line="17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14:paraId="6EEFFB3F">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2C3A62BF">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14:paraId="5F0FD0F6">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C4618400</w:t>
            </w:r>
          </w:p>
        </w:tc>
      </w:tr>
      <w:tr w14:paraId="2ACC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953" w:hRule="atLeast"/>
        </w:trPr>
        <w:tc>
          <w:tcPr>
            <w:tcW w:w="714" w:type="dxa"/>
            <w:noWrap w:val="0"/>
            <w:vAlign w:val="center"/>
          </w:tcPr>
          <w:p w14:paraId="68983ECB">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6</w:t>
            </w:r>
          </w:p>
        </w:tc>
        <w:tc>
          <w:tcPr>
            <w:tcW w:w="1626" w:type="dxa"/>
            <w:gridSpan w:val="2"/>
            <w:noWrap w:val="0"/>
            <w:vAlign w:val="center"/>
          </w:tcPr>
          <w:p w14:paraId="05E83EF8">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燃气供应企业未建立和完善安全保障制度并遵守相关规定</w:t>
            </w:r>
          </w:p>
        </w:tc>
        <w:tc>
          <w:tcPr>
            <w:tcW w:w="2981" w:type="dxa"/>
            <w:noWrap w:val="0"/>
            <w:vAlign w:val="center"/>
          </w:tcPr>
          <w:p w14:paraId="41560CA3">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违反条款：第二十二条第（一）（二）（三）（四）（五）（六）（七）（八）项（根据实际违法情形选择）；</w:t>
            </w:r>
          </w:p>
          <w:p w14:paraId="202BD8EE">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14:paraId="0FAF182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160E917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6A47871A">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1.存在</w:t>
            </w:r>
            <w:r>
              <w:rPr>
                <w:rFonts w:hint="eastAsia" w:ascii="宋体" w:hAnsi="宋体" w:eastAsia="宋体" w:cs="仿宋_GB2312"/>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w:t>
            </w:r>
            <w:r>
              <w:rPr>
                <w:rFonts w:hint="eastAsia" w:ascii="宋体" w:hAnsi="宋体" w:eastAsia="宋体" w:cs="仿宋_GB2312"/>
                <w:color w:val="auto"/>
                <w:kern w:val="0"/>
                <w:sz w:val="15"/>
                <w:szCs w:val="15"/>
                <w:highlight w:val="none"/>
                <w:shd w:val="clear" w:color="auto" w:fill="FFFFFF"/>
                <w:lang w:eastAsia="zh-CN"/>
              </w:rPr>
              <w:t>其他</w:t>
            </w:r>
            <w:r>
              <w:rPr>
                <w:rFonts w:hint="eastAsia" w:ascii="宋体" w:hAnsi="宋体" w:eastAsia="宋体" w:cs="仿宋_GB2312"/>
                <w:color w:val="auto"/>
                <w:kern w:val="0"/>
                <w:sz w:val="15"/>
                <w:szCs w:val="15"/>
                <w:highlight w:val="none"/>
                <w:shd w:val="clear" w:color="auto" w:fill="FFFFFF"/>
              </w:rPr>
              <w:t>严重影响用气情形的，系数4</w:t>
            </w:r>
            <w:r>
              <w:rPr>
                <w:rFonts w:hint="eastAsia" w:ascii="宋体" w:hAnsi="宋体" w:eastAsia="宋体" w:cs="仿宋_GB2312"/>
                <w:color w:val="auto"/>
                <w:kern w:val="0"/>
                <w:sz w:val="15"/>
                <w:szCs w:val="15"/>
                <w:highlight w:val="none"/>
                <w:shd w:val="clear" w:color="auto" w:fill="FFFFFF"/>
                <w:lang w:eastAsia="zh-CN"/>
              </w:rPr>
              <w:t>；</w:t>
            </w:r>
            <w:r>
              <w:rPr>
                <w:rFonts w:hint="eastAsia" w:ascii="宋体" w:hAnsi="宋体" w:eastAsia="宋体" w:cs="仿宋_GB2312"/>
                <w:color w:val="auto"/>
                <w:kern w:val="0"/>
                <w:sz w:val="15"/>
                <w:szCs w:val="15"/>
                <w:highlight w:val="none"/>
                <w:shd w:val="clear" w:color="auto" w:fill="FFFFFF"/>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C956E38">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4B07852F">
            <w:pPr>
              <w:keepNext w:val="0"/>
              <w:keepLines w:val="0"/>
              <w:pageBreakBefore w:val="0"/>
              <w:widowControl w:val="0"/>
              <w:kinsoku/>
              <w:wordWrap/>
              <w:overflowPunct/>
              <w:topLinePunct w:val="0"/>
              <w:autoSpaceDE/>
              <w:autoSpaceDN/>
              <w:bidi w:val="0"/>
              <w:adjustRightInd/>
              <w:snapToGrid/>
              <w:spacing w:line="17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14:paraId="65C9554E">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17703211">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14:paraId="145E1F39">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C4650500</w:t>
            </w:r>
          </w:p>
        </w:tc>
      </w:tr>
      <w:tr w14:paraId="59B2B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916" w:hRule="atLeast"/>
        </w:trPr>
        <w:tc>
          <w:tcPr>
            <w:tcW w:w="714" w:type="dxa"/>
            <w:noWrap w:val="0"/>
            <w:vAlign w:val="center"/>
          </w:tcPr>
          <w:p w14:paraId="5B9E624A">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7</w:t>
            </w:r>
          </w:p>
        </w:tc>
        <w:tc>
          <w:tcPr>
            <w:tcW w:w="1626" w:type="dxa"/>
            <w:gridSpan w:val="2"/>
            <w:noWrap w:val="0"/>
            <w:vAlign w:val="center"/>
          </w:tcPr>
          <w:p w14:paraId="7E7936C1">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燃气供应企业未建立健全用户服务制度、规范服务行为并遵守相关规定</w:t>
            </w:r>
          </w:p>
        </w:tc>
        <w:tc>
          <w:tcPr>
            <w:tcW w:w="2981" w:type="dxa"/>
            <w:noWrap w:val="0"/>
            <w:vAlign w:val="center"/>
          </w:tcPr>
          <w:p w14:paraId="32076805">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违反条款：第二十三条第（一）（二）（三）（四）（五）（六）（七）项（根据实际违法情形选择）；</w:t>
            </w:r>
          </w:p>
          <w:p w14:paraId="2F07ABA6">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14:paraId="47667C87">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1076F017">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547CF0D7">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8976E8F">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2375449E">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ascii="宋体" w:hAnsi="宋体" w:eastAsia="宋体" w:cs="仿宋_GB2312"/>
                <w:color w:val="auto"/>
                <w:kern w:val="0"/>
                <w:sz w:val="15"/>
                <w:szCs w:val="15"/>
                <w:highlight w:val="none"/>
                <w:lang w:eastAsia="zh-CN"/>
              </w:rPr>
              <w:t>做好</w:t>
            </w:r>
            <w:r>
              <w:rPr>
                <w:rFonts w:hint="eastAsia" w:ascii="宋体" w:hAnsi="宋体" w:eastAsia="宋体" w:cs="仿宋_GB2312"/>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14:paraId="4CACC0F9">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2E6CF703">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14:paraId="7DAE13D9">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C4649400</w:t>
            </w:r>
          </w:p>
        </w:tc>
      </w:tr>
      <w:tr w14:paraId="0A7D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812" w:hRule="atLeast"/>
        </w:trPr>
        <w:tc>
          <w:tcPr>
            <w:tcW w:w="714" w:type="dxa"/>
            <w:noWrap w:val="0"/>
            <w:vAlign w:val="center"/>
          </w:tcPr>
          <w:p w14:paraId="5EF4FC5C">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8</w:t>
            </w:r>
          </w:p>
        </w:tc>
        <w:tc>
          <w:tcPr>
            <w:tcW w:w="1626" w:type="dxa"/>
            <w:gridSpan w:val="2"/>
            <w:noWrap w:val="0"/>
            <w:vAlign w:val="center"/>
          </w:tcPr>
          <w:p w14:paraId="06B031F5">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燃气供应企业销售瓶装液化石油气未如实记录用户基本信息以及用户持有气瓶的数量、定期检验周期和报废期限等情况</w:t>
            </w:r>
          </w:p>
        </w:tc>
        <w:tc>
          <w:tcPr>
            <w:tcW w:w="2981" w:type="dxa"/>
            <w:noWrap w:val="0"/>
            <w:vAlign w:val="center"/>
          </w:tcPr>
          <w:p w14:paraId="5F755268">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违反条款：第二十四条第一款；</w:t>
            </w:r>
          </w:p>
          <w:p w14:paraId="7B572CB4">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14:paraId="02D3D7C9">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71A59693">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13BA93F6">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8428F9C">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4EBA6993">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14:paraId="475CB661">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14:paraId="4A4CC383">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c>
          <w:tcPr>
            <w:tcW w:w="1869" w:type="dxa"/>
            <w:noWrap w:val="0"/>
            <w:vAlign w:val="center"/>
          </w:tcPr>
          <w:p w14:paraId="0662E910">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C4650200</w:t>
            </w:r>
          </w:p>
        </w:tc>
      </w:tr>
      <w:tr w14:paraId="045C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04" w:hRule="atLeast"/>
        </w:trPr>
        <w:tc>
          <w:tcPr>
            <w:tcW w:w="714" w:type="dxa"/>
            <w:noWrap w:val="0"/>
            <w:vAlign w:val="center"/>
          </w:tcPr>
          <w:p w14:paraId="502B11BA">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9</w:t>
            </w:r>
          </w:p>
        </w:tc>
        <w:tc>
          <w:tcPr>
            <w:tcW w:w="1626" w:type="dxa"/>
            <w:gridSpan w:val="2"/>
            <w:noWrap w:val="0"/>
            <w:vAlign w:val="center"/>
          </w:tcPr>
          <w:p w14:paraId="5CEE8ACF">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燃气供应企业未在用户持有的气瓶定期检验周期、报废期限到期前三十日内通知用户将气瓶送交处理</w:t>
            </w:r>
          </w:p>
        </w:tc>
        <w:tc>
          <w:tcPr>
            <w:tcW w:w="2981" w:type="dxa"/>
            <w:noWrap w:val="0"/>
            <w:vAlign w:val="center"/>
          </w:tcPr>
          <w:p w14:paraId="1FE13A29">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违反条款：第二十四条第二款；</w:t>
            </w:r>
          </w:p>
          <w:p w14:paraId="280EF68C">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14:paraId="7210C2F9">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53183F86">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17DE0E29">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1.未在气瓶报废期限到期前通知用户的，系数3-4；2.两次以上未在定期检验周期到期前通知用户的，系数2-4；3.发生燃气事故，或者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EA456F3">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7DD45EC9">
            <w:pPr>
              <w:spacing w:line="232" w:lineRule="exact"/>
              <w:rPr>
                <w:rFonts w:ascii="宋体" w:hAnsi="宋体" w:eastAsia="宋体" w:cs="仿宋_GB2312"/>
                <w:b/>
                <w:bCs/>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14:paraId="69A141F9">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14:paraId="30144A5E">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c>
          <w:tcPr>
            <w:tcW w:w="1869" w:type="dxa"/>
            <w:noWrap w:val="0"/>
            <w:vAlign w:val="center"/>
          </w:tcPr>
          <w:p w14:paraId="23379244">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C4650000</w:t>
            </w:r>
          </w:p>
        </w:tc>
      </w:tr>
      <w:tr w14:paraId="3865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04" w:hRule="atLeast"/>
        </w:trPr>
        <w:tc>
          <w:tcPr>
            <w:tcW w:w="714" w:type="dxa"/>
            <w:noWrap w:val="0"/>
            <w:vAlign w:val="center"/>
          </w:tcPr>
          <w:p w14:paraId="1ED90AC0">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10</w:t>
            </w:r>
          </w:p>
        </w:tc>
        <w:tc>
          <w:tcPr>
            <w:tcW w:w="1626" w:type="dxa"/>
            <w:gridSpan w:val="2"/>
            <w:noWrap w:val="0"/>
            <w:vAlign w:val="center"/>
          </w:tcPr>
          <w:p w14:paraId="17DEAFE4">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燃气供应企业对非居民用户未直接配送、安装气瓶，并对其用气场所、燃气设施和用气设备进行安全检查</w:t>
            </w:r>
          </w:p>
        </w:tc>
        <w:tc>
          <w:tcPr>
            <w:tcW w:w="2981" w:type="dxa"/>
            <w:noWrap w:val="0"/>
            <w:vAlign w:val="center"/>
          </w:tcPr>
          <w:p w14:paraId="78750112">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违反条款：第二十五条第一款；</w:t>
            </w:r>
          </w:p>
          <w:p w14:paraId="72ABCB71">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14:paraId="650D9C03">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78997436">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7193FEB3">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1.同时存在未直接配送、安装、进行安全检查两种情形的，系数1；同时存在三种情形的，系数2-4；2.发生燃气事故，或者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9CF20CD">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1235E02B">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14:paraId="5DDC5B88">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14:paraId="1EF74659">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c>
          <w:tcPr>
            <w:tcW w:w="1869" w:type="dxa"/>
            <w:noWrap w:val="0"/>
            <w:vAlign w:val="center"/>
          </w:tcPr>
          <w:p w14:paraId="4B1513CB">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C4649700</w:t>
            </w:r>
          </w:p>
        </w:tc>
      </w:tr>
      <w:tr w14:paraId="40E4F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14:paraId="37290C93">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11</w:t>
            </w:r>
          </w:p>
        </w:tc>
        <w:tc>
          <w:tcPr>
            <w:tcW w:w="1626" w:type="dxa"/>
            <w:gridSpan w:val="2"/>
            <w:noWrap w:val="0"/>
            <w:vAlign w:val="center"/>
          </w:tcPr>
          <w:p w14:paraId="34E5C83C">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燃气供应企业未对直接配送瓶装液化石油气居民用户的用气场所、燃气设施和用气设备进行安全检查</w:t>
            </w:r>
          </w:p>
        </w:tc>
        <w:tc>
          <w:tcPr>
            <w:tcW w:w="2981" w:type="dxa"/>
            <w:noWrap w:val="0"/>
            <w:vAlign w:val="center"/>
          </w:tcPr>
          <w:p w14:paraId="11C497E2">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违反条款：第二十五条第二款；</w:t>
            </w:r>
          </w:p>
          <w:p w14:paraId="3548ACE6">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14:paraId="7B24E60A">
            <w:pPr>
              <w:spacing w:line="232" w:lineRule="exact"/>
              <w:jc w:val="center"/>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45A8F726">
            <w:pPr>
              <w:spacing w:line="232" w:lineRule="exact"/>
              <w:jc w:val="center"/>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0F7F9D84">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1.两次未进行安全检查，系数2-3；三次及以上未进行安全检查，系数4；2.影响正常用气的，系数2-3；3.发生燃气事故，或者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E78A7CD">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106E4FDC">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14:paraId="0D03DB38">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14:paraId="4ECABDA5">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c>
          <w:tcPr>
            <w:tcW w:w="1869" w:type="dxa"/>
            <w:noWrap w:val="0"/>
            <w:vAlign w:val="center"/>
          </w:tcPr>
          <w:p w14:paraId="4AA57987">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C4649600</w:t>
            </w:r>
          </w:p>
        </w:tc>
      </w:tr>
      <w:tr w14:paraId="4A85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037" w:hRule="atLeast"/>
        </w:trPr>
        <w:tc>
          <w:tcPr>
            <w:tcW w:w="714" w:type="dxa"/>
            <w:noWrap w:val="0"/>
            <w:vAlign w:val="center"/>
          </w:tcPr>
          <w:p w14:paraId="4F2F6FF0">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12</w:t>
            </w:r>
          </w:p>
        </w:tc>
        <w:tc>
          <w:tcPr>
            <w:tcW w:w="1626" w:type="dxa"/>
            <w:gridSpan w:val="2"/>
            <w:noWrap w:val="0"/>
            <w:vAlign w:val="center"/>
          </w:tcPr>
          <w:p w14:paraId="076A25FF">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燃气供应企业销售瓶装燃气未遵守相关规定</w:t>
            </w:r>
          </w:p>
        </w:tc>
        <w:tc>
          <w:tcPr>
            <w:tcW w:w="2981" w:type="dxa"/>
            <w:noWrap w:val="0"/>
            <w:vAlign w:val="center"/>
          </w:tcPr>
          <w:p w14:paraId="742E1181">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违反条款：第二十六条第一款第(一) (四)（五）(六)项（根据实际违法情形选择）；</w:t>
            </w:r>
          </w:p>
          <w:p w14:paraId="07522869">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14:paraId="258FC17F">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5CE1360F">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0C1E53F4">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1.违法行为影响正常用气的，系数2-3；2.发生燃气事故，存在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8212812">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2E011FE2">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14:paraId="3398BDEA">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16C1621E">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14:paraId="408260DE">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C4649800</w:t>
            </w:r>
          </w:p>
        </w:tc>
      </w:tr>
      <w:tr w14:paraId="703F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573" w:hRule="atLeast"/>
        </w:trPr>
        <w:tc>
          <w:tcPr>
            <w:tcW w:w="714" w:type="dxa"/>
            <w:noWrap w:val="0"/>
            <w:vAlign w:val="center"/>
          </w:tcPr>
          <w:p w14:paraId="0B817ADA">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13</w:t>
            </w:r>
          </w:p>
        </w:tc>
        <w:tc>
          <w:tcPr>
            <w:tcW w:w="1626" w:type="dxa"/>
            <w:gridSpan w:val="2"/>
            <w:noWrap w:val="0"/>
            <w:vAlign w:val="center"/>
          </w:tcPr>
          <w:p w14:paraId="5CAF1EE3">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燃气供应企业未按要求对燃气用户暂停供气或者限制购气并进行报告</w:t>
            </w:r>
          </w:p>
        </w:tc>
        <w:tc>
          <w:tcPr>
            <w:tcW w:w="2981" w:type="dxa"/>
            <w:noWrap w:val="0"/>
            <w:vAlign w:val="center"/>
          </w:tcPr>
          <w:p w14:paraId="7858851B">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违反条款：第三十一条第（一）（二）项（根据实际违法情形选择）；</w:t>
            </w:r>
          </w:p>
          <w:p w14:paraId="257505CD">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14:paraId="00A37A5F">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72E233AC">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1B381548">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60970BD">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40B18AC8">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14:paraId="737178FA">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14:paraId="34ACE771">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c>
          <w:tcPr>
            <w:tcW w:w="1869" w:type="dxa"/>
            <w:noWrap w:val="0"/>
            <w:vAlign w:val="center"/>
          </w:tcPr>
          <w:p w14:paraId="6447BB0D">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C4650600</w:t>
            </w:r>
          </w:p>
        </w:tc>
      </w:tr>
      <w:tr w14:paraId="5CD3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43" w:hRule="atLeast"/>
        </w:trPr>
        <w:tc>
          <w:tcPr>
            <w:tcW w:w="714" w:type="dxa"/>
            <w:noWrap w:val="0"/>
            <w:vAlign w:val="center"/>
          </w:tcPr>
          <w:p w14:paraId="12CBD817">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14</w:t>
            </w:r>
          </w:p>
        </w:tc>
        <w:tc>
          <w:tcPr>
            <w:tcW w:w="1626" w:type="dxa"/>
            <w:gridSpan w:val="2"/>
            <w:noWrap w:val="0"/>
            <w:vAlign w:val="center"/>
          </w:tcPr>
          <w:p w14:paraId="1B1B639B">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燃气非居民用户未安装、使用符合要求的燃气燃烧器具及其连接管、燃气泄漏报警装置</w:t>
            </w:r>
          </w:p>
        </w:tc>
        <w:tc>
          <w:tcPr>
            <w:tcW w:w="2981" w:type="dxa"/>
            <w:noWrap w:val="0"/>
            <w:vAlign w:val="center"/>
          </w:tcPr>
          <w:p w14:paraId="6CC205D6">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违反条款：第二十七条第一款；</w:t>
            </w:r>
          </w:p>
          <w:p w14:paraId="5E411AAF">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处罚条款：第五十九条 责令限期改正；逾期不改正的，处二万元以上十万元以下罚款。</w:t>
            </w:r>
          </w:p>
        </w:tc>
        <w:tc>
          <w:tcPr>
            <w:tcW w:w="851" w:type="dxa"/>
            <w:noWrap w:val="0"/>
            <w:vAlign w:val="center"/>
          </w:tcPr>
          <w:p w14:paraId="409C67A9">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056DB2B7">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2B840292">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1.违法行为影响正常用气的，系数2-3；</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安装、使用明令淘汰的燃气燃烧器</w:t>
            </w:r>
            <w:r>
              <w:rPr>
                <w:rFonts w:hint="eastAsia" w:ascii="宋体" w:hAnsi="宋体" w:eastAsia="宋体"/>
                <w:color w:val="auto"/>
                <w:sz w:val="15"/>
                <w:szCs w:val="15"/>
                <w:highlight w:val="none"/>
              </w:rPr>
              <w:t>具</w:t>
            </w:r>
            <w:r>
              <w:rPr>
                <w:rFonts w:hint="eastAsia" w:ascii="宋体" w:hAnsi="宋体" w:eastAsia="宋体"/>
                <w:color w:val="auto"/>
                <w:sz w:val="15"/>
                <w:szCs w:val="15"/>
                <w:highlight w:val="none"/>
                <w:lang w:eastAsia="zh-CN"/>
              </w:rPr>
              <w:t>的，系数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val="en"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仿宋_GB2312"/>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11FA5AD">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2F3FCB42">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逾期不改正的情形，不纳入本案由</w:t>
            </w:r>
            <w:r>
              <w:rPr>
                <w:rFonts w:hint="eastAsia" w:ascii="宋体" w:hAnsi="宋体" w:eastAsia="宋体" w:cs="仿宋_GB2312"/>
                <w:color w:val="auto"/>
                <w:kern w:val="0"/>
                <w:sz w:val="15"/>
                <w:szCs w:val="15"/>
                <w:highlight w:val="none"/>
                <w:lang w:eastAsia="zh-CN"/>
              </w:rPr>
              <w:t>情节系数</w:t>
            </w:r>
            <w:r>
              <w:rPr>
                <w:rFonts w:hint="eastAsia" w:ascii="宋体" w:hAnsi="宋体" w:eastAsia="宋体" w:cs="仿宋_GB2312"/>
                <w:color w:val="auto"/>
                <w:kern w:val="0"/>
                <w:sz w:val="15"/>
                <w:szCs w:val="15"/>
                <w:highlight w:val="none"/>
              </w:rPr>
              <w:t>。</w:t>
            </w:r>
          </w:p>
          <w:p w14:paraId="4DF23DAE">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p>
        </w:tc>
        <w:tc>
          <w:tcPr>
            <w:tcW w:w="1304" w:type="dxa"/>
            <w:gridSpan w:val="2"/>
            <w:noWrap w:val="0"/>
            <w:vAlign w:val="center"/>
          </w:tcPr>
          <w:p w14:paraId="3EC5CC35">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3FF284ED">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14:paraId="7B895868">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C4619000</w:t>
            </w:r>
          </w:p>
        </w:tc>
      </w:tr>
      <w:tr w14:paraId="7DE62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27" w:hRule="atLeast"/>
        </w:trPr>
        <w:tc>
          <w:tcPr>
            <w:tcW w:w="714" w:type="dxa"/>
            <w:noWrap w:val="0"/>
            <w:vAlign w:val="center"/>
          </w:tcPr>
          <w:p w14:paraId="0FCDE1D4">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15</w:t>
            </w:r>
          </w:p>
        </w:tc>
        <w:tc>
          <w:tcPr>
            <w:tcW w:w="1626" w:type="dxa"/>
            <w:gridSpan w:val="2"/>
            <w:noWrap w:val="0"/>
            <w:vAlign w:val="center"/>
          </w:tcPr>
          <w:p w14:paraId="1A7261AF">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非居民用户存在燃气使用禁止的行为</w:t>
            </w:r>
          </w:p>
        </w:tc>
        <w:tc>
          <w:tcPr>
            <w:tcW w:w="2981" w:type="dxa"/>
            <w:noWrap w:val="0"/>
            <w:vAlign w:val="center"/>
          </w:tcPr>
          <w:p w14:paraId="7B14F9EB">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违反条款：第三十条第一款第（一）至（十二）项、第二款（根据实际违法情形选择）；</w:t>
            </w:r>
          </w:p>
          <w:p w14:paraId="6F62A2A3">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处罚条款：第六十条第一款 责令限期改正；逾期不改正的，处二万元以上十万元以下罚款。</w:t>
            </w:r>
          </w:p>
        </w:tc>
        <w:tc>
          <w:tcPr>
            <w:tcW w:w="851" w:type="dxa"/>
            <w:noWrap w:val="0"/>
            <w:vAlign w:val="center"/>
          </w:tcPr>
          <w:p w14:paraId="16513B9D">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105E65E1">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2BF0ADC9">
            <w:pPr>
              <w:spacing w:line="21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1.同时存在两项（含两项）以上违法行为的，系数2-4； 2.违法行为影响正常用气的，系数2-3；3.发生燃气事故，存在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AB5E0F2">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6B6D759A">
            <w:pPr>
              <w:spacing w:line="232" w:lineRule="exact"/>
              <w:rPr>
                <w:rFonts w:ascii="宋体" w:hAnsi="宋体" w:eastAsia="宋体" w:cs="仿宋_GB2312"/>
                <w:color w:val="auto"/>
                <w:kern w:val="0"/>
                <w:sz w:val="15"/>
                <w:szCs w:val="15"/>
                <w:highlight w:val="none"/>
              </w:rPr>
            </w:pPr>
          </w:p>
        </w:tc>
        <w:tc>
          <w:tcPr>
            <w:tcW w:w="1304" w:type="dxa"/>
            <w:gridSpan w:val="2"/>
            <w:noWrap w:val="0"/>
            <w:vAlign w:val="center"/>
          </w:tcPr>
          <w:p w14:paraId="45FBA916">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021E3E56">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14:paraId="68619C02">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C4621200</w:t>
            </w:r>
          </w:p>
        </w:tc>
      </w:tr>
      <w:tr w14:paraId="778D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47" w:hRule="atLeast"/>
        </w:trPr>
        <w:tc>
          <w:tcPr>
            <w:tcW w:w="714" w:type="dxa"/>
            <w:noWrap w:val="0"/>
            <w:vAlign w:val="center"/>
          </w:tcPr>
          <w:p w14:paraId="00DD7279">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16</w:t>
            </w:r>
          </w:p>
        </w:tc>
        <w:tc>
          <w:tcPr>
            <w:tcW w:w="1626" w:type="dxa"/>
            <w:gridSpan w:val="2"/>
            <w:noWrap w:val="0"/>
            <w:vAlign w:val="center"/>
          </w:tcPr>
          <w:p w14:paraId="51052003">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居民用户存在燃气使用禁止的行为</w:t>
            </w:r>
          </w:p>
        </w:tc>
        <w:tc>
          <w:tcPr>
            <w:tcW w:w="2981" w:type="dxa"/>
            <w:noWrap w:val="0"/>
            <w:vAlign w:val="center"/>
          </w:tcPr>
          <w:p w14:paraId="23AEB55F">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违反条款：第三十条第一款第(一)项至第(九)项、第(十一)项、第(十二)项（根据实际违法情形选择）；</w:t>
            </w:r>
          </w:p>
          <w:p w14:paraId="3444907E">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处罚条款：第六十条第二款 责令限期改正；逾期不改正的，处一千元以下罚款。</w:t>
            </w:r>
          </w:p>
        </w:tc>
        <w:tc>
          <w:tcPr>
            <w:tcW w:w="851" w:type="dxa"/>
            <w:noWrap w:val="0"/>
            <w:vAlign w:val="center"/>
          </w:tcPr>
          <w:p w14:paraId="2AE32615">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w:t>
            </w:r>
          </w:p>
        </w:tc>
        <w:tc>
          <w:tcPr>
            <w:tcW w:w="840" w:type="dxa"/>
            <w:noWrap w:val="0"/>
            <w:vAlign w:val="center"/>
          </w:tcPr>
          <w:p w14:paraId="2E90C809">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665ABEE4">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1.同时存在两项（含两项）以上违法行为的，系数2-4；2.违法行为影响正常用气的，系数2-3；3.发生燃气事故，存在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54788F5">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1D35C58B">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需要作出200元以下罚款决定的，</w:t>
            </w:r>
            <w:r>
              <w:rPr>
                <w:rFonts w:hint="eastAsia" w:ascii="宋体" w:hAnsi="宋体" w:eastAsia="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1304" w:type="dxa"/>
            <w:gridSpan w:val="2"/>
            <w:noWrap w:val="0"/>
            <w:vAlign w:val="center"/>
          </w:tcPr>
          <w:p w14:paraId="076D443C">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19E68FE2">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14:paraId="40B8B797">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C4621200</w:t>
            </w:r>
          </w:p>
        </w:tc>
      </w:tr>
      <w:tr w14:paraId="3234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36" w:hRule="atLeast"/>
        </w:trPr>
        <w:tc>
          <w:tcPr>
            <w:tcW w:w="714" w:type="dxa"/>
            <w:noWrap w:val="0"/>
            <w:vAlign w:val="center"/>
          </w:tcPr>
          <w:p w14:paraId="71EC0CA5">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17</w:t>
            </w:r>
          </w:p>
        </w:tc>
        <w:tc>
          <w:tcPr>
            <w:tcW w:w="1626" w:type="dxa"/>
            <w:gridSpan w:val="2"/>
            <w:noWrap w:val="0"/>
            <w:vAlign w:val="center"/>
          </w:tcPr>
          <w:p w14:paraId="292CB621">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管道燃气供应企业未按照规范维修、安装、改装、移动或者拆除居民用户专有部分的燃气设施</w:t>
            </w:r>
          </w:p>
        </w:tc>
        <w:tc>
          <w:tcPr>
            <w:tcW w:w="2981" w:type="dxa"/>
            <w:noWrap w:val="0"/>
            <w:vAlign w:val="center"/>
          </w:tcPr>
          <w:p w14:paraId="32BE8C1E">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违反条款：第三十三条第一款；</w:t>
            </w:r>
          </w:p>
          <w:p w14:paraId="0425269C">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noWrap w:val="0"/>
            <w:vAlign w:val="center"/>
          </w:tcPr>
          <w:p w14:paraId="768906EB">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285ACB6F">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13B836E8">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1.违法行为影响正常用气的，系数2-3；2.发生燃气事故，存在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254EA26">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2B99CC4A">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p>
        </w:tc>
        <w:tc>
          <w:tcPr>
            <w:tcW w:w="1304" w:type="dxa"/>
            <w:gridSpan w:val="2"/>
            <w:noWrap w:val="0"/>
            <w:vAlign w:val="center"/>
          </w:tcPr>
          <w:p w14:paraId="09D5FF85">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36BBEC47">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14:paraId="754C6B5A">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C4649500</w:t>
            </w:r>
          </w:p>
        </w:tc>
      </w:tr>
      <w:tr w14:paraId="192F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97" w:hRule="atLeast"/>
        </w:trPr>
        <w:tc>
          <w:tcPr>
            <w:tcW w:w="714" w:type="dxa"/>
            <w:noWrap w:val="0"/>
            <w:vAlign w:val="center"/>
          </w:tcPr>
          <w:p w14:paraId="7B508C7E">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18</w:t>
            </w:r>
          </w:p>
        </w:tc>
        <w:tc>
          <w:tcPr>
            <w:tcW w:w="1626" w:type="dxa"/>
            <w:gridSpan w:val="2"/>
            <w:noWrap w:val="0"/>
            <w:vAlign w:val="center"/>
          </w:tcPr>
          <w:p w14:paraId="18F08BB9">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单位侵占、毁损，擅自拆除、改装、安装、移动燃气设施</w:t>
            </w:r>
          </w:p>
        </w:tc>
        <w:tc>
          <w:tcPr>
            <w:tcW w:w="2981" w:type="dxa"/>
            <w:noWrap w:val="0"/>
            <w:vAlign w:val="center"/>
          </w:tcPr>
          <w:p w14:paraId="70C22D48">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14:paraId="0F335086">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处罚条款：第六十二条第一款 责令限期改正，恢复原状或者采取其他补救措施，处五万元以上十万元以下罚款。</w:t>
            </w:r>
          </w:p>
        </w:tc>
        <w:tc>
          <w:tcPr>
            <w:tcW w:w="851" w:type="dxa"/>
            <w:noWrap w:val="0"/>
            <w:vAlign w:val="center"/>
          </w:tcPr>
          <w:p w14:paraId="2BC52CD1">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p w14:paraId="7A876D10">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（单位）</w:t>
            </w:r>
          </w:p>
        </w:tc>
        <w:tc>
          <w:tcPr>
            <w:tcW w:w="840" w:type="dxa"/>
            <w:noWrap w:val="0"/>
            <w:vAlign w:val="center"/>
          </w:tcPr>
          <w:p w14:paraId="46F081E6">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56491184">
            <w:pPr>
              <w:spacing w:line="232" w:lineRule="exact"/>
              <w:rPr>
                <w:rFonts w:ascii="宋体" w:hAnsi="宋体" w:eastAsia="宋体" w:cs="仿宋_GB2312"/>
                <w:color w:val="auto"/>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C970583">
            <w:pPr>
              <w:spacing w:line="232" w:lineRule="exact"/>
              <w:rPr>
                <w:rFonts w:hint="eastAsia" w:ascii="宋体" w:hAnsi="宋体" w:eastAsia="宋体" w:cs="仿宋_GB2312"/>
                <w:color w:val="auto"/>
                <w:kern w:val="0"/>
                <w:sz w:val="15"/>
                <w:szCs w:val="15"/>
                <w:highlight w:val="none"/>
                <w:lang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0E0F9455">
            <w:pPr>
              <w:spacing w:line="232" w:lineRule="exact"/>
              <w:rPr>
                <w:rFonts w:ascii="宋体" w:hAnsi="宋体" w:eastAsia="宋体" w:cs="仿宋_GB2312"/>
                <w:color w:val="auto"/>
                <w:kern w:val="0"/>
                <w:sz w:val="15"/>
                <w:szCs w:val="15"/>
                <w:highlight w:val="none"/>
              </w:rPr>
            </w:pPr>
          </w:p>
        </w:tc>
        <w:tc>
          <w:tcPr>
            <w:tcW w:w="1304" w:type="dxa"/>
            <w:gridSpan w:val="2"/>
            <w:noWrap w:val="0"/>
            <w:vAlign w:val="center"/>
          </w:tcPr>
          <w:p w14:paraId="58611709">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市级</w:t>
            </w:r>
          </w:p>
          <w:p w14:paraId="2F7B0D0E">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tc>
        <w:tc>
          <w:tcPr>
            <w:tcW w:w="1869" w:type="dxa"/>
            <w:noWrap w:val="0"/>
            <w:vAlign w:val="center"/>
          </w:tcPr>
          <w:p w14:paraId="2246461F">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C4620000</w:t>
            </w:r>
          </w:p>
        </w:tc>
      </w:tr>
      <w:tr w14:paraId="5969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61" w:hRule="atLeast"/>
        </w:trPr>
        <w:tc>
          <w:tcPr>
            <w:tcW w:w="714" w:type="dxa"/>
            <w:noWrap w:val="0"/>
            <w:vAlign w:val="center"/>
          </w:tcPr>
          <w:p w14:paraId="6106C55E">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19</w:t>
            </w:r>
          </w:p>
        </w:tc>
        <w:tc>
          <w:tcPr>
            <w:tcW w:w="1626" w:type="dxa"/>
            <w:gridSpan w:val="2"/>
            <w:noWrap w:val="0"/>
            <w:vAlign w:val="center"/>
          </w:tcPr>
          <w:p w14:paraId="53935CF5">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燃气供应企业不按照燃气设施改动许可的要求实施作业</w:t>
            </w:r>
          </w:p>
        </w:tc>
        <w:tc>
          <w:tcPr>
            <w:tcW w:w="2981" w:type="dxa"/>
            <w:noWrap w:val="0"/>
            <w:vAlign w:val="center"/>
          </w:tcPr>
          <w:p w14:paraId="09E40535">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违反条款：第三十六条第五款；</w:t>
            </w:r>
          </w:p>
          <w:p w14:paraId="13A4A8BB">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处罚条款：第六十二条第一款 责令限期改正，恢复原状或者采取其他补救措施，处五万元以上十万元以下罚款。</w:t>
            </w:r>
          </w:p>
        </w:tc>
        <w:tc>
          <w:tcPr>
            <w:tcW w:w="851" w:type="dxa"/>
            <w:noWrap w:val="0"/>
            <w:vAlign w:val="center"/>
          </w:tcPr>
          <w:p w14:paraId="19BCE476">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14:paraId="47379EB4">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78431EF8">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1.损坏燃气设施或者</w:t>
            </w:r>
            <w:r>
              <w:rPr>
                <w:rFonts w:hint="eastAsia" w:ascii="宋体" w:hAnsi="宋体" w:eastAsia="宋体" w:cs="仿宋_GB2312"/>
                <w:strike w:val="0"/>
                <w:dstrike w:val="0"/>
                <w:color w:val="auto"/>
                <w:kern w:val="0"/>
                <w:sz w:val="15"/>
                <w:szCs w:val="15"/>
                <w:highlight w:val="none"/>
                <w:lang w:eastAsia="zh-CN"/>
              </w:rPr>
              <w:t>存在</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影响用气情形的，系数0.5；2.发生燃气事故</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严重影响用气情形的，系数1</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F7DFCBC">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784FF2B3">
            <w:pPr>
              <w:spacing w:line="232" w:lineRule="exact"/>
              <w:rPr>
                <w:rFonts w:ascii="宋体" w:hAnsi="宋体" w:eastAsia="宋体" w:cs="仿宋_GB2312"/>
                <w:color w:val="auto"/>
                <w:kern w:val="0"/>
                <w:sz w:val="15"/>
                <w:szCs w:val="15"/>
                <w:highlight w:val="none"/>
              </w:rPr>
            </w:pPr>
          </w:p>
        </w:tc>
        <w:tc>
          <w:tcPr>
            <w:tcW w:w="1304" w:type="dxa"/>
            <w:gridSpan w:val="2"/>
            <w:noWrap w:val="0"/>
            <w:vAlign w:val="center"/>
          </w:tcPr>
          <w:p w14:paraId="57493EE7">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05EB8A24">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14:paraId="247EE58C">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C4621400</w:t>
            </w:r>
          </w:p>
        </w:tc>
      </w:tr>
      <w:tr w14:paraId="1ACE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92" w:hRule="atLeast"/>
        </w:trPr>
        <w:tc>
          <w:tcPr>
            <w:tcW w:w="714" w:type="dxa"/>
            <w:noWrap w:val="0"/>
            <w:vAlign w:val="center"/>
          </w:tcPr>
          <w:p w14:paraId="75D4FE0D">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20</w:t>
            </w:r>
          </w:p>
        </w:tc>
        <w:tc>
          <w:tcPr>
            <w:tcW w:w="1626" w:type="dxa"/>
            <w:gridSpan w:val="2"/>
            <w:noWrap w:val="0"/>
            <w:vAlign w:val="center"/>
          </w:tcPr>
          <w:p w14:paraId="27A9FA8A">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个人擅自拆除、改装、安装或者移动户内管道燃气设施</w:t>
            </w:r>
          </w:p>
        </w:tc>
        <w:tc>
          <w:tcPr>
            <w:tcW w:w="2981" w:type="dxa"/>
            <w:noWrap w:val="0"/>
            <w:vAlign w:val="center"/>
          </w:tcPr>
          <w:p w14:paraId="05EB65FA">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14:paraId="0085DFCF">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处罚条款：第六十二条第二款  责令限期改正；逾期不改正的，处一千元以下罚款。</w:t>
            </w:r>
          </w:p>
        </w:tc>
        <w:tc>
          <w:tcPr>
            <w:tcW w:w="851" w:type="dxa"/>
            <w:noWrap w:val="0"/>
            <w:vAlign w:val="center"/>
          </w:tcPr>
          <w:p w14:paraId="5D7F3716">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w:t>
            </w:r>
          </w:p>
        </w:tc>
        <w:tc>
          <w:tcPr>
            <w:tcW w:w="840" w:type="dxa"/>
            <w:noWrap w:val="0"/>
            <w:vAlign w:val="center"/>
          </w:tcPr>
          <w:p w14:paraId="456048BA">
            <w:pPr>
              <w:spacing w:line="232" w:lineRule="exact"/>
              <w:jc w:val="center"/>
              <w:rPr>
                <w:rFonts w:hint="default" w:ascii="宋体" w:hAnsi="宋体" w:eastAsia="宋体" w:cs="仿宋_GB2312"/>
                <w:color w:val="auto"/>
                <w:kern w:val="0"/>
                <w:sz w:val="15"/>
                <w:szCs w:val="15"/>
                <w:highlight w:val="none"/>
                <w:lang w:val="en-US"/>
              </w:rPr>
            </w:pPr>
            <w:r>
              <w:rPr>
                <w:rFonts w:hint="default" w:ascii="宋体" w:hAnsi="宋体" w:eastAsia="宋体" w:cs="仿宋_GB2312"/>
                <w:color w:val="auto"/>
                <w:kern w:val="0"/>
                <w:sz w:val="15"/>
                <w:szCs w:val="15"/>
                <w:highlight w:val="none"/>
                <w:lang w:val="en-US"/>
              </w:rPr>
              <w:t>1</w:t>
            </w:r>
          </w:p>
        </w:tc>
        <w:tc>
          <w:tcPr>
            <w:tcW w:w="2376" w:type="dxa"/>
            <w:noWrap w:val="0"/>
            <w:vAlign w:val="center"/>
          </w:tcPr>
          <w:p w14:paraId="764121AE">
            <w:pPr>
              <w:numPr>
                <w:ilvl w:val="0"/>
                <w:numId w:val="0"/>
              </w:numPr>
              <w:spacing w:line="232" w:lineRule="exact"/>
              <w:rPr>
                <w:rFonts w:hint="eastAsia" w:ascii="宋体" w:hAnsi="宋体" w:eastAsia="宋体" w:cs="仿宋_GB2312"/>
                <w:strike w:val="0"/>
                <w:dstrike w:val="0"/>
                <w:color w:val="auto"/>
                <w:kern w:val="0"/>
                <w:sz w:val="15"/>
                <w:szCs w:val="15"/>
                <w:highlight w:val="none"/>
              </w:rPr>
            </w:pPr>
            <w:r>
              <w:rPr>
                <w:rFonts w:hint="eastAsia" w:ascii="宋体" w:hAnsi="宋体" w:eastAsia="宋体" w:cs="仿宋_GB2312"/>
                <w:strike w:val="0"/>
                <w:dstrike w:val="0"/>
                <w:color w:val="auto"/>
                <w:kern w:val="0"/>
                <w:sz w:val="15"/>
                <w:szCs w:val="15"/>
                <w:highlight w:val="none"/>
                <w:lang w:val="en-US" w:eastAsia="zh-CN"/>
              </w:rPr>
              <w:t>1.</w:t>
            </w:r>
            <w:r>
              <w:rPr>
                <w:rFonts w:hint="eastAsia" w:ascii="宋体" w:hAnsi="宋体" w:eastAsia="宋体" w:cs="仿宋_GB2312"/>
                <w:strike w:val="0"/>
                <w:dstrike w:val="0"/>
                <w:color w:val="auto"/>
                <w:kern w:val="0"/>
                <w:sz w:val="15"/>
                <w:szCs w:val="15"/>
                <w:highlight w:val="none"/>
              </w:rPr>
              <w:t>损坏燃气设施或者</w:t>
            </w:r>
            <w:r>
              <w:rPr>
                <w:rFonts w:hint="eastAsia" w:ascii="宋体" w:hAnsi="宋体" w:eastAsia="宋体" w:cs="仿宋_GB2312"/>
                <w:strike w:val="0"/>
                <w:dstrike w:val="0"/>
                <w:color w:val="auto"/>
                <w:kern w:val="0"/>
                <w:sz w:val="15"/>
                <w:szCs w:val="15"/>
                <w:highlight w:val="none"/>
                <w:lang w:eastAsia="zh-CN"/>
              </w:rPr>
              <w:t>存在其他</w:t>
            </w:r>
            <w:r>
              <w:rPr>
                <w:rFonts w:hint="eastAsia" w:ascii="宋体" w:hAnsi="宋体" w:eastAsia="宋体" w:cs="仿宋_GB2312"/>
                <w:strike w:val="0"/>
                <w:dstrike w:val="0"/>
                <w:color w:val="auto"/>
                <w:kern w:val="0"/>
                <w:sz w:val="15"/>
                <w:szCs w:val="15"/>
                <w:highlight w:val="none"/>
              </w:rPr>
              <w:t>影响用气情形的，系数5-8；2.发生燃气事故</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strike w:val="0"/>
                <w:dstrike w:val="0"/>
                <w:color w:val="auto"/>
                <w:kern w:val="0"/>
                <w:sz w:val="15"/>
                <w:szCs w:val="15"/>
                <w:highlight w:val="none"/>
              </w:rPr>
              <w:t>安全隐患</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rPr>
              <w:t>或者</w:t>
            </w:r>
            <w:r>
              <w:rPr>
                <w:rFonts w:hint="eastAsia" w:ascii="宋体" w:hAnsi="宋体" w:eastAsia="宋体" w:cs="仿宋_GB2312"/>
                <w:strike w:val="0"/>
                <w:dstrike w:val="0"/>
                <w:color w:val="auto"/>
                <w:kern w:val="0"/>
                <w:sz w:val="15"/>
                <w:szCs w:val="15"/>
                <w:highlight w:val="none"/>
                <w:lang w:eastAsia="zh-CN"/>
              </w:rPr>
              <w:t>其他</w:t>
            </w:r>
            <w:r>
              <w:rPr>
                <w:rFonts w:hint="eastAsia" w:ascii="宋体" w:hAnsi="宋体" w:eastAsia="宋体" w:cs="仿宋_GB2312"/>
                <w:strike w:val="0"/>
                <w:dstrike w:val="0"/>
                <w:color w:val="auto"/>
                <w:kern w:val="0"/>
                <w:sz w:val="15"/>
                <w:szCs w:val="15"/>
                <w:highlight w:val="none"/>
              </w:rPr>
              <w:t>严重影响用气情形的，系数9</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p w14:paraId="76D86918">
            <w:pPr>
              <w:numPr>
                <w:ilvl w:val="0"/>
                <w:numId w:val="0"/>
              </w:numPr>
              <w:spacing w:line="232" w:lineRule="exact"/>
              <w:rPr>
                <w:rFonts w:ascii="宋体" w:hAnsi="宋体" w:eastAsia="宋体" w:cs="仿宋_GB2312"/>
                <w:color w:val="auto"/>
                <w:sz w:val="15"/>
                <w:szCs w:val="15"/>
                <w:highlight w:val="none"/>
              </w:rPr>
            </w:pPr>
          </w:p>
        </w:tc>
        <w:tc>
          <w:tcPr>
            <w:tcW w:w="1875" w:type="dxa"/>
            <w:gridSpan w:val="2"/>
            <w:noWrap w:val="0"/>
            <w:vAlign w:val="center"/>
          </w:tcPr>
          <w:p w14:paraId="0718AE6C">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48AF4B3E">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逾期不改正的，才能实施处罚；逾期不改正的情形，不纳入本案由</w:t>
            </w:r>
            <w:r>
              <w:rPr>
                <w:rFonts w:hint="eastAsia" w:ascii="宋体" w:hAnsi="宋体" w:eastAsia="宋体" w:cs="仿宋_GB2312"/>
                <w:color w:val="auto"/>
                <w:kern w:val="0"/>
                <w:sz w:val="15"/>
                <w:szCs w:val="15"/>
                <w:highlight w:val="none"/>
                <w:lang w:eastAsia="zh-CN"/>
              </w:rPr>
              <w:t>情节系数</w:t>
            </w:r>
            <w:r>
              <w:rPr>
                <w:rFonts w:hint="eastAsia" w:ascii="宋体" w:hAnsi="宋体" w:eastAsia="宋体" w:cs="仿宋_GB2312"/>
                <w:color w:val="auto"/>
                <w:kern w:val="0"/>
                <w:sz w:val="15"/>
                <w:szCs w:val="15"/>
                <w:highlight w:val="none"/>
              </w:rPr>
              <w:t>。</w:t>
            </w:r>
          </w:p>
          <w:p w14:paraId="5D5C3BF3">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需要作出100元以下罚款决定的，由执法人员说明理由并自行决定。</w:t>
            </w:r>
          </w:p>
        </w:tc>
        <w:tc>
          <w:tcPr>
            <w:tcW w:w="1304" w:type="dxa"/>
            <w:gridSpan w:val="2"/>
            <w:noWrap w:val="0"/>
            <w:vAlign w:val="center"/>
          </w:tcPr>
          <w:p w14:paraId="1EB72DB1">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7F229441">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14:paraId="3E9578F8">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C4620800</w:t>
            </w:r>
          </w:p>
        </w:tc>
      </w:tr>
      <w:tr w14:paraId="23A33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80" w:hRule="atLeast"/>
        </w:trPr>
        <w:tc>
          <w:tcPr>
            <w:tcW w:w="714" w:type="dxa"/>
            <w:noWrap w:val="0"/>
            <w:vAlign w:val="center"/>
          </w:tcPr>
          <w:p w14:paraId="44520433">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21</w:t>
            </w:r>
          </w:p>
        </w:tc>
        <w:tc>
          <w:tcPr>
            <w:tcW w:w="1626" w:type="dxa"/>
            <w:gridSpan w:val="2"/>
            <w:noWrap w:val="0"/>
            <w:vAlign w:val="center"/>
          </w:tcPr>
          <w:p w14:paraId="4D91C207">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个人侵占、毁损，擅自拆除、改装、安装或者移动户外燃气设施</w:t>
            </w:r>
          </w:p>
        </w:tc>
        <w:tc>
          <w:tcPr>
            <w:tcW w:w="2981" w:type="dxa"/>
            <w:noWrap w:val="0"/>
            <w:vAlign w:val="center"/>
          </w:tcPr>
          <w:p w14:paraId="6989324D">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14:paraId="4EF0A114">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处罚条款：第六十二条第二款 处五千元以上五万元以下罚款。</w:t>
            </w:r>
          </w:p>
        </w:tc>
        <w:tc>
          <w:tcPr>
            <w:tcW w:w="851" w:type="dxa"/>
            <w:noWrap w:val="0"/>
            <w:vAlign w:val="center"/>
          </w:tcPr>
          <w:p w14:paraId="5189D9BE">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w:t>
            </w:r>
          </w:p>
        </w:tc>
        <w:tc>
          <w:tcPr>
            <w:tcW w:w="840" w:type="dxa"/>
            <w:noWrap w:val="0"/>
            <w:vAlign w:val="center"/>
          </w:tcPr>
          <w:p w14:paraId="4A548945">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091D0841">
            <w:pPr>
              <w:spacing w:line="232" w:lineRule="exact"/>
              <w:rPr>
                <w:rFonts w:hint="default" w:ascii="宋体" w:hAnsi="宋体" w:eastAsia="宋体" w:cs="仿宋_GB2312"/>
                <w:color w:val="auto"/>
                <w:sz w:val="15"/>
                <w:szCs w:val="15"/>
                <w:highlight w:val="none"/>
                <w:lang w:val="en-US"/>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500户（含500户）或者非居民用户达到5户（含5户）或者燃气管道为高压管线或者停气时间超过10小时的，系数9；2</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AB46F40">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291C79FF">
            <w:pPr>
              <w:spacing w:line="232" w:lineRule="exact"/>
              <w:rPr>
                <w:rFonts w:ascii="宋体" w:hAnsi="宋体" w:eastAsia="宋体" w:cs="仿宋_GB2312"/>
                <w:color w:val="auto"/>
                <w:kern w:val="0"/>
                <w:sz w:val="15"/>
                <w:szCs w:val="15"/>
                <w:highlight w:val="none"/>
              </w:rPr>
            </w:pPr>
          </w:p>
        </w:tc>
        <w:tc>
          <w:tcPr>
            <w:tcW w:w="1304" w:type="dxa"/>
            <w:gridSpan w:val="2"/>
            <w:noWrap w:val="0"/>
            <w:vAlign w:val="center"/>
          </w:tcPr>
          <w:p w14:paraId="01BF5DC6">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7C4DE282">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14:paraId="0B8363B9">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C4620800</w:t>
            </w:r>
          </w:p>
        </w:tc>
      </w:tr>
      <w:tr w14:paraId="1635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79" w:hRule="atLeast"/>
        </w:trPr>
        <w:tc>
          <w:tcPr>
            <w:tcW w:w="714" w:type="dxa"/>
            <w:noWrap w:val="0"/>
            <w:vAlign w:val="center"/>
          </w:tcPr>
          <w:p w14:paraId="2E253031">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22</w:t>
            </w:r>
          </w:p>
        </w:tc>
        <w:tc>
          <w:tcPr>
            <w:tcW w:w="1626" w:type="dxa"/>
            <w:gridSpan w:val="2"/>
            <w:noWrap w:val="0"/>
            <w:vAlign w:val="center"/>
          </w:tcPr>
          <w:p w14:paraId="33F172F6">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建设单位未在地下管线安全防护信息系统发布施工作业信息</w:t>
            </w:r>
          </w:p>
        </w:tc>
        <w:tc>
          <w:tcPr>
            <w:tcW w:w="2981" w:type="dxa"/>
            <w:noWrap w:val="0"/>
            <w:vAlign w:val="center"/>
          </w:tcPr>
          <w:p w14:paraId="4287F939">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违反条款：第三十七条第一款；</w:t>
            </w:r>
          </w:p>
          <w:p w14:paraId="141B0408">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处罚条款：第六十三条第一款 责令限期改正，处五万元以上十万元以下罚款。</w:t>
            </w:r>
          </w:p>
        </w:tc>
        <w:tc>
          <w:tcPr>
            <w:tcW w:w="851" w:type="dxa"/>
            <w:noWrap w:val="0"/>
            <w:vAlign w:val="center"/>
          </w:tcPr>
          <w:p w14:paraId="1FF4A0D7">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14:paraId="453DED6E">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51F7F0D1">
            <w:pPr>
              <w:numPr>
                <w:ilvl w:val="0"/>
                <w:numId w:val="0"/>
              </w:numPr>
              <w:spacing w:line="232" w:lineRule="exact"/>
              <w:rPr>
                <w:rFonts w:hint="eastAsia" w:ascii="宋体" w:hAnsi="宋体" w:eastAsia="宋体" w:cs="仿宋_GB2312"/>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EDE794C">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1273228D">
            <w:pPr>
              <w:spacing w:line="232" w:lineRule="exact"/>
              <w:rPr>
                <w:rFonts w:ascii="宋体" w:hAnsi="宋体" w:eastAsia="宋体" w:cs="仿宋_GB2312"/>
                <w:color w:val="auto"/>
                <w:kern w:val="0"/>
                <w:sz w:val="15"/>
                <w:szCs w:val="15"/>
                <w:highlight w:val="none"/>
              </w:rPr>
            </w:pPr>
          </w:p>
        </w:tc>
        <w:tc>
          <w:tcPr>
            <w:tcW w:w="1304" w:type="dxa"/>
            <w:gridSpan w:val="2"/>
            <w:noWrap w:val="0"/>
            <w:vAlign w:val="center"/>
          </w:tcPr>
          <w:p w14:paraId="4B1D3353">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1950C75F">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14:paraId="339ADEB6">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C4650300</w:t>
            </w:r>
          </w:p>
        </w:tc>
      </w:tr>
      <w:tr w14:paraId="7171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98" w:hRule="atLeast"/>
        </w:trPr>
        <w:tc>
          <w:tcPr>
            <w:tcW w:w="714" w:type="dxa"/>
            <w:noWrap w:val="0"/>
            <w:vAlign w:val="center"/>
          </w:tcPr>
          <w:p w14:paraId="03BB9BF7">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23</w:t>
            </w:r>
          </w:p>
        </w:tc>
        <w:tc>
          <w:tcPr>
            <w:tcW w:w="1626" w:type="dxa"/>
            <w:gridSpan w:val="2"/>
            <w:noWrap w:val="0"/>
            <w:vAlign w:val="center"/>
          </w:tcPr>
          <w:p w14:paraId="75BDF8B0">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燃气供应企业未就地下管道燃气设施情况及时告知建设单位</w:t>
            </w:r>
          </w:p>
        </w:tc>
        <w:tc>
          <w:tcPr>
            <w:tcW w:w="2981" w:type="dxa"/>
            <w:noWrap w:val="0"/>
            <w:vAlign w:val="center"/>
          </w:tcPr>
          <w:p w14:paraId="68524E94">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违反条款：第三十七条第一款；</w:t>
            </w:r>
          </w:p>
          <w:p w14:paraId="2AE89A53">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处罚条款：第六十三条第一款 责令限期改正，处五万元以上十万元以下罚款。</w:t>
            </w:r>
          </w:p>
        </w:tc>
        <w:tc>
          <w:tcPr>
            <w:tcW w:w="851" w:type="dxa"/>
            <w:noWrap w:val="0"/>
            <w:vAlign w:val="center"/>
          </w:tcPr>
          <w:p w14:paraId="78E3229C">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14:paraId="6313EA00">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2EAE590D">
            <w:pPr>
              <w:spacing w:line="232" w:lineRule="exact"/>
              <w:rPr>
                <w:rFonts w:ascii="宋体" w:hAnsi="宋体" w:eastAsia="宋体" w:cs="仿宋_GB2312"/>
                <w:color w:val="auto"/>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造成燃气设施毁损的，系数</w:t>
            </w:r>
            <w:r>
              <w:rPr>
                <w:rFonts w:hint="eastAsia" w:ascii="宋体" w:hAnsi="宋体" w:eastAsia="宋体" w:cs="宋体"/>
                <w:color w:val="auto"/>
                <w:kern w:val="0"/>
                <w:sz w:val="15"/>
                <w:szCs w:val="15"/>
                <w:highlight w:val="none"/>
                <w:lang w:val="en-US" w:eastAsia="zh-CN"/>
              </w:rPr>
              <w:t>0.5-1；2</w:t>
            </w:r>
            <w:r>
              <w:rPr>
                <w:rFonts w:hint="default" w:ascii="宋体" w:hAnsi="宋体" w:eastAsia="宋体" w:cs="宋体"/>
                <w:color w:val="auto"/>
                <w:kern w:val="0"/>
                <w:sz w:val="15"/>
                <w:szCs w:val="15"/>
                <w:highlight w:val="none"/>
                <w:lang w:val="en" w:eastAsia="zh-CN"/>
              </w:rPr>
              <w:t>.</w:t>
            </w:r>
            <w:r>
              <w:rPr>
                <w:rFonts w:hint="eastAsia" w:ascii="宋体" w:hAnsi="宋体" w:eastAsia="宋体" w:cs="仿宋_GB2312"/>
                <w:color w:val="auto"/>
                <w:kern w:val="0"/>
                <w:sz w:val="15"/>
                <w:szCs w:val="15"/>
                <w:highlight w:val="none"/>
              </w:rPr>
              <w:t>发生燃气事故或者</w:t>
            </w:r>
            <w:r>
              <w:rPr>
                <w:rFonts w:hint="eastAsia" w:ascii="宋体" w:hAnsi="宋体" w:eastAsia="宋体" w:cs="仿宋_GB2312"/>
                <w:color w:val="auto"/>
                <w:kern w:val="0"/>
                <w:sz w:val="15"/>
                <w:szCs w:val="15"/>
                <w:highlight w:val="none"/>
                <w:lang w:eastAsia="zh-CN"/>
              </w:rPr>
              <w:t>存在其他</w:t>
            </w:r>
            <w:r>
              <w:rPr>
                <w:rFonts w:hint="eastAsia" w:ascii="宋体" w:hAnsi="宋体" w:eastAsia="宋体" w:cs="仿宋_GB2312"/>
                <w:color w:val="auto"/>
                <w:kern w:val="0"/>
                <w:sz w:val="15"/>
                <w:szCs w:val="15"/>
                <w:highlight w:val="none"/>
              </w:rPr>
              <w:t>严重影响用气情形的，系数1</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86D577A">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0EF2EF01">
            <w:pPr>
              <w:spacing w:line="232" w:lineRule="exact"/>
              <w:rPr>
                <w:rFonts w:ascii="宋体" w:hAnsi="宋体" w:eastAsia="宋体" w:cs="仿宋_GB2312"/>
                <w:color w:val="auto"/>
                <w:kern w:val="0"/>
                <w:sz w:val="15"/>
                <w:szCs w:val="15"/>
                <w:highlight w:val="none"/>
              </w:rPr>
            </w:pPr>
          </w:p>
        </w:tc>
        <w:tc>
          <w:tcPr>
            <w:tcW w:w="1304" w:type="dxa"/>
            <w:gridSpan w:val="2"/>
            <w:noWrap w:val="0"/>
            <w:vAlign w:val="center"/>
          </w:tcPr>
          <w:p w14:paraId="6A6A2E2D">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55E3BB8E">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14:paraId="4CF627AA">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C4650100</w:t>
            </w:r>
          </w:p>
        </w:tc>
      </w:tr>
      <w:tr w14:paraId="014F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182" w:hRule="atLeast"/>
        </w:trPr>
        <w:tc>
          <w:tcPr>
            <w:tcW w:w="714" w:type="dxa"/>
            <w:noWrap w:val="0"/>
            <w:vAlign w:val="center"/>
          </w:tcPr>
          <w:p w14:paraId="6C1B2D4B">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24</w:t>
            </w:r>
          </w:p>
        </w:tc>
        <w:tc>
          <w:tcPr>
            <w:tcW w:w="1626" w:type="dxa"/>
            <w:gridSpan w:val="2"/>
            <w:noWrap w:val="0"/>
            <w:vAlign w:val="center"/>
          </w:tcPr>
          <w:p w14:paraId="65078E60">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建设单位未采取措施确保地下管道燃气设施运行安全</w:t>
            </w:r>
          </w:p>
        </w:tc>
        <w:tc>
          <w:tcPr>
            <w:tcW w:w="2981" w:type="dxa"/>
            <w:noWrap w:val="0"/>
            <w:vAlign w:val="center"/>
          </w:tcPr>
          <w:p w14:paraId="6DBD42BF">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违反条款：第三十七条第二款；</w:t>
            </w:r>
          </w:p>
          <w:p w14:paraId="4DF5E982">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处罚条款：第六十三条第二款 责令限期改正，对建设单位处一万元以上十万元以下罚款。</w:t>
            </w:r>
          </w:p>
        </w:tc>
        <w:tc>
          <w:tcPr>
            <w:tcW w:w="851" w:type="dxa"/>
            <w:noWrap w:val="0"/>
            <w:vAlign w:val="center"/>
          </w:tcPr>
          <w:p w14:paraId="0C3F5FC5">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10000</w:t>
            </w:r>
          </w:p>
        </w:tc>
        <w:tc>
          <w:tcPr>
            <w:tcW w:w="840" w:type="dxa"/>
            <w:noWrap w:val="0"/>
            <w:vAlign w:val="center"/>
          </w:tcPr>
          <w:p w14:paraId="635FE172">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065D3485">
            <w:pPr>
              <w:spacing w:line="232" w:lineRule="exact"/>
              <w:rPr>
                <w:rFonts w:ascii="宋体" w:hAnsi="宋体" w:eastAsia="宋体" w:cs="仿宋_GB2312"/>
                <w:b w:val="0"/>
                <w:bCs w:val="0"/>
                <w:color w:val="auto"/>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500户（含500户）或者非居民用户达到5户（含5户）或者燃气管道为高压管线或者停气时间超过10小时的，系数5。</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同时存在两项（含两项）以上违法行为的，系数5-</w:t>
            </w:r>
            <w:r>
              <w:rPr>
                <w:rFonts w:hint="default" w:ascii="宋体" w:hAnsi="宋体" w:eastAsia="宋体" w:cs="仿宋_GB2312"/>
                <w:b w:val="0"/>
                <w:bCs w:val="0"/>
                <w:color w:val="auto"/>
                <w:kern w:val="0"/>
                <w:sz w:val="15"/>
                <w:szCs w:val="15"/>
                <w:highlight w:val="none"/>
                <w:lang w:val="en-US"/>
              </w:rPr>
              <w:t>6</w:t>
            </w:r>
            <w:r>
              <w:rPr>
                <w:rFonts w:hint="eastAsia" w:ascii="宋体" w:hAnsi="宋体" w:eastAsia="宋体" w:cs="仿宋_GB2312"/>
                <w:b w:val="0"/>
                <w:bCs w:val="0"/>
                <w:color w:val="auto"/>
                <w:kern w:val="0"/>
                <w:sz w:val="15"/>
                <w:szCs w:val="15"/>
                <w:highlight w:val="none"/>
              </w:rPr>
              <w:t>；</w:t>
            </w:r>
            <w:r>
              <w:rPr>
                <w:rFonts w:hint="default"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严重影响用气情形的，系数9</w:t>
            </w:r>
            <w:r>
              <w:rPr>
                <w:rFonts w:hint="eastAsia" w:ascii="宋体" w:hAnsi="宋体" w:eastAsia="宋体" w:cs="仿宋_GB2312"/>
                <w:b w:val="0"/>
                <w:bCs w:val="0"/>
                <w:color w:val="auto"/>
                <w:kern w:val="0"/>
                <w:sz w:val="15"/>
                <w:szCs w:val="15"/>
                <w:highlight w:val="none"/>
                <w:lang w:eastAsia="zh-CN"/>
              </w:rPr>
              <w:t>；</w:t>
            </w:r>
            <w:r>
              <w:rPr>
                <w:rFonts w:hint="default" w:ascii="宋体" w:hAnsi="宋体" w:cs="宋体"/>
                <w:b w:val="0"/>
                <w:bCs w:val="0"/>
                <w:color w:val="auto"/>
                <w:kern w:val="0"/>
                <w:sz w:val="15"/>
                <w:szCs w:val="15"/>
                <w:highlight w:val="none"/>
                <w:lang w:val="en-US" w:eastAsia="zh-CN"/>
              </w:rPr>
              <w:t>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D6E7E55">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4D8A8A27">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c>
          <w:tcPr>
            <w:tcW w:w="1304" w:type="dxa"/>
            <w:gridSpan w:val="2"/>
            <w:noWrap w:val="0"/>
            <w:vAlign w:val="center"/>
          </w:tcPr>
          <w:p w14:paraId="55D75D73">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7E0DC251">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14:paraId="7E6AE27C">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C4650400</w:t>
            </w:r>
          </w:p>
        </w:tc>
      </w:tr>
      <w:tr w14:paraId="522C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27" w:hRule="atLeast"/>
        </w:trPr>
        <w:tc>
          <w:tcPr>
            <w:tcW w:w="714" w:type="dxa"/>
            <w:noWrap w:val="0"/>
            <w:vAlign w:val="center"/>
          </w:tcPr>
          <w:p w14:paraId="112132E2">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25</w:t>
            </w:r>
          </w:p>
        </w:tc>
        <w:tc>
          <w:tcPr>
            <w:tcW w:w="1626" w:type="dxa"/>
            <w:gridSpan w:val="2"/>
            <w:noWrap w:val="0"/>
            <w:vAlign w:val="center"/>
          </w:tcPr>
          <w:p w14:paraId="75F4D8A8">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施工单位未按照安全保护方案进行施工</w:t>
            </w:r>
          </w:p>
        </w:tc>
        <w:tc>
          <w:tcPr>
            <w:tcW w:w="2981" w:type="dxa"/>
            <w:noWrap w:val="0"/>
            <w:vAlign w:val="center"/>
          </w:tcPr>
          <w:p w14:paraId="4F51DAB7">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违反条款：第三十八条第一款；</w:t>
            </w:r>
          </w:p>
          <w:p w14:paraId="61BDCD8D">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处罚条款：第六十四条 责令限期改正，处一万元以上十万元以下罚款。</w:t>
            </w:r>
          </w:p>
        </w:tc>
        <w:tc>
          <w:tcPr>
            <w:tcW w:w="851" w:type="dxa"/>
            <w:noWrap w:val="0"/>
            <w:vAlign w:val="center"/>
          </w:tcPr>
          <w:p w14:paraId="13BE03C7">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10000</w:t>
            </w:r>
          </w:p>
        </w:tc>
        <w:tc>
          <w:tcPr>
            <w:tcW w:w="840" w:type="dxa"/>
            <w:noWrap w:val="0"/>
            <w:vAlign w:val="center"/>
          </w:tcPr>
          <w:p w14:paraId="537B7BF7">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1B25A576">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rPr>
              <w:t>1</w:t>
            </w:r>
            <w:r>
              <w:rPr>
                <w:rFonts w:hint="eastAsia" w:ascii="宋体" w:hAnsi="宋体" w:eastAsia="宋体" w:cs="仿宋_GB2312"/>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500户（含500户）或者非居民用户达到5户（含5户）或者燃气管道为高压管线或者停气时间超过10小时的，系数5。</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发生在人口集中地区</w:t>
            </w:r>
            <w:r>
              <w:rPr>
                <w:rFonts w:hint="eastAsia" w:ascii="宋体" w:hAnsi="宋体" w:eastAsia="宋体" w:cs="宋体"/>
                <w:b w:val="0"/>
                <w:bCs w:val="0"/>
                <w:color w:val="auto"/>
                <w:kern w:val="0"/>
                <w:sz w:val="15"/>
                <w:szCs w:val="15"/>
                <w:highlight w:val="none"/>
              </w:rPr>
              <w:t>或人员密集场所</w:t>
            </w:r>
            <w:r>
              <w:rPr>
                <w:rFonts w:hint="eastAsia" w:ascii="宋体" w:hAnsi="宋体" w:eastAsia="宋体" w:cs="仿宋_GB2312"/>
                <w:b w:val="0"/>
                <w:bCs w:val="0"/>
                <w:color w:val="auto"/>
                <w:kern w:val="0"/>
                <w:sz w:val="15"/>
                <w:szCs w:val="15"/>
                <w:highlight w:val="none"/>
              </w:rPr>
              <w:t>的，系数2</w:t>
            </w:r>
            <w:r>
              <w:rPr>
                <w:rFonts w:hint="eastAsia" w:ascii="宋体" w:hAnsi="宋体" w:eastAsia="宋体" w:cs="仿宋_GB2312"/>
                <w:b w:val="0"/>
                <w:bCs w:val="0"/>
                <w:color w:val="auto"/>
                <w:kern w:val="0"/>
                <w:sz w:val="15"/>
                <w:szCs w:val="15"/>
                <w:highlight w:val="none"/>
                <w:lang w:eastAsia="zh-CN"/>
              </w:rPr>
              <w:t>。</w:t>
            </w:r>
            <w:r>
              <w:rPr>
                <w:rFonts w:hint="default"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.发生燃气安全事故</w:t>
            </w:r>
            <w:r>
              <w:rPr>
                <w:rFonts w:hint="eastAsia" w:ascii="宋体" w:hAnsi="宋体" w:eastAsia="宋体" w:cs="仿宋_GB2312"/>
                <w:b w:val="0"/>
                <w:bCs w:val="0"/>
                <w:color w:val="auto"/>
                <w:kern w:val="0"/>
                <w:sz w:val="15"/>
                <w:szCs w:val="15"/>
                <w:highlight w:val="none"/>
                <w:lang w:eastAsia="zh-CN"/>
              </w:rPr>
              <w:t>或者</w:t>
            </w:r>
            <w:r>
              <w:rPr>
                <w:rFonts w:hint="eastAsia" w:ascii="宋体" w:hAnsi="宋体" w:eastAsia="宋体" w:cs="仿宋_GB2312"/>
                <w:b w:val="0"/>
                <w:bCs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安全隐患或者的，系数9</w:t>
            </w:r>
            <w:r>
              <w:rPr>
                <w:rFonts w:hint="eastAsia" w:ascii="宋体" w:hAnsi="宋体" w:eastAsia="宋体" w:cs="仿宋_GB2312"/>
                <w:b w:val="0"/>
                <w:bCs w:val="0"/>
                <w:color w:val="auto"/>
                <w:kern w:val="0"/>
                <w:sz w:val="15"/>
                <w:szCs w:val="15"/>
                <w:highlight w:val="none"/>
                <w:lang w:eastAsia="zh-CN"/>
              </w:rPr>
              <w:t>。</w:t>
            </w:r>
            <w:r>
              <w:rPr>
                <w:rFonts w:hint="default" w:ascii="宋体" w:hAnsi="宋体" w:cs="宋体"/>
                <w:b w:val="0"/>
                <w:bCs w:val="0"/>
                <w:color w:val="auto"/>
                <w:kern w:val="0"/>
                <w:sz w:val="15"/>
                <w:szCs w:val="15"/>
                <w:highlight w:val="none"/>
                <w:lang w:val="en-US" w:eastAsia="zh-CN"/>
              </w:rPr>
              <w:t>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6192A83">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1D736792">
            <w:pPr>
              <w:spacing w:line="232" w:lineRule="exact"/>
              <w:rPr>
                <w:rFonts w:hint="eastAsia" w:ascii="宋体" w:hAnsi="宋体" w:eastAsia="宋体" w:cs="仿宋_GB2312"/>
                <w:strike/>
                <w:dstrike w:val="0"/>
                <w:color w:val="auto"/>
                <w:kern w:val="0"/>
                <w:sz w:val="15"/>
                <w:szCs w:val="15"/>
                <w:highlight w:val="none"/>
              </w:rPr>
            </w:pPr>
          </w:p>
        </w:tc>
        <w:tc>
          <w:tcPr>
            <w:tcW w:w="1304" w:type="dxa"/>
            <w:gridSpan w:val="2"/>
            <w:noWrap w:val="0"/>
            <w:vAlign w:val="center"/>
          </w:tcPr>
          <w:p w14:paraId="6F630F13">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4BA33E25">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14:paraId="429DC8A3">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C4620300</w:t>
            </w:r>
          </w:p>
        </w:tc>
      </w:tr>
      <w:tr w14:paraId="1FBA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21" w:hRule="atLeast"/>
        </w:trPr>
        <w:tc>
          <w:tcPr>
            <w:tcW w:w="714" w:type="dxa"/>
            <w:vMerge w:val="restart"/>
            <w:noWrap w:val="0"/>
            <w:vAlign w:val="center"/>
          </w:tcPr>
          <w:p w14:paraId="662A6726">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26</w:t>
            </w:r>
          </w:p>
        </w:tc>
        <w:tc>
          <w:tcPr>
            <w:tcW w:w="1626" w:type="dxa"/>
            <w:gridSpan w:val="2"/>
            <w:vMerge w:val="restart"/>
            <w:noWrap w:val="0"/>
            <w:vAlign w:val="center"/>
          </w:tcPr>
          <w:p w14:paraId="22D50A28">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在管道燃气设施保护范围内从事危及管道燃气设施安全的活动</w:t>
            </w:r>
          </w:p>
        </w:tc>
        <w:tc>
          <w:tcPr>
            <w:tcW w:w="2981" w:type="dxa"/>
            <w:vMerge w:val="restart"/>
            <w:noWrap w:val="0"/>
            <w:vAlign w:val="center"/>
          </w:tcPr>
          <w:p w14:paraId="1BE49C4E">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违反条款：第四十一条第二款第(二)（三）(四)项（根据实际违法情形选择）；</w:t>
            </w:r>
          </w:p>
          <w:p w14:paraId="64692B1A">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noWrap w:val="0"/>
            <w:vAlign w:val="center"/>
          </w:tcPr>
          <w:p w14:paraId="011BB460">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p w14:paraId="7B23EC3C">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（单位）</w:t>
            </w:r>
          </w:p>
        </w:tc>
        <w:tc>
          <w:tcPr>
            <w:tcW w:w="840" w:type="dxa"/>
            <w:noWrap w:val="0"/>
            <w:vAlign w:val="center"/>
          </w:tcPr>
          <w:p w14:paraId="0C0C17C2">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54B39895">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rPr>
              <w:t>1.</w:t>
            </w:r>
            <w:r>
              <w:rPr>
                <w:rFonts w:hint="eastAsia" w:ascii="宋体" w:hAnsi="宋体" w:cs="仿宋_GB2312"/>
                <w:b w:val="0"/>
                <w:bCs w:val="0"/>
                <w:color w:val="auto"/>
                <w:kern w:val="0"/>
                <w:sz w:val="15"/>
                <w:szCs w:val="15"/>
                <w:highlight w:val="none"/>
                <w:lang w:eastAsia="zh-CN"/>
              </w:rPr>
              <w:t>涉及高压燃气设施的，系数</w:t>
            </w:r>
            <w:r>
              <w:rPr>
                <w:rFonts w:hint="eastAsia" w:ascii="宋体" w:hAnsi="宋体" w:cs="仿宋_GB2312"/>
                <w:b w:val="0"/>
                <w:bCs w:val="0"/>
                <w:color w:val="auto"/>
                <w:kern w:val="0"/>
                <w:sz w:val="15"/>
                <w:szCs w:val="15"/>
                <w:highlight w:val="none"/>
                <w:lang w:val="en-US" w:eastAsia="zh-CN"/>
              </w:rPr>
              <w:t>0.5；</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损坏燃气设施</w:t>
            </w:r>
            <w:r>
              <w:rPr>
                <w:rFonts w:hint="eastAsia" w:ascii="宋体" w:hAnsi="宋体" w:eastAsia="宋体" w:cs="仿宋_GB2312"/>
                <w:b w:val="0"/>
                <w:bCs w:val="0"/>
                <w:color w:val="auto"/>
                <w:kern w:val="0"/>
                <w:sz w:val="15"/>
                <w:szCs w:val="15"/>
                <w:highlight w:val="none"/>
                <w:lang w:eastAsia="zh-CN"/>
              </w:rPr>
              <w:t>或者存在其他</w:t>
            </w:r>
            <w:r>
              <w:rPr>
                <w:rFonts w:hint="eastAsia" w:ascii="宋体" w:hAnsi="宋体" w:eastAsia="宋体" w:cs="仿宋_GB2312"/>
                <w:b w:val="0"/>
                <w:bCs w:val="0"/>
                <w:color w:val="auto"/>
                <w:kern w:val="0"/>
                <w:sz w:val="15"/>
                <w:szCs w:val="15"/>
                <w:highlight w:val="none"/>
              </w:rPr>
              <w:t>影响用气情形的，系数0.5；</w:t>
            </w:r>
            <w:r>
              <w:rPr>
                <w:rFonts w:hint="eastAsia" w:ascii="宋体" w:hAnsi="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严重影响用气情形的，系数1</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2238D64">
            <w:pPr>
              <w:spacing w:line="232" w:lineRule="exact"/>
              <w:rPr>
                <w:rFonts w:hint="eastAsia" w:ascii="宋体" w:hAnsi="宋体" w:eastAsia="宋体" w:cs="仿宋_GB2312"/>
                <w:color w:val="auto"/>
                <w:kern w:val="0"/>
                <w:sz w:val="15"/>
                <w:szCs w:val="15"/>
                <w:highlight w:val="none"/>
                <w:lang w:val="en"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vMerge w:val="restart"/>
            <w:noWrap w:val="0"/>
            <w:vAlign w:val="center"/>
          </w:tcPr>
          <w:p w14:paraId="493DDEE9">
            <w:pPr>
              <w:spacing w:line="232" w:lineRule="exact"/>
              <w:rPr>
                <w:rFonts w:hint="eastAsia" w:ascii="宋体" w:hAnsi="宋体" w:eastAsia="宋体" w:cs="仿宋_GB2312"/>
                <w:strike/>
                <w:dstrike w:val="0"/>
                <w:color w:val="auto"/>
                <w:kern w:val="0"/>
                <w:sz w:val="15"/>
                <w:szCs w:val="15"/>
                <w:highlight w:val="none"/>
              </w:rPr>
            </w:pPr>
            <w:r>
              <w:rPr>
                <w:rFonts w:hint="eastAsia" w:ascii="宋体" w:hAnsi="宋体" w:eastAsia="宋体" w:cs="仿宋_GB2312"/>
                <w:strike/>
                <w:dstrike w:val="0"/>
                <w:color w:val="auto"/>
                <w:kern w:val="0"/>
                <w:sz w:val="15"/>
                <w:szCs w:val="15"/>
                <w:highlight w:val="none"/>
              </w:rPr>
              <w:br w:type="textWrapping"/>
            </w:r>
          </w:p>
        </w:tc>
        <w:tc>
          <w:tcPr>
            <w:tcW w:w="1304" w:type="dxa"/>
            <w:gridSpan w:val="2"/>
            <w:vMerge w:val="restart"/>
            <w:noWrap w:val="0"/>
            <w:vAlign w:val="center"/>
          </w:tcPr>
          <w:p w14:paraId="09A9A746">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0333C3CC">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vMerge w:val="restart"/>
            <w:noWrap w:val="0"/>
            <w:vAlign w:val="center"/>
          </w:tcPr>
          <w:p w14:paraId="7C39F156">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C4621900</w:t>
            </w:r>
          </w:p>
        </w:tc>
      </w:tr>
      <w:tr w14:paraId="503F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40" w:hRule="atLeast"/>
        </w:trPr>
        <w:tc>
          <w:tcPr>
            <w:tcW w:w="714" w:type="dxa"/>
            <w:vMerge w:val="continue"/>
            <w:noWrap w:val="0"/>
            <w:vAlign w:val="center"/>
          </w:tcPr>
          <w:p w14:paraId="1E17D29E">
            <w:pPr>
              <w:spacing w:line="232" w:lineRule="exact"/>
              <w:jc w:val="center"/>
              <w:textAlignment w:val="center"/>
              <w:rPr>
                <w:rFonts w:ascii="宋体" w:hAnsi="宋体" w:eastAsia="宋体" w:cs="仿宋_GB2312"/>
                <w:color w:val="auto"/>
                <w:kern w:val="0"/>
                <w:sz w:val="15"/>
                <w:szCs w:val="15"/>
                <w:highlight w:val="none"/>
                <w:lang w:bidi="ar"/>
              </w:rPr>
            </w:pPr>
          </w:p>
        </w:tc>
        <w:tc>
          <w:tcPr>
            <w:tcW w:w="1626" w:type="dxa"/>
            <w:gridSpan w:val="2"/>
            <w:vMerge w:val="continue"/>
            <w:noWrap w:val="0"/>
            <w:vAlign w:val="center"/>
          </w:tcPr>
          <w:p w14:paraId="7A4A7E93">
            <w:pPr>
              <w:spacing w:line="232" w:lineRule="exact"/>
              <w:rPr>
                <w:rFonts w:ascii="宋体" w:hAnsi="宋体" w:eastAsia="宋体" w:cs="仿宋_GB2312"/>
                <w:color w:val="auto"/>
                <w:sz w:val="15"/>
                <w:szCs w:val="15"/>
                <w:highlight w:val="none"/>
              </w:rPr>
            </w:pPr>
          </w:p>
        </w:tc>
        <w:tc>
          <w:tcPr>
            <w:tcW w:w="2981" w:type="dxa"/>
            <w:vMerge w:val="continue"/>
            <w:noWrap w:val="0"/>
            <w:vAlign w:val="center"/>
          </w:tcPr>
          <w:p w14:paraId="34EB93D3">
            <w:pPr>
              <w:spacing w:line="232" w:lineRule="exact"/>
              <w:rPr>
                <w:rFonts w:ascii="宋体" w:hAnsi="宋体" w:eastAsia="宋体" w:cs="仿宋_GB2312"/>
                <w:color w:val="auto"/>
                <w:sz w:val="15"/>
                <w:szCs w:val="15"/>
                <w:highlight w:val="none"/>
              </w:rPr>
            </w:pPr>
          </w:p>
        </w:tc>
        <w:tc>
          <w:tcPr>
            <w:tcW w:w="851" w:type="dxa"/>
            <w:noWrap w:val="0"/>
            <w:vAlign w:val="center"/>
          </w:tcPr>
          <w:p w14:paraId="0FEE5DF4">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w:t>
            </w:r>
          </w:p>
          <w:p w14:paraId="5AD08A9D">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（个人）</w:t>
            </w:r>
          </w:p>
        </w:tc>
        <w:tc>
          <w:tcPr>
            <w:tcW w:w="840" w:type="dxa"/>
            <w:noWrap w:val="0"/>
            <w:vAlign w:val="center"/>
          </w:tcPr>
          <w:p w14:paraId="7FEBFB90">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2B42670F">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lang w:val="en-US" w:eastAsia="zh-CN"/>
              </w:rPr>
              <w:t>1.</w:t>
            </w:r>
            <w:r>
              <w:rPr>
                <w:rFonts w:hint="eastAsia" w:ascii="宋体" w:hAnsi="宋体" w:cs="仿宋_GB2312"/>
                <w:b w:val="0"/>
                <w:bCs w:val="0"/>
                <w:color w:val="auto"/>
                <w:kern w:val="0"/>
                <w:sz w:val="15"/>
                <w:szCs w:val="15"/>
                <w:highlight w:val="none"/>
                <w:lang w:eastAsia="zh-CN"/>
              </w:rPr>
              <w:t>涉及高压燃气设施的，系数</w:t>
            </w:r>
            <w:r>
              <w:rPr>
                <w:rFonts w:hint="eastAsia" w:ascii="宋体" w:hAnsi="宋体" w:cs="仿宋_GB2312"/>
                <w:b w:val="0"/>
                <w:bCs w:val="0"/>
                <w:color w:val="auto"/>
                <w:kern w:val="0"/>
                <w:sz w:val="15"/>
                <w:szCs w:val="15"/>
                <w:highlight w:val="none"/>
                <w:lang w:val="en-US" w:eastAsia="zh-CN"/>
              </w:rPr>
              <w:t>4</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.损坏燃气设施或者</w:t>
            </w:r>
            <w:r>
              <w:rPr>
                <w:rFonts w:hint="eastAsia" w:ascii="宋体" w:hAnsi="宋体" w:eastAsia="宋体" w:cs="仿宋_GB2312"/>
                <w:b w:val="0"/>
                <w:bCs w:val="0"/>
                <w:color w:val="auto"/>
                <w:kern w:val="0"/>
                <w:sz w:val="15"/>
                <w:szCs w:val="15"/>
                <w:highlight w:val="none"/>
                <w:lang w:eastAsia="zh-CN"/>
              </w:rPr>
              <w:t>存在其他</w:t>
            </w:r>
            <w:r>
              <w:rPr>
                <w:rFonts w:hint="eastAsia" w:ascii="宋体" w:hAnsi="宋体" w:eastAsia="宋体" w:cs="仿宋_GB2312"/>
                <w:b w:val="0"/>
                <w:bCs w:val="0"/>
                <w:color w:val="auto"/>
                <w:kern w:val="0"/>
                <w:sz w:val="15"/>
                <w:szCs w:val="15"/>
                <w:highlight w:val="none"/>
              </w:rPr>
              <w:t>影响用气情形的，</w:t>
            </w:r>
            <w:r>
              <w:rPr>
                <w:rFonts w:hint="eastAsia" w:ascii="宋体" w:hAnsi="宋体" w:eastAsia="宋体" w:cs="宋体"/>
                <w:b w:val="0"/>
                <w:bCs w:val="0"/>
                <w:color w:val="auto"/>
                <w:kern w:val="0"/>
                <w:sz w:val="15"/>
                <w:szCs w:val="15"/>
                <w:highlight w:val="none"/>
              </w:rPr>
              <w:t>系数7</w:t>
            </w:r>
            <w:r>
              <w:rPr>
                <w:rFonts w:hint="eastAsia" w:ascii="宋体" w:hAnsi="宋体" w:eastAsia="宋体" w:cs="仿宋_GB2312"/>
                <w:b w:val="0"/>
                <w:bCs w:val="0"/>
                <w:color w:val="auto"/>
                <w:kern w:val="0"/>
                <w:sz w:val="15"/>
                <w:szCs w:val="15"/>
                <w:highlight w:val="none"/>
              </w:rPr>
              <w:t>；</w:t>
            </w:r>
            <w:r>
              <w:rPr>
                <w:rFonts w:hint="eastAsia"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严重影响用气情形的，系数9</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CDD4A31">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vMerge w:val="continue"/>
            <w:noWrap w:val="0"/>
            <w:vAlign w:val="center"/>
          </w:tcPr>
          <w:p w14:paraId="314BB26B">
            <w:pPr>
              <w:spacing w:line="232" w:lineRule="exact"/>
              <w:rPr>
                <w:rFonts w:ascii="宋体" w:hAnsi="宋体" w:eastAsia="宋体" w:cs="仿宋_GB2312"/>
                <w:color w:val="auto"/>
                <w:kern w:val="0"/>
                <w:sz w:val="15"/>
                <w:szCs w:val="15"/>
                <w:highlight w:val="none"/>
              </w:rPr>
            </w:pPr>
          </w:p>
        </w:tc>
        <w:tc>
          <w:tcPr>
            <w:tcW w:w="1304" w:type="dxa"/>
            <w:gridSpan w:val="2"/>
            <w:vMerge w:val="continue"/>
            <w:noWrap w:val="0"/>
            <w:vAlign w:val="center"/>
          </w:tcPr>
          <w:p w14:paraId="0E0AC28E">
            <w:pPr>
              <w:spacing w:line="232" w:lineRule="exact"/>
              <w:jc w:val="center"/>
              <w:rPr>
                <w:rFonts w:ascii="宋体" w:hAnsi="宋体" w:eastAsia="宋体" w:cs="仿宋_GB2312"/>
                <w:color w:val="auto"/>
                <w:kern w:val="0"/>
                <w:sz w:val="15"/>
                <w:szCs w:val="15"/>
                <w:highlight w:val="none"/>
              </w:rPr>
            </w:pPr>
          </w:p>
        </w:tc>
        <w:tc>
          <w:tcPr>
            <w:tcW w:w="1869" w:type="dxa"/>
            <w:vMerge w:val="continue"/>
            <w:noWrap w:val="0"/>
            <w:vAlign w:val="center"/>
          </w:tcPr>
          <w:p w14:paraId="554B1F82">
            <w:pPr>
              <w:spacing w:line="232" w:lineRule="exact"/>
              <w:jc w:val="center"/>
              <w:rPr>
                <w:rFonts w:hint="eastAsia" w:ascii="宋体" w:hAnsi="宋体" w:eastAsia="宋体" w:cs="仿宋_GB2312"/>
                <w:color w:val="auto"/>
                <w:kern w:val="0"/>
                <w:sz w:val="15"/>
                <w:szCs w:val="15"/>
                <w:highlight w:val="none"/>
                <w:lang w:eastAsia="zh"/>
              </w:rPr>
            </w:pPr>
          </w:p>
        </w:tc>
      </w:tr>
      <w:tr w14:paraId="4F94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70" w:hRule="atLeast"/>
        </w:trPr>
        <w:tc>
          <w:tcPr>
            <w:tcW w:w="714" w:type="dxa"/>
            <w:vMerge w:val="continue"/>
            <w:noWrap w:val="0"/>
            <w:vAlign w:val="center"/>
          </w:tcPr>
          <w:p w14:paraId="1CDA596F">
            <w:pPr>
              <w:spacing w:line="232" w:lineRule="exact"/>
              <w:jc w:val="center"/>
              <w:textAlignment w:val="center"/>
              <w:rPr>
                <w:rFonts w:ascii="宋体" w:hAnsi="宋体" w:eastAsia="宋体" w:cs="仿宋_GB2312"/>
                <w:color w:val="auto"/>
                <w:kern w:val="0"/>
                <w:sz w:val="15"/>
                <w:szCs w:val="15"/>
                <w:highlight w:val="none"/>
                <w:lang w:bidi="ar"/>
              </w:rPr>
            </w:pPr>
          </w:p>
        </w:tc>
        <w:tc>
          <w:tcPr>
            <w:tcW w:w="1626" w:type="dxa"/>
            <w:gridSpan w:val="2"/>
            <w:vMerge w:val="continue"/>
            <w:noWrap w:val="0"/>
            <w:vAlign w:val="center"/>
          </w:tcPr>
          <w:p w14:paraId="01780263">
            <w:pPr>
              <w:spacing w:line="232" w:lineRule="exact"/>
              <w:rPr>
                <w:rFonts w:ascii="宋体" w:hAnsi="宋体" w:eastAsia="宋体" w:cs="仿宋_GB2312"/>
                <w:color w:val="auto"/>
                <w:sz w:val="15"/>
                <w:szCs w:val="15"/>
                <w:highlight w:val="none"/>
              </w:rPr>
            </w:pPr>
          </w:p>
        </w:tc>
        <w:tc>
          <w:tcPr>
            <w:tcW w:w="2981" w:type="dxa"/>
            <w:noWrap w:val="0"/>
            <w:vAlign w:val="center"/>
          </w:tcPr>
          <w:p w14:paraId="1EF149C5">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违反条款：第四十一条第二款第(五)项；</w:t>
            </w:r>
          </w:p>
          <w:p w14:paraId="66E3C643">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处罚条款：第六十六条第三款 责令限期改正，恢复原状，处五千元以下罚款。</w:t>
            </w:r>
          </w:p>
        </w:tc>
        <w:tc>
          <w:tcPr>
            <w:tcW w:w="851" w:type="dxa"/>
            <w:noWrap w:val="0"/>
            <w:vAlign w:val="center"/>
          </w:tcPr>
          <w:p w14:paraId="26314380">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w:t>
            </w:r>
          </w:p>
        </w:tc>
        <w:tc>
          <w:tcPr>
            <w:tcW w:w="840" w:type="dxa"/>
            <w:noWrap w:val="0"/>
            <w:vAlign w:val="center"/>
          </w:tcPr>
          <w:p w14:paraId="743C80C7">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14:paraId="4BBCEB3E">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涉及安全警示标志</w:t>
            </w:r>
            <w:r>
              <w:rPr>
                <w:rFonts w:hint="eastAsia" w:ascii="宋体" w:hAnsi="宋体" w:eastAsia="宋体" w:cs="宋体"/>
                <w:b w:val="0"/>
                <w:bCs w:val="0"/>
                <w:color w:val="auto"/>
                <w:kern w:val="0"/>
                <w:sz w:val="15"/>
                <w:szCs w:val="15"/>
                <w:highlight w:val="none"/>
                <w:lang w:val="en-US" w:eastAsia="zh-CN"/>
              </w:rPr>
              <w:t>2处及以上的，系数1；4处及以上的，系数2；6处及以上的，系数4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 发生在人口集中地区</w:t>
            </w:r>
            <w:r>
              <w:rPr>
                <w:rFonts w:hint="eastAsia" w:ascii="宋体" w:hAnsi="宋体" w:eastAsia="宋体" w:cs="宋体"/>
                <w:b w:val="0"/>
                <w:bCs w:val="0"/>
                <w:color w:val="auto"/>
                <w:kern w:val="0"/>
                <w:sz w:val="15"/>
                <w:szCs w:val="15"/>
                <w:highlight w:val="none"/>
              </w:rPr>
              <w:t>或人员密集场所</w:t>
            </w:r>
            <w:r>
              <w:rPr>
                <w:rFonts w:hint="eastAsia" w:ascii="宋体" w:hAnsi="宋体" w:eastAsia="宋体" w:cs="仿宋_GB2312"/>
                <w:b w:val="0"/>
                <w:bCs w:val="0"/>
                <w:color w:val="auto"/>
                <w:kern w:val="0"/>
                <w:sz w:val="15"/>
                <w:szCs w:val="15"/>
                <w:highlight w:val="none"/>
              </w:rPr>
              <w:t>的，系数2</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.导致相关燃气安全事故的，系数4</w:t>
            </w:r>
            <w:r>
              <w:rPr>
                <w:rFonts w:hint="eastAsia" w:ascii="宋体" w:hAnsi="宋体" w:eastAsia="宋体" w:cs="仿宋_GB2312"/>
                <w:b w:val="0"/>
                <w:bCs w:val="0"/>
                <w:color w:val="auto"/>
                <w:kern w:val="0"/>
                <w:sz w:val="15"/>
                <w:szCs w:val="15"/>
                <w:highlight w:val="none"/>
                <w:lang w:eastAsia="zh-CN"/>
              </w:rPr>
              <w:t>。</w:t>
            </w:r>
            <w:r>
              <w:rPr>
                <w:rFonts w:hint="eastAsia" w:ascii="宋体" w:hAnsi="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1616339">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14:paraId="124B7AEE">
            <w:pPr>
              <w:spacing w:line="20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拟作出1000元以下罚款，说明理由并报案审会决定。</w:t>
            </w:r>
          </w:p>
          <w:p w14:paraId="7EDAB7DC">
            <w:pPr>
              <w:spacing w:line="232" w:lineRule="exact"/>
              <w:rPr>
                <w:rFonts w:ascii="宋体" w:hAnsi="宋体" w:eastAsia="宋体" w:cs="仿宋_GB2312"/>
                <w:color w:val="auto"/>
                <w:kern w:val="0"/>
                <w:sz w:val="15"/>
                <w:szCs w:val="15"/>
                <w:highlight w:val="none"/>
              </w:rPr>
            </w:pPr>
          </w:p>
        </w:tc>
        <w:tc>
          <w:tcPr>
            <w:tcW w:w="1304" w:type="dxa"/>
            <w:gridSpan w:val="2"/>
            <w:vMerge w:val="continue"/>
            <w:noWrap w:val="0"/>
            <w:vAlign w:val="center"/>
          </w:tcPr>
          <w:p w14:paraId="1E62BB60">
            <w:pPr>
              <w:spacing w:line="232" w:lineRule="exact"/>
              <w:jc w:val="center"/>
              <w:rPr>
                <w:rFonts w:ascii="宋体" w:hAnsi="宋体" w:eastAsia="宋体" w:cs="仿宋_GB2312"/>
                <w:color w:val="auto"/>
                <w:kern w:val="0"/>
                <w:sz w:val="15"/>
                <w:szCs w:val="15"/>
                <w:highlight w:val="none"/>
              </w:rPr>
            </w:pPr>
          </w:p>
        </w:tc>
        <w:tc>
          <w:tcPr>
            <w:tcW w:w="1869" w:type="dxa"/>
            <w:vMerge w:val="continue"/>
            <w:noWrap w:val="0"/>
            <w:vAlign w:val="center"/>
          </w:tcPr>
          <w:p w14:paraId="542689DF">
            <w:pPr>
              <w:spacing w:line="232" w:lineRule="exact"/>
              <w:jc w:val="center"/>
              <w:rPr>
                <w:rFonts w:ascii="宋体" w:hAnsi="宋体" w:eastAsia="宋体" w:cs="仿宋_GB2312"/>
                <w:color w:val="auto"/>
                <w:kern w:val="0"/>
                <w:sz w:val="15"/>
                <w:szCs w:val="15"/>
                <w:highlight w:val="none"/>
              </w:rPr>
            </w:pPr>
          </w:p>
        </w:tc>
      </w:tr>
      <w:tr w14:paraId="42B4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90" w:hRule="atLeast"/>
        </w:trPr>
        <w:tc>
          <w:tcPr>
            <w:tcW w:w="14587" w:type="dxa"/>
            <w:gridSpan w:val="13"/>
            <w:noWrap w:val="0"/>
            <w:vAlign w:val="center"/>
          </w:tcPr>
          <w:p w14:paraId="18A36E27">
            <w:pPr>
              <w:pStyle w:val="3"/>
              <w:widowControl w:val="0"/>
              <w:spacing w:line="232" w:lineRule="exact"/>
              <w:jc w:val="center"/>
              <w:rPr>
                <w:rFonts w:ascii="宋体" w:hAnsi="宋体" w:eastAsia="宋体"/>
                <w:color w:val="auto"/>
                <w:sz w:val="15"/>
                <w:szCs w:val="15"/>
                <w:highlight w:val="none"/>
              </w:rPr>
            </w:pPr>
            <w:bookmarkStart w:id="71" w:name="_Toc110851459"/>
            <w:bookmarkStart w:id="72" w:name="_Toc303018879"/>
            <w:bookmarkStart w:id="73" w:name="_Toc697937810"/>
            <w:r>
              <w:rPr>
                <w:rFonts w:hint="eastAsia" w:ascii="宋体" w:hAnsi="宋体" w:eastAsia="宋体"/>
                <w:color w:val="auto"/>
                <w:sz w:val="21"/>
                <w:szCs w:val="21"/>
                <w:highlight w:val="none"/>
              </w:rPr>
              <w:t>《北京市消防条例》案由1项</w:t>
            </w:r>
            <w:bookmarkEnd w:id="71"/>
            <w:bookmarkEnd w:id="72"/>
            <w:bookmarkEnd w:id="73"/>
          </w:p>
        </w:tc>
        <w:tc>
          <w:tcPr>
            <w:tcW w:w="1869" w:type="dxa"/>
            <w:noWrap w:val="0"/>
            <w:vAlign w:val="center"/>
          </w:tcPr>
          <w:p w14:paraId="359929AE">
            <w:pPr>
              <w:pStyle w:val="3"/>
              <w:widowControl w:val="0"/>
              <w:spacing w:line="232" w:lineRule="exact"/>
              <w:jc w:val="center"/>
              <w:rPr>
                <w:rFonts w:hint="eastAsia" w:ascii="宋体" w:hAnsi="宋体" w:eastAsia="宋体"/>
                <w:color w:val="auto"/>
                <w:sz w:val="21"/>
                <w:szCs w:val="21"/>
                <w:highlight w:val="none"/>
              </w:rPr>
            </w:pPr>
          </w:p>
        </w:tc>
      </w:tr>
      <w:tr w14:paraId="1CDC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02" w:hRule="atLeast"/>
        </w:trPr>
        <w:tc>
          <w:tcPr>
            <w:tcW w:w="714" w:type="dxa"/>
            <w:vMerge w:val="restart"/>
            <w:noWrap w:val="0"/>
            <w:vAlign w:val="center"/>
          </w:tcPr>
          <w:p w14:paraId="7284B15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vMerge w:val="restart"/>
            <w:noWrap w:val="0"/>
            <w:vAlign w:val="center"/>
          </w:tcPr>
          <w:p w14:paraId="1547B2E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人员密集场所使用天然气、液化石油气未安装浓度检测报警装置</w:t>
            </w:r>
          </w:p>
        </w:tc>
        <w:tc>
          <w:tcPr>
            <w:tcW w:w="2981" w:type="dxa"/>
            <w:noWrap w:val="0"/>
            <w:vAlign w:val="center"/>
          </w:tcPr>
          <w:p w14:paraId="6C8D785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三十四</w:t>
            </w:r>
            <w:r>
              <w:rPr>
                <w:rFonts w:hint="eastAsia" w:ascii="宋体" w:hAnsi="宋体" w:eastAsia="宋体" w:cs="宋体"/>
                <w:color w:val="auto"/>
                <w:kern w:val="0"/>
                <w:sz w:val="15"/>
                <w:szCs w:val="15"/>
                <w:highlight w:val="none"/>
              </w:rPr>
              <w:t>条第（四）项；处罚条款：第</w:t>
            </w:r>
            <w:r>
              <w:rPr>
                <w:rFonts w:hint="eastAsia" w:ascii="宋体" w:hAnsi="宋体" w:eastAsia="宋体" w:cs="宋体"/>
                <w:color w:val="auto"/>
                <w:kern w:val="0"/>
                <w:sz w:val="15"/>
                <w:szCs w:val="15"/>
                <w:highlight w:val="none"/>
                <w:lang w:eastAsia="zh-CN"/>
              </w:rPr>
              <w:t>九十五</w:t>
            </w:r>
            <w:r>
              <w:rPr>
                <w:rFonts w:hint="eastAsia" w:ascii="宋体" w:hAnsi="宋体" w:eastAsia="宋体" w:cs="宋体"/>
                <w:color w:val="auto"/>
                <w:kern w:val="0"/>
                <w:sz w:val="15"/>
                <w:szCs w:val="15"/>
                <w:highlight w:val="none"/>
              </w:rPr>
              <w:t>条 责令改正，并可处1万元以上3万元以下罚款。</w:t>
            </w:r>
          </w:p>
        </w:tc>
        <w:tc>
          <w:tcPr>
            <w:tcW w:w="851" w:type="dxa"/>
            <w:noWrap w:val="0"/>
            <w:vAlign w:val="center"/>
          </w:tcPr>
          <w:p w14:paraId="13054CD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0A5B1D6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93B76E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B6083D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7F698EF5">
            <w:pPr>
              <w:spacing w:line="232" w:lineRule="exact"/>
              <w:rPr>
                <w:rFonts w:hint="eastAsia" w:ascii="宋体" w:hAnsi="宋体" w:eastAsia="宋体" w:cs="宋体"/>
                <w:color w:val="auto"/>
                <w:kern w:val="0"/>
                <w:sz w:val="15"/>
                <w:szCs w:val="15"/>
                <w:highlight w:val="none"/>
                <w:lang w:eastAsia="zh-CN"/>
              </w:rPr>
            </w:pPr>
          </w:p>
        </w:tc>
        <w:tc>
          <w:tcPr>
            <w:tcW w:w="1304" w:type="dxa"/>
            <w:gridSpan w:val="2"/>
            <w:vMerge w:val="restart"/>
            <w:noWrap w:val="0"/>
            <w:vAlign w:val="center"/>
          </w:tcPr>
          <w:p w14:paraId="499A7AD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161D560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vMerge w:val="restart"/>
            <w:noWrap w:val="0"/>
            <w:vAlign w:val="center"/>
          </w:tcPr>
          <w:p w14:paraId="5584090D">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C4622100</w:t>
            </w:r>
          </w:p>
        </w:tc>
      </w:tr>
      <w:tr w14:paraId="239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0" w:hRule="atLeast"/>
        </w:trPr>
        <w:tc>
          <w:tcPr>
            <w:tcW w:w="714" w:type="dxa"/>
            <w:vMerge w:val="continue"/>
            <w:noWrap w:val="0"/>
            <w:vAlign w:val="center"/>
          </w:tcPr>
          <w:p w14:paraId="70D7BAC3">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751A54A4">
            <w:pPr>
              <w:spacing w:line="232" w:lineRule="exact"/>
              <w:rPr>
                <w:rFonts w:ascii="宋体" w:hAnsi="宋体" w:eastAsia="宋体" w:cs="宋体"/>
                <w:color w:val="auto"/>
                <w:kern w:val="0"/>
                <w:sz w:val="15"/>
                <w:szCs w:val="15"/>
                <w:highlight w:val="none"/>
              </w:rPr>
            </w:pPr>
          </w:p>
        </w:tc>
        <w:tc>
          <w:tcPr>
            <w:tcW w:w="2981" w:type="dxa"/>
            <w:vMerge w:val="restart"/>
            <w:noWrap w:val="0"/>
            <w:vAlign w:val="center"/>
          </w:tcPr>
          <w:p w14:paraId="7E15E50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违反条款：《中华人民共和国安全生产法》第三十六条第四款；</w:t>
            </w:r>
          </w:p>
          <w:p w14:paraId="06F356F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noWrap w:val="0"/>
            <w:vAlign w:val="center"/>
          </w:tcPr>
          <w:p w14:paraId="1F36F61D">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101510FD">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7295CB0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0A2C0F49">
            <w:pPr>
              <w:spacing w:line="232" w:lineRule="exact"/>
              <w:rPr>
                <w:rFonts w:hint="eastAsia" w:ascii="宋体" w:hAnsi="宋体" w:eastAsia="宋体"/>
                <w:strike/>
                <w:dstrike w:val="0"/>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2B916A2">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44539B4B">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适用于餐饮等行业的生产经营单位使用燃气的情形。</w:t>
            </w:r>
          </w:p>
        </w:tc>
        <w:tc>
          <w:tcPr>
            <w:tcW w:w="1304" w:type="dxa"/>
            <w:gridSpan w:val="2"/>
            <w:vMerge w:val="continue"/>
            <w:noWrap w:val="0"/>
            <w:vAlign w:val="center"/>
          </w:tcPr>
          <w:p w14:paraId="090932EE">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14:paraId="49D01EDF">
            <w:pPr>
              <w:spacing w:line="232" w:lineRule="exact"/>
              <w:jc w:val="center"/>
              <w:rPr>
                <w:rFonts w:hint="eastAsia" w:ascii="宋体" w:hAnsi="宋体" w:eastAsia="宋体"/>
                <w:color w:val="auto"/>
                <w:sz w:val="15"/>
                <w:szCs w:val="15"/>
                <w:highlight w:val="none"/>
                <w:lang w:eastAsia="zh"/>
              </w:rPr>
            </w:pPr>
          </w:p>
        </w:tc>
      </w:tr>
      <w:tr w14:paraId="7542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67" w:hRule="atLeast"/>
        </w:trPr>
        <w:tc>
          <w:tcPr>
            <w:tcW w:w="714" w:type="dxa"/>
            <w:vMerge w:val="continue"/>
            <w:noWrap w:val="0"/>
            <w:vAlign w:val="center"/>
          </w:tcPr>
          <w:p w14:paraId="158770DB">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3B933ACD">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14:paraId="4CB67DD1">
            <w:pPr>
              <w:spacing w:line="232" w:lineRule="exact"/>
              <w:rPr>
                <w:rFonts w:ascii="宋体" w:hAnsi="宋体" w:eastAsia="宋体" w:cs="宋体"/>
                <w:color w:val="auto"/>
                <w:kern w:val="0"/>
                <w:sz w:val="15"/>
                <w:szCs w:val="15"/>
                <w:highlight w:val="none"/>
              </w:rPr>
            </w:pPr>
          </w:p>
        </w:tc>
        <w:tc>
          <w:tcPr>
            <w:tcW w:w="851" w:type="dxa"/>
            <w:noWrap w:val="0"/>
            <w:vAlign w:val="center"/>
          </w:tcPr>
          <w:p w14:paraId="5AE4DE6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14:paraId="099B672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5FC60BE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4343BE2A">
            <w:pPr>
              <w:spacing w:line="232" w:lineRule="exact"/>
              <w:rPr>
                <w:rFonts w:hint="eastAsia" w:ascii="宋体" w:hAnsi="宋体" w:eastAsia="宋体"/>
                <w:strike/>
                <w:dstrike w:val="0"/>
                <w:color w:val="auto"/>
                <w:sz w:val="15"/>
                <w:szCs w:val="15"/>
                <w:highlight w:val="none"/>
              </w:rPr>
            </w:pPr>
            <w:r>
              <w:rPr>
                <w:rFonts w:hint="default"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val="en-US" w:eastAsia="zh-CN"/>
              </w:rPr>
              <w:t>应当安装但未安装数量2个的，系数0</w:t>
            </w:r>
            <w:r>
              <w:rPr>
                <w:rFonts w:hint="default"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val="en-US" w:eastAsia="zh-CN"/>
              </w:rPr>
              <w:t>；3个的，系数1；4个的，系数1.5；5个的，系数2；6个的，系数2.5；7个及以上的，系数3。</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3D3B2E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vMerge w:val="restart"/>
            <w:noWrap w:val="0"/>
            <w:vAlign w:val="center"/>
          </w:tcPr>
          <w:p w14:paraId="229DD23F">
            <w:pPr>
              <w:numPr>
                <w:ilvl w:val="0"/>
                <w:numId w:val="0"/>
              </w:num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适用于餐饮等行业的生产经营单位使用燃气，逾期未改正的情形。</w:t>
            </w:r>
          </w:p>
          <w:p w14:paraId="095B5F44">
            <w:pPr>
              <w:numPr>
                <w:ilvl w:val="0"/>
                <w:numId w:val="0"/>
              </w:numPr>
              <w:spacing w:line="232" w:lineRule="exact"/>
              <w:rPr>
                <w:rFonts w:hint="eastAsia" w:ascii="宋体" w:hAnsi="宋体" w:eastAsia="宋体"/>
                <w:color w:val="auto"/>
                <w:sz w:val="15"/>
                <w:szCs w:val="15"/>
                <w:highlight w:val="none"/>
              </w:rPr>
            </w:pPr>
          </w:p>
          <w:p w14:paraId="3D2767E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2.处罚单位，同时处罚直接负责的主管人员和其他直接责任人员。</w:t>
            </w:r>
          </w:p>
        </w:tc>
        <w:tc>
          <w:tcPr>
            <w:tcW w:w="1304" w:type="dxa"/>
            <w:gridSpan w:val="2"/>
            <w:vMerge w:val="continue"/>
            <w:noWrap w:val="0"/>
            <w:vAlign w:val="center"/>
          </w:tcPr>
          <w:p w14:paraId="08A7071B">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14:paraId="1D527EBB">
            <w:pPr>
              <w:spacing w:line="232" w:lineRule="exact"/>
              <w:jc w:val="center"/>
              <w:rPr>
                <w:rFonts w:hint="eastAsia" w:ascii="宋体" w:hAnsi="宋体" w:eastAsia="宋体"/>
                <w:color w:val="auto"/>
                <w:sz w:val="15"/>
                <w:szCs w:val="15"/>
                <w:highlight w:val="none"/>
                <w:lang w:eastAsia="zh"/>
              </w:rPr>
            </w:pPr>
          </w:p>
        </w:tc>
      </w:tr>
      <w:tr w14:paraId="41254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022" w:hRule="atLeast"/>
        </w:trPr>
        <w:tc>
          <w:tcPr>
            <w:tcW w:w="714" w:type="dxa"/>
            <w:vMerge w:val="continue"/>
            <w:noWrap w:val="0"/>
            <w:vAlign w:val="center"/>
          </w:tcPr>
          <w:p w14:paraId="7C3ADF1E">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4A693B5E">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14:paraId="0DBDC70E">
            <w:pPr>
              <w:spacing w:line="232" w:lineRule="exact"/>
              <w:rPr>
                <w:rFonts w:ascii="宋体" w:hAnsi="宋体" w:eastAsia="宋体" w:cs="宋体"/>
                <w:color w:val="auto"/>
                <w:kern w:val="0"/>
                <w:sz w:val="15"/>
                <w:szCs w:val="15"/>
                <w:highlight w:val="none"/>
              </w:rPr>
            </w:pPr>
          </w:p>
        </w:tc>
        <w:tc>
          <w:tcPr>
            <w:tcW w:w="851" w:type="dxa"/>
            <w:noWrap w:val="0"/>
            <w:vAlign w:val="center"/>
          </w:tcPr>
          <w:p w14:paraId="11230ED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34F0612C">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（直接负责的主管人员和其他直接责任人员）</w:t>
            </w:r>
          </w:p>
        </w:tc>
        <w:tc>
          <w:tcPr>
            <w:tcW w:w="840" w:type="dxa"/>
            <w:noWrap w:val="0"/>
            <w:vAlign w:val="center"/>
          </w:tcPr>
          <w:p w14:paraId="193CC9B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1B65C1BF">
            <w:pPr>
              <w:spacing w:line="232" w:lineRule="exact"/>
              <w:rPr>
                <w:rFonts w:hint="eastAsia" w:ascii="宋体" w:hAnsi="宋体" w:eastAsia="宋体"/>
                <w:strike/>
                <w:dstrike w:val="0"/>
                <w:color w:val="auto"/>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F25EC39">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vMerge w:val="continue"/>
            <w:noWrap w:val="0"/>
            <w:vAlign w:val="center"/>
          </w:tcPr>
          <w:p w14:paraId="3AFDD71F">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3B2A6E7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5D49837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vMerge w:val="continue"/>
            <w:noWrap w:val="0"/>
            <w:vAlign w:val="center"/>
          </w:tcPr>
          <w:p w14:paraId="46AF7BAB">
            <w:pPr>
              <w:spacing w:line="232" w:lineRule="exact"/>
              <w:jc w:val="center"/>
              <w:rPr>
                <w:rFonts w:hint="eastAsia" w:ascii="宋体" w:hAnsi="宋体" w:eastAsia="宋体" w:cs="宋体"/>
                <w:color w:val="auto"/>
                <w:kern w:val="0"/>
                <w:sz w:val="15"/>
                <w:szCs w:val="15"/>
                <w:highlight w:val="none"/>
                <w:lang w:eastAsia="zh"/>
              </w:rPr>
            </w:pPr>
          </w:p>
        </w:tc>
      </w:tr>
      <w:tr w14:paraId="54B6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17" w:hRule="atLeast"/>
        </w:trPr>
        <w:tc>
          <w:tcPr>
            <w:tcW w:w="14587" w:type="dxa"/>
            <w:gridSpan w:val="13"/>
            <w:noWrap w:val="0"/>
            <w:vAlign w:val="center"/>
          </w:tcPr>
          <w:p w14:paraId="2AD2CA50">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74" w:name="_Toc598911105"/>
            <w:bookmarkStart w:id="75" w:name="_Toc110851460"/>
            <w:bookmarkStart w:id="76" w:name="_Toc1826085962"/>
            <w:r>
              <w:rPr>
                <w:rFonts w:hint="eastAsia" w:ascii="宋体" w:hAnsi="宋体" w:eastAsia="宋体"/>
                <w:color w:val="auto"/>
                <w:sz w:val="21"/>
                <w:szCs w:val="21"/>
                <w:highlight w:val="none"/>
              </w:rPr>
              <w:t>《北京市清洁燃料车辆加气站管理规定》案由7项</w:t>
            </w:r>
            <w:bookmarkEnd w:id="74"/>
            <w:bookmarkEnd w:id="75"/>
            <w:bookmarkEnd w:id="76"/>
          </w:p>
        </w:tc>
        <w:tc>
          <w:tcPr>
            <w:tcW w:w="1869" w:type="dxa"/>
            <w:noWrap w:val="0"/>
            <w:vAlign w:val="center"/>
          </w:tcPr>
          <w:p w14:paraId="38FE53B7">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14:paraId="5DD5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00" w:hRule="atLeast"/>
        </w:trPr>
        <w:tc>
          <w:tcPr>
            <w:tcW w:w="714" w:type="dxa"/>
            <w:noWrap w:val="0"/>
            <w:vAlign w:val="center"/>
          </w:tcPr>
          <w:p w14:paraId="2D833C8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29FC9DA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加气站未遵守操作规程或未设专人监护</w:t>
            </w:r>
          </w:p>
        </w:tc>
        <w:tc>
          <w:tcPr>
            <w:tcW w:w="2981" w:type="dxa"/>
            <w:noWrap w:val="0"/>
            <w:vAlign w:val="center"/>
          </w:tcPr>
          <w:p w14:paraId="74BF73A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违反条款：第八条第（四）项；</w:t>
            </w:r>
          </w:p>
          <w:p w14:paraId="1A8771B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14:paraId="2772BFA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14:paraId="3F2785F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19A96F7">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C8B310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195843B6">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4D980259">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264C633E">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14:paraId="4BB52C71">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C4653400</w:t>
            </w:r>
          </w:p>
        </w:tc>
      </w:tr>
      <w:tr w14:paraId="4EE72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62" w:hRule="atLeast"/>
        </w:trPr>
        <w:tc>
          <w:tcPr>
            <w:tcW w:w="714" w:type="dxa"/>
            <w:noWrap w:val="0"/>
            <w:vAlign w:val="center"/>
          </w:tcPr>
          <w:p w14:paraId="77A174A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14:paraId="64A4CE9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非操作人员进行充气作业</w:t>
            </w:r>
          </w:p>
        </w:tc>
        <w:tc>
          <w:tcPr>
            <w:tcW w:w="2981" w:type="dxa"/>
            <w:noWrap w:val="0"/>
            <w:vAlign w:val="center"/>
          </w:tcPr>
          <w:p w14:paraId="2566829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违反条款：第九条第（一）项；</w:t>
            </w:r>
          </w:p>
          <w:p w14:paraId="33D46C6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14:paraId="3B4C13F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14:paraId="7919CE4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41BF5BB">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F8913A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469CEF0A">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5EE7D824">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276CDF80">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14:paraId="7138931A">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C4653200</w:t>
            </w:r>
          </w:p>
        </w:tc>
      </w:tr>
      <w:tr w14:paraId="30727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50" w:hRule="atLeast"/>
        </w:trPr>
        <w:tc>
          <w:tcPr>
            <w:tcW w:w="714" w:type="dxa"/>
            <w:noWrap w:val="0"/>
            <w:vAlign w:val="center"/>
          </w:tcPr>
          <w:p w14:paraId="681D6707">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14:paraId="14788494">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加气站为其他容器充气</w:t>
            </w:r>
          </w:p>
        </w:tc>
        <w:tc>
          <w:tcPr>
            <w:tcW w:w="2981" w:type="dxa"/>
            <w:noWrap w:val="0"/>
            <w:vAlign w:val="center"/>
          </w:tcPr>
          <w:p w14:paraId="66B8AC3F">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违反条款：第九条第（二）项；</w:t>
            </w:r>
          </w:p>
          <w:p w14:paraId="7030550D">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14:paraId="40C944CF">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14:paraId="7DABE3E5">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63C6419">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888490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26247EF9">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7350EE80">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6551AA43">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14:paraId="03C320B4">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C4653500</w:t>
            </w:r>
          </w:p>
        </w:tc>
      </w:tr>
      <w:tr w14:paraId="3B13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89" w:hRule="atLeast"/>
        </w:trPr>
        <w:tc>
          <w:tcPr>
            <w:tcW w:w="714" w:type="dxa"/>
            <w:noWrap w:val="0"/>
            <w:vAlign w:val="center"/>
          </w:tcPr>
          <w:p w14:paraId="7C199B32">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14:paraId="5F9C0100">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直接用运输槽车向车辆充气</w:t>
            </w:r>
          </w:p>
        </w:tc>
        <w:tc>
          <w:tcPr>
            <w:tcW w:w="2981" w:type="dxa"/>
            <w:noWrap w:val="0"/>
            <w:vAlign w:val="center"/>
          </w:tcPr>
          <w:p w14:paraId="1172C666">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违反条款：第九条第（三）项；</w:t>
            </w:r>
          </w:p>
          <w:p w14:paraId="2BFF74D1">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14:paraId="337B7E2E">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14:paraId="224F7754">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8A1C6B5">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78C1EA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7A7FA3E6">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53D40F7F">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39236CCE">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14:paraId="2155B0FD">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C4653600</w:t>
            </w:r>
          </w:p>
        </w:tc>
      </w:tr>
      <w:tr w14:paraId="6AB6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46" w:hRule="atLeast"/>
        </w:trPr>
        <w:tc>
          <w:tcPr>
            <w:tcW w:w="714" w:type="dxa"/>
            <w:noWrap w:val="0"/>
            <w:vAlign w:val="center"/>
          </w:tcPr>
          <w:p w14:paraId="02669EA1">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14:paraId="1FF7C54F">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使用明火检查燃气泄露</w:t>
            </w:r>
          </w:p>
        </w:tc>
        <w:tc>
          <w:tcPr>
            <w:tcW w:w="2981" w:type="dxa"/>
            <w:noWrap w:val="0"/>
            <w:vAlign w:val="center"/>
          </w:tcPr>
          <w:p w14:paraId="5C6D45AF">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违反条款：第九条第（四）项；</w:t>
            </w:r>
          </w:p>
          <w:p w14:paraId="3F7F9370">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14:paraId="5B0175C4">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14:paraId="4D07EBAA">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69CB275">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27DD8A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11305684">
            <w:pPr>
              <w:spacing w:line="220" w:lineRule="exact"/>
              <w:ind w:left="-7"/>
              <w:rPr>
                <w:rFonts w:ascii="宋体" w:hAnsi="宋体" w:eastAsia="宋体" w:cs="宋体"/>
                <w:color w:val="auto"/>
                <w:kern w:val="0"/>
                <w:sz w:val="15"/>
                <w:szCs w:val="15"/>
                <w:highlight w:val="none"/>
              </w:rPr>
            </w:pPr>
          </w:p>
        </w:tc>
        <w:tc>
          <w:tcPr>
            <w:tcW w:w="1304" w:type="dxa"/>
            <w:gridSpan w:val="2"/>
            <w:noWrap w:val="0"/>
            <w:vAlign w:val="center"/>
          </w:tcPr>
          <w:p w14:paraId="146C49E2">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1FB4BB02">
            <w:pPr>
              <w:spacing w:line="220"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14:paraId="6A43BC6D">
            <w:pPr>
              <w:spacing w:line="220" w:lineRule="exact"/>
              <w:ind w:left="-7"/>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C4622600</w:t>
            </w:r>
          </w:p>
        </w:tc>
      </w:tr>
      <w:tr w14:paraId="65EF1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13" w:hRule="atLeast"/>
        </w:trPr>
        <w:tc>
          <w:tcPr>
            <w:tcW w:w="714" w:type="dxa"/>
            <w:noWrap w:val="0"/>
            <w:vAlign w:val="center"/>
          </w:tcPr>
          <w:p w14:paraId="205E9939">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14:paraId="73E98D27">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w:t>
            </w:r>
            <w:r>
              <w:rPr>
                <w:rFonts w:hint="eastAsia" w:ascii="宋体" w:hAnsi="宋体" w:eastAsia="宋体"/>
                <w:color w:val="auto"/>
                <w:sz w:val="15"/>
                <w:szCs w:val="15"/>
                <w:highlight w:val="none"/>
              </w:rPr>
              <w:t>运营中</w:t>
            </w:r>
            <w:r>
              <w:rPr>
                <w:rFonts w:hint="eastAsia" w:ascii="宋体" w:hAnsi="宋体" w:eastAsia="宋体" w:cs="宋体"/>
                <w:color w:val="auto"/>
                <w:kern w:val="0"/>
                <w:sz w:val="15"/>
                <w:szCs w:val="15"/>
                <w:highlight w:val="none"/>
              </w:rPr>
              <w:t>存放其他易燃易爆物品或者使用明火</w:t>
            </w:r>
          </w:p>
        </w:tc>
        <w:tc>
          <w:tcPr>
            <w:tcW w:w="2981" w:type="dxa"/>
            <w:noWrap w:val="0"/>
            <w:vAlign w:val="center"/>
          </w:tcPr>
          <w:p w14:paraId="0E8CC6EB">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违反条款：第九条第（五）项；</w:t>
            </w:r>
          </w:p>
          <w:p w14:paraId="66731F97">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14:paraId="79980EA0">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14:paraId="33305CBB">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F186C05">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9DBB06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59473760">
            <w:pPr>
              <w:spacing w:line="220" w:lineRule="exact"/>
              <w:ind w:left="-7"/>
              <w:rPr>
                <w:rFonts w:ascii="宋体" w:hAnsi="宋体" w:eastAsia="宋体" w:cs="宋体"/>
                <w:color w:val="auto"/>
                <w:kern w:val="0"/>
                <w:sz w:val="15"/>
                <w:szCs w:val="15"/>
                <w:highlight w:val="none"/>
              </w:rPr>
            </w:pPr>
          </w:p>
        </w:tc>
        <w:tc>
          <w:tcPr>
            <w:tcW w:w="1304" w:type="dxa"/>
            <w:gridSpan w:val="2"/>
            <w:noWrap w:val="0"/>
            <w:vAlign w:val="center"/>
          </w:tcPr>
          <w:p w14:paraId="0F220237">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7005C12E">
            <w:pPr>
              <w:spacing w:line="232"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14:paraId="7AF48813">
            <w:pPr>
              <w:spacing w:line="232" w:lineRule="exact"/>
              <w:ind w:left="-7"/>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C4653100</w:t>
            </w:r>
          </w:p>
        </w:tc>
      </w:tr>
      <w:tr w14:paraId="72C2E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81" w:hRule="atLeast"/>
        </w:trPr>
        <w:tc>
          <w:tcPr>
            <w:tcW w:w="714" w:type="dxa"/>
            <w:noWrap w:val="0"/>
            <w:vAlign w:val="center"/>
          </w:tcPr>
          <w:p w14:paraId="026AAD9D">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14:paraId="4831B3B4">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在加气站内修车、洗车</w:t>
            </w:r>
          </w:p>
        </w:tc>
        <w:tc>
          <w:tcPr>
            <w:tcW w:w="2981" w:type="dxa"/>
            <w:noWrap w:val="0"/>
            <w:vAlign w:val="center"/>
          </w:tcPr>
          <w:p w14:paraId="77786E1A">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违反条款：第九条第（六）项；</w:t>
            </w:r>
          </w:p>
          <w:p w14:paraId="104DE67B">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14:paraId="256C485A">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14:paraId="70214544">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07A333A">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39B334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145A89C1">
            <w:pPr>
              <w:spacing w:line="220" w:lineRule="exact"/>
              <w:ind w:left="-7"/>
              <w:rPr>
                <w:rFonts w:ascii="宋体" w:hAnsi="宋体" w:eastAsia="宋体" w:cs="宋体"/>
                <w:color w:val="auto"/>
                <w:kern w:val="0"/>
                <w:sz w:val="15"/>
                <w:szCs w:val="15"/>
                <w:highlight w:val="none"/>
              </w:rPr>
            </w:pPr>
          </w:p>
        </w:tc>
        <w:tc>
          <w:tcPr>
            <w:tcW w:w="1304" w:type="dxa"/>
            <w:gridSpan w:val="2"/>
            <w:noWrap w:val="0"/>
            <w:vAlign w:val="center"/>
          </w:tcPr>
          <w:p w14:paraId="0855EFD6">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037EE97A">
            <w:pPr>
              <w:spacing w:line="220"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14:paraId="204DC9C8">
            <w:pPr>
              <w:spacing w:line="220" w:lineRule="exact"/>
              <w:ind w:left="-7"/>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C4653300</w:t>
            </w:r>
          </w:p>
        </w:tc>
      </w:tr>
      <w:tr w14:paraId="70A1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47" w:hRule="atLeast"/>
        </w:trPr>
        <w:tc>
          <w:tcPr>
            <w:tcW w:w="14587" w:type="dxa"/>
            <w:gridSpan w:val="13"/>
            <w:noWrap w:val="0"/>
            <w:vAlign w:val="center"/>
          </w:tcPr>
          <w:p w14:paraId="2733BF48">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77" w:name="_Toc1473999580"/>
            <w:bookmarkStart w:id="78" w:name="_Toc247653558"/>
            <w:bookmarkStart w:id="79" w:name="_Toc110851461"/>
            <w:r>
              <w:rPr>
                <w:rFonts w:hint="eastAsia" w:ascii="宋体" w:hAnsi="宋体" w:eastAsia="宋体"/>
                <w:color w:val="auto"/>
                <w:sz w:val="21"/>
                <w:szCs w:val="21"/>
                <w:highlight w:val="none"/>
              </w:rPr>
              <w:t>《</w:t>
            </w:r>
            <w:r>
              <w:rPr>
                <w:rFonts w:ascii="宋体" w:hAnsi="宋体" w:eastAsia="宋体"/>
                <w:color w:val="auto"/>
                <w:sz w:val="21"/>
                <w:szCs w:val="21"/>
                <w:highlight w:val="none"/>
              </w:rPr>
              <w:t>北京市供热采暖管理办法</w:t>
            </w:r>
            <w:r>
              <w:rPr>
                <w:rFonts w:hint="eastAsia" w:ascii="宋体" w:hAnsi="宋体" w:eastAsia="宋体"/>
                <w:color w:val="auto"/>
                <w:sz w:val="21"/>
                <w:szCs w:val="21"/>
                <w:highlight w:val="none"/>
              </w:rPr>
              <w:t>》案由19项</w:t>
            </w:r>
            <w:bookmarkEnd w:id="77"/>
            <w:bookmarkEnd w:id="78"/>
            <w:bookmarkEnd w:id="79"/>
          </w:p>
        </w:tc>
        <w:tc>
          <w:tcPr>
            <w:tcW w:w="1869" w:type="dxa"/>
            <w:noWrap w:val="0"/>
            <w:vAlign w:val="center"/>
          </w:tcPr>
          <w:p w14:paraId="23C15F71">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14:paraId="664C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43" w:hRule="atLeast"/>
        </w:trPr>
        <w:tc>
          <w:tcPr>
            <w:tcW w:w="714" w:type="dxa"/>
            <w:noWrap w:val="0"/>
            <w:vAlign w:val="center"/>
          </w:tcPr>
          <w:p w14:paraId="57C78A88">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33535091">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供热单位未办理备案手续</w:t>
            </w:r>
          </w:p>
        </w:tc>
        <w:tc>
          <w:tcPr>
            <w:tcW w:w="2981" w:type="dxa"/>
            <w:noWrap w:val="0"/>
            <w:vAlign w:val="center"/>
          </w:tcPr>
          <w:p w14:paraId="15FE2E9B">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违反条款：第十条第一款；</w:t>
            </w:r>
          </w:p>
          <w:p w14:paraId="727D44F5">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处罚条款：第三十条 责令限期改正，逾期未改正的，处3万元罚款。</w:t>
            </w:r>
          </w:p>
        </w:tc>
        <w:tc>
          <w:tcPr>
            <w:tcW w:w="851" w:type="dxa"/>
            <w:noWrap w:val="0"/>
            <w:vAlign w:val="center"/>
          </w:tcPr>
          <w:p w14:paraId="3D803004">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71385651">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12B873A1">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0F99A23B">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4BAB8AA3">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1304" w:type="dxa"/>
            <w:gridSpan w:val="2"/>
            <w:noWrap w:val="0"/>
            <w:vAlign w:val="center"/>
          </w:tcPr>
          <w:p w14:paraId="7EB413B7">
            <w:pPr>
              <w:autoSpaceDE w:val="0"/>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0552471E">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14:paraId="1AB11BC5">
            <w:pPr>
              <w:autoSpaceDE w:val="0"/>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C4622900</w:t>
            </w:r>
          </w:p>
        </w:tc>
      </w:tr>
      <w:tr w14:paraId="112C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43" w:hRule="atLeast"/>
        </w:trPr>
        <w:tc>
          <w:tcPr>
            <w:tcW w:w="714" w:type="dxa"/>
            <w:noWrap w:val="0"/>
            <w:vAlign w:val="center"/>
          </w:tcPr>
          <w:p w14:paraId="621E8F12">
            <w:pPr>
              <w:autoSpaceDE w:val="0"/>
              <w:spacing w:line="232" w:lineRule="exact"/>
              <w:ind w:left="0" w:leftChars="0" w:hanging="15" w:firstLineChars="0"/>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2</w:t>
            </w:r>
          </w:p>
        </w:tc>
        <w:tc>
          <w:tcPr>
            <w:tcW w:w="1626" w:type="dxa"/>
            <w:gridSpan w:val="2"/>
            <w:noWrap w:val="0"/>
            <w:vAlign w:val="center"/>
          </w:tcPr>
          <w:p w14:paraId="1880FCB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供热单位未办理备案变更手续</w:t>
            </w:r>
          </w:p>
        </w:tc>
        <w:tc>
          <w:tcPr>
            <w:tcW w:w="2981" w:type="dxa"/>
            <w:noWrap w:val="0"/>
            <w:vAlign w:val="center"/>
          </w:tcPr>
          <w:p w14:paraId="4CA7A08D">
            <w:pPr>
              <w:keepNext w:val="0"/>
              <w:keepLines w:val="0"/>
              <w:widowControl w:val="0"/>
              <w:suppressLineNumbers w:val="0"/>
              <w:spacing w:before="0" w:beforeAutospacing="0" w:after="0" w:afterAutospacing="0" w:line="220" w:lineRule="exact"/>
              <w:ind w:left="0" w:leftChars="-7" w:right="0" w:hanging="15" w:hangingChars="10"/>
              <w:jc w:val="both"/>
              <w:rPr>
                <w:rFonts w:hint="eastAsia" w:ascii="宋体" w:hAnsi="宋体" w:eastAsia="宋体" w:cs="宋体"/>
                <w:kern w:val="0"/>
                <w:sz w:val="15"/>
                <w:szCs w:val="15"/>
                <w:highlight w:val="none"/>
              </w:rPr>
            </w:pPr>
            <w:r>
              <w:rPr>
                <w:rFonts w:hint="eastAsia" w:ascii="宋体" w:hAnsi="宋体" w:eastAsia="宋体" w:cs="宋体"/>
                <w:kern w:val="0"/>
                <w:sz w:val="15"/>
                <w:szCs w:val="15"/>
                <w:highlight w:val="none"/>
                <w:lang w:val="en-US" w:eastAsia="zh-CN" w:bidi="ar"/>
              </w:rPr>
              <w:t>违反条款：第十条第二款；</w:t>
            </w:r>
          </w:p>
          <w:p w14:paraId="43BABBF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处罚条款：第三十条 责令限期改正，逾期未改正的，处3万元罚款。</w:t>
            </w:r>
          </w:p>
        </w:tc>
        <w:tc>
          <w:tcPr>
            <w:tcW w:w="851" w:type="dxa"/>
            <w:noWrap w:val="0"/>
            <w:vAlign w:val="center"/>
          </w:tcPr>
          <w:p w14:paraId="1F58E91A">
            <w:pPr>
              <w:spacing w:line="232" w:lineRule="exact"/>
              <w:ind w:left="0" w:leftChars="0" w:firstLine="0" w:firstLineChars="0"/>
              <w:jc w:val="center"/>
              <w:rPr>
                <w:rFonts w:ascii="宋体" w:hAnsi="宋体" w:eastAsia="宋体" w:cs="宋体"/>
                <w:color w:val="auto"/>
                <w:kern w:val="0"/>
                <w:sz w:val="15"/>
                <w:szCs w:val="15"/>
                <w:highlight w:val="none"/>
              </w:rPr>
            </w:pPr>
          </w:p>
        </w:tc>
        <w:tc>
          <w:tcPr>
            <w:tcW w:w="840" w:type="dxa"/>
            <w:noWrap w:val="0"/>
            <w:vAlign w:val="center"/>
          </w:tcPr>
          <w:p w14:paraId="45BBE5DC">
            <w:pPr>
              <w:spacing w:line="232" w:lineRule="exact"/>
              <w:ind w:left="0" w:leftChars="0" w:firstLine="0" w:firstLineChars="0"/>
              <w:jc w:val="center"/>
              <w:rPr>
                <w:rFonts w:ascii="宋体" w:hAnsi="宋体" w:eastAsia="宋体" w:cs="宋体"/>
                <w:color w:val="auto"/>
                <w:kern w:val="0"/>
                <w:sz w:val="15"/>
                <w:szCs w:val="15"/>
                <w:highlight w:val="none"/>
              </w:rPr>
            </w:pPr>
          </w:p>
        </w:tc>
        <w:tc>
          <w:tcPr>
            <w:tcW w:w="2376" w:type="dxa"/>
            <w:noWrap w:val="0"/>
            <w:vAlign w:val="center"/>
          </w:tcPr>
          <w:p w14:paraId="4D96C6DD">
            <w:pPr>
              <w:spacing w:line="232" w:lineRule="exact"/>
              <w:ind w:left="0" w:leftChars="0" w:firstLine="0" w:firstLineChars="0"/>
              <w:rPr>
                <w:rFonts w:ascii="宋体" w:hAnsi="宋体" w:eastAsia="宋体" w:cs="宋体"/>
                <w:color w:val="auto"/>
                <w:kern w:val="0"/>
                <w:sz w:val="15"/>
                <w:szCs w:val="15"/>
                <w:highlight w:val="none"/>
              </w:rPr>
            </w:pPr>
          </w:p>
        </w:tc>
        <w:tc>
          <w:tcPr>
            <w:tcW w:w="1875" w:type="dxa"/>
            <w:gridSpan w:val="2"/>
            <w:noWrap w:val="0"/>
            <w:vAlign w:val="center"/>
          </w:tcPr>
          <w:p w14:paraId="6FAEC187">
            <w:pPr>
              <w:spacing w:line="232" w:lineRule="exact"/>
              <w:ind w:left="0" w:leftChars="0" w:firstLine="0" w:firstLineChars="0"/>
              <w:rPr>
                <w:rFonts w:ascii="宋体" w:hAnsi="宋体" w:eastAsia="宋体" w:cs="宋体"/>
                <w:color w:val="auto"/>
                <w:kern w:val="0"/>
                <w:sz w:val="15"/>
                <w:szCs w:val="15"/>
                <w:highlight w:val="none"/>
              </w:rPr>
            </w:pPr>
          </w:p>
        </w:tc>
        <w:tc>
          <w:tcPr>
            <w:tcW w:w="2020" w:type="dxa"/>
            <w:gridSpan w:val="2"/>
            <w:noWrap w:val="0"/>
            <w:vAlign w:val="center"/>
          </w:tcPr>
          <w:p w14:paraId="11F0C68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按照条款规定执行。</w:t>
            </w:r>
          </w:p>
        </w:tc>
        <w:tc>
          <w:tcPr>
            <w:tcW w:w="1304" w:type="dxa"/>
            <w:gridSpan w:val="2"/>
            <w:noWrap w:val="0"/>
            <w:vAlign w:val="center"/>
          </w:tcPr>
          <w:p w14:paraId="727B2A0A">
            <w:pPr>
              <w:autoSpaceDE w:val="0"/>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06A6AF27">
            <w:pPr>
              <w:autoSpaceDE w:val="0"/>
              <w:spacing w:line="232" w:lineRule="exact"/>
              <w:ind w:left="0" w:leftChars="0" w:firstLine="0" w:firstLineChars="0"/>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14:paraId="3A1298B0">
            <w:pPr>
              <w:autoSpaceDE w:val="0"/>
              <w:spacing w:line="232" w:lineRule="exact"/>
              <w:ind w:left="0" w:leftChars="0" w:firstLine="0" w:firstLineChars="0"/>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C4623000</w:t>
            </w:r>
          </w:p>
        </w:tc>
      </w:tr>
      <w:tr w14:paraId="19BF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43" w:hRule="atLeast"/>
        </w:trPr>
        <w:tc>
          <w:tcPr>
            <w:tcW w:w="714" w:type="dxa"/>
            <w:noWrap w:val="0"/>
            <w:vAlign w:val="center"/>
          </w:tcPr>
          <w:p w14:paraId="7A2D4302">
            <w:pPr>
              <w:autoSpaceDE w:val="0"/>
              <w:spacing w:line="232" w:lineRule="exact"/>
              <w:ind w:left="0" w:leftChars="0" w:hanging="15" w:firstLineChars="0"/>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3</w:t>
            </w:r>
          </w:p>
        </w:tc>
        <w:tc>
          <w:tcPr>
            <w:tcW w:w="1626" w:type="dxa"/>
            <w:gridSpan w:val="2"/>
            <w:noWrap w:val="0"/>
            <w:vAlign w:val="center"/>
          </w:tcPr>
          <w:p w14:paraId="2ACB531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供热单位提交的备案材料失实</w:t>
            </w:r>
          </w:p>
        </w:tc>
        <w:tc>
          <w:tcPr>
            <w:tcW w:w="2981" w:type="dxa"/>
            <w:noWrap w:val="0"/>
            <w:vAlign w:val="center"/>
          </w:tcPr>
          <w:p w14:paraId="1352D248">
            <w:pPr>
              <w:keepNext w:val="0"/>
              <w:keepLines w:val="0"/>
              <w:widowControl w:val="0"/>
              <w:suppressLineNumbers w:val="0"/>
              <w:spacing w:before="0" w:beforeAutospacing="0" w:after="0" w:afterAutospacing="0" w:line="220" w:lineRule="exact"/>
              <w:ind w:left="0" w:leftChars="-7" w:right="0" w:hanging="15" w:hangingChars="10"/>
              <w:jc w:val="both"/>
              <w:rPr>
                <w:rFonts w:hint="eastAsia" w:ascii="宋体" w:hAnsi="宋体" w:eastAsia="宋体" w:cs="宋体"/>
                <w:kern w:val="0"/>
                <w:sz w:val="15"/>
                <w:szCs w:val="15"/>
                <w:highlight w:val="none"/>
              </w:rPr>
            </w:pPr>
            <w:r>
              <w:rPr>
                <w:rFonts w:hint="eastAsia" w:ascii="宋体" w:hAnsi="宋体" w:eastAsia="宋体" w:cs="宋体"/>
                <w:kern w:val="0"/>
                <w:sz w:val="15"/>
                <w:szCs w:val="15"/>
                <w:highlight w:val="none"/>
                <w:lang w:val="en-US" w:eastAsia="zh-CN" w:bidi="ar"/>
              </w:rPr>
              <w:t>违反条款：第十条第二款；</w:t>
            </w:r>
          </w:p>
          <w:p w14:paraId="71CA039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处罚条款：第三十条 责令改正，情节严重的，可以处1万元以上3万元以下的罚款。</w:t>
            </w:r>
          </w:p>
        </w:tc>
        <w:tc>
          <w:tcPr>
            <w:tcW w:w="851" w:type="dxa"/>
            <w:noWrap w:val="0"/>
            <w:vAlign w:val="center"/>
          </w:tcPr>
          <w:p w14:paraId="7E66A5CA">
            <w:pPr>
              <w:spacing w:line="232" w:lineRule="exact"/>
              <w:ind w:left="0" w:leftChars="0" w:firstLine="0" w:firstLineChars="0"/>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10000</w:t>
            </w:r>
          </w:p>
        </w:tc>
        <w:tc>
          <w:tcPr>
            <w:tcW w:w="840" w:type="dxa"/>
            <w:noWrap w:val="0"/>
            <w:vAlign w:val="center"/>
          </w:tcPr>
          <w:p w14:paraId="29D32E34">
            <w:pPr>
              <w:spacing w:line="232" w:lineRule="exact"/>
              <w:ind w:left="0" w:leftChars="0" w:firstLine="0" w:firstLineChars="0"/>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1</w:t>
            </w:r>
          </w:p>
        </w:tc>
        <w:tc>
          <w:tcPr>
            <w:tcW w:w="2376" w:type="dxa"/>
            <w:noWrap w:val="0"/>
            <w:vAlign w:val="center"/>
          </w:tcPr>
          <w:p w14:paraId="7D555C47">
            <w:pPr>
              <w:spacing w:line="232" w:lineRule="exact"/>
              <w:ind w:left="0" w:leftChars="0" w:firstLine="0"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1.故意隐瞒相关情况，对安全、稳定、质量合格供热造成较大影响的，系数1；2.存在基准2.1.3规定情形的，系数按照相关规定确定（基准2.1.3.5不适用）。</w:t>
            </w:r>
          </w:p>
        </w:tc>
        <w:tc>
          <w:tcPr>
            <w:tcW w:w="1875" w:type="dxa"/>
            <w:gridSpan w:val="2"/>
            <w:noWrap w:val="0"/>
            <w:vAlign w:val="center"/>
          </w:tcPr>
          <w:p w14:paraId="63E7934D">
            <w:pPr>
              <w:spacing w:line="232" w:lineRule="exact"/>
              <w:ind w:left="0" w:leftChars="0" w:firstLine="0"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罚款数额＝10000×（1＋情节系数）</w:t>
            </w:r>
          </w:p>
        </w:tc>
        <w:tc>
          <w:tcPr>
            <w:tcW w:w="2020" w:type="dxa"/>
            <w:gridSpan w:val="2"/>
            <w:noWrap w:val="0"/>
            <w:vAlign w:val="center"/>
          </w:tcPr>
          <w:p w14:paraId="1F404375">
            <w:pPr>
              <w:autoSpaceDE w:val="0"/>
              <w:spacing w:line="232" w:lineRule="exact"/>
              <w:ind w:left="0" w:leftChars="0" w:hanging="15" w:firstLineChars="0"/>
              <w:rPr>
                <w:rFonts w:hint="eastAsia" w:ascii="宋体" w:hAnsi="宋体" w:eastAsia="宋体" w:cs="宋体"/>
                <w:color w:val="auto"/>
                <w:kern w:val="0"/>
                <w:sz w:val="15"/>
                <w:szCs w:val="15"/>
                <w:highlight w:val="none"/>
              </w:rPr>
            </w:pPr>
          </w:p>
        </w:tc>
        <w:tc>
          <w:tcPr>
            <w:tcW w:w="1304" w:type="dxa"/>
            <w:gridSpan w:val="2"/>
            <w:noWrap w:val="0"/>
            <w:vAlign w:val="center"/>
          </w:tcPr>
          <w:p w14:paraId="3C36152B">
            <w:pPr>
              <w:autoSpaceDE w:val="0"/>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4E179B1B">
            <w:pPr>
              <w:autoSpaceDE w:val="0"/>
              <w:spacing w:line="232" w:lineRule="exact"/>
              <w:ind w:left="0" w:leftChars="0" w:firstLine="0" w:firstLineChars="0"/>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14:paraId="2F966147">
            <w:pPr>
              <w:autoSpaceDE w:val="0"/>
              <w:spacing w:line="232" w:lineRule="exact"/>
              <w:ind w:left="0" w:leftChars="0" w:firstLine="0" w:firstLineChars="0"/>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C4623000</w:t>
            </w:r>
          </w:p>
        </w:tc>
      </w:tr>
      <w:tr w14:paraId="0D95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79" w:hRule="atLeast"/>
        </w:trPr>
        <w:tc>
          <w:tcPr>
            <w:tcW w:w="714" w:type="dxa"/>
            <w:noWrap w:val="0"/>
            <w:vAlign w:val="center"/>
          </w:tcPr>
          <w:p w14:paraId="76BA3AE4">
            <w:pPr>
              <w:autoSpaceDE w:val="0"/>
              <w:spacing w:line="232" w:lineRule="exact"/>
              <w:ind w:leftChars="-7" w:hanging="15" w:hangingChars="10"/>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4</w:t>
            </w:r>
          </w:p>
        </w:tc>
        <w:tc>
          <w:tcPr>
            <w:tcW w:w="1626" w:type="dxa"/>
            <w:gridSpan w:val="2"/>
            <w:noWrap w:val="0"/>
            <w:vAlign w:val="center"/>
          </w:tcPr>
          <w:p w14:paraId="21798A17">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未实施供热设施安全巡检制度</w:t>
            </w:r>
          </w:p>
        </w:tc>
        <w:tc>
          <w:tcPr>
            <w:tcW w:w="2981" w:type="dxa"/>
            <w:noWrap w:val="0"/>
            <w:vAlign w:val="center"/>
          </w:tcPr>
          <w:p w14:paraId="470C8251">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违反条款：第十三条第（一）项；</w:t>
            </w:r>
          </w:p>
          <w:p w14:paraId="044F5CEF">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处罚条款：第三十一条第一款 予以警告，警告两次的，处2万元罚款。</w:t>
            </w:r>
          </w:p>
        </w:tc>
        <w:tc>
          <w:tcPr>
            <w:tcW w:w="851" w:type="dxa"/>
            <w:noWrap w:val="0"/>
            <w:vAlign w:val="center"/>
          </w:tcPr>
          <w:p w14:paraId="5B042FA1">
            <w:pPr>
              <w:autoSpaceDE w:val="0"/>
              <w:spacing w:line="232" w:lineRule="exact"/>
              <w:ind w:leftChars="-7" w:hanging="15" w:hangingChars="10"/>
              <w:rPr>
                <w:rFonts w:ascii="宋体" w:hAnsi="宋体" w:eastAsia="宋体" w:cs="宋体"/>
                <w:color w:val="auto"/>
                <w:kern w:val="0"/>
                <w:sz w:val="15"/>
                <w:szCs w:val="15"/>
                <w:highlight w:val="none"/>
              </w:rPr>
            </w:pPr>
          </w:p>
        </w:tc>
        <w:tc>
          <w:tcPr>
            <w:tcW w:w="840" w:type="dxa"/>
            <w:noWrap w:val="0"/>
            <w:vAlign w:val="center"/>
          </w:tcPr>
          <w:p w14:paraId="53FA10E5">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2376" w:type="dxa"/>
            <w:noWrap w:val="0"/>
            <w:vAlign w:val="center"/>
          </w:tcPr>
          <w:p w14:paraId="22BA3DDA">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48C844D1">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1D7A89D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1304" w:type="dxa"/>
            <w:gridSpan w:val="2"/>
            <w:noWrap w:val="0"/>
            <w:vAlign w:val="center"/>
          </w:tcPr>
          <w:p w14:paraId="0C2079DD">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c>
          <w:tcPr>
            <w:tcW w:w="1869" w:type="dxa"/>
            <w:noWrap w:val="0"/>
            <w:vAlign w:val="center"/>
          </w:tcPr>
          <w:p w14:paraId="12A0683D">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C4623100</w:t>
            </w:r>
          </w:p>
        </w:tc>
      </w:tr>
      <w:tr w14:paraId="43D2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65" w:hRule="atLeast"/>
        </w:trPr>
        <w:tc>
          <w:tcPr>
            <w:tcW w:w="714" w:type="dxa"/>
            <w:noWrap w:val="0"/>
            <w:vAlign w:val="center"/>
          </w:tcPr>
          <w:p w14:paraId="0FCBD6A0">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14:paraId="13170FB5">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供热前未提前在供热范围内进行公告</w:t>
            </w:r>
          </w:p>
        </w:tc>
        <w:tc>
          <w:tcPr>
            <w:tcW w:w="2981" w:type="dxa"/>
            <w:noWrap w:val="0"/>
            <w:vAlign w:val="center"/>
          </w:tcPr>
          <w:p w14:paraId="7FE04C4A">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违反条款：第十三条第（二）项；</w:t>
            </w:r>
          </w:p>
          <w:p w14:paraId="669D3554">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处罚条款：第三十一条第二款 责令改正，并处1000元罚款。</w:t>
            </w:r>
          </w:p>
        </w:tc>
        <w:tc>
          <w:tcPr>
            <w:tcW w:w="851" w:type="dxa"/>
            <w:noWrap w:val="0"/>
            <w:vAlign w:val="center"/>
          </w:tcPr>
          <w:p w14:paraId="16C4F297">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840" w:type="dxa"/>
            <w:noWrap w:val="0"/>
            <w:vAlign w:val="center"/>
          </w:tcPr>
          <w:p w14:paraId="1EC41863">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2376" w:type="dxa"/>
            <w:noWrap w:val="0"/>
            <w:vAlign w:val="center"/>
          </w:tcPr>
          <w:p w14:paraId="44353B2A">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661218D0">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29CF2F6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1304" w:type="dxa"/>
            <w:gridSpan w:val="2"/>
            <w:noWrap w:val="0"/>
            <w:vAlign w:val="center"/>
          </w:tcPr>
          <w:p w14:paraId="01CD7414">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c>
          <w:tcPr>
            <w:tcW w:w="1869" w:type="dxa"/>
            <w:noWrap w:val="0"/>
            <w:vAlign w:val="center"/>
          </w:tcPr>
          <w:p w14:paraId="757D7B2E">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C4623200</w:t>
            </w:r>
          </w:p>
        </w:tc>
      </w:tr>
      <w:tr w14:paraId="3C1D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97" w:hRule="atLeast"/>
        </w:trPr>
        <w:tc>
          <w:tcPr>
            <w:tcW w:w="714" w:type="dxa"/>
            <w:noWrap w:val="0"/>
            <w:vAlign w:val="center"/>
          </w:tcPr>
          <w:p w14:paraId="3E81C6BF">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14:paraId="19527547">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推迟、中止供热或者提前结束供热</w:t>
            </w:r>
          </w:p>
        </w:tc>
        <w:tc>
          <w:tcPr>
            <w:tcW w:w="2981" w:type="dxa"/>
            <w:noWrap w:val="0"/>
            <w:vAlign w:val="center"/>
          </w:tcPr>
          <w:p w14:paraId="389677F2">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14:paraId="421A4F8D">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处罚条款：第三十二条第一款 责令改正，可以处5000元以上3万元以下罚款。</w:t>
            </w:r>
          </w:p>
        </w:tc>
        <w:tc>
          <w:tcPr>
            <w:tcW w:w="851" w:type="dxa"/>
            <w:noWrap w:val="0"/>
            <w:vAlign w:val="center"/>
          </w:tcPr>
          <w:p w14:paraId="615B283B">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1B2E0E4C">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1BEE8A9">
            <w:pPr>
              <w:autoSpaceDE w:val="0"/>
              <w:spacing w:line="232" w:lineRule="exact"/>
              <w:ind w:leftChars="-7" w:hanging="15" w:hangingChars="10"/>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推迟、中止、提前结束供热</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天，</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1，3天的，系数2；4天的，系数3；5天的，系数4；6天及以上的，系数5；2.造成较大社会影响的，系数3-5；3.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CBDF667">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6F3D4D6E">
            <w:pPr>
              <w:autoSpaceDE w:val="0"/>
              <w:spacing w:line="232" w:lineRule="exact"/>
              <w:ind w:leftChars="-7" w:hanging="15" w:hangingChars="10"/>
              <w:rPr>
                <w:rFonts w:ascii="宋体" w:hAnsi="宋体" w:eastAsia="宋体" w:cs="宋体"/>
                <w:color w:val="auto"/>
                <w:kern w:val="0"/>
                <w:sz w:val="15"/>
                <w:szCs w:val="15"/>
                <w:highlight w:val="none"/>
              </w:rPr>
            </w:pPr>
          </w:p>
        </w:tc>
        <w:tc>
          <w:tcPr>
            <w:tcW w:w="1304" w:type="dxa"/>
            <w:gridSpan w:val="2"/>
            <w:noWrap w:val="0"/>
            <w:vAlign w:val="center"/>
          </w:tcPr>
          <w:p w14:paraId="160E4DB2">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区级街道乡镇</w:t>
            </w:r>
          </w:p>
        </w:tc>
        <w:tc>
          <w:tcPr>
            <w:tcW w:w="1869" w:type="dxa"/>
            <w:noWrap w:val="0"/>
            <w:vAlign w:val="center"/>
          </w:tcPr>
          <w:p w14:paraId="7E5FFE58">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C4623300</w:t>
            </w:r>
          </w:p>
        </w:tc>
      </w:tr>
      <w:tr w14:paraId="46E8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67" w:hRule="atLeast"/>
        </w:trPr>
        <w:tc>
          <w:tcPr>
            <w:tcW w:w="714" w:type="dxa"/>
            <w:vMerge w:val="restart"/>
            <w:noWrap w:val="0"/>
            <w:vAlign w:val="center"/>
          </w:tcPr>
          <w:p w14:paraId="5B6141B8">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vMerge w:val="restart"/>
            <w:noWrap w:val="0"/>
            <w:vAlign w:val="center"/>
          </w:tcPr>
          <w:p w14:paraId="4B8A172B">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采暖期内退出或者部分退出供热经营活动</w:t>
            </w:r>
          </w:p>
        </w:tc>
        <w:tc>
          <w:tcPr>
            <w:tcW w:w="2981" w:type="dxa"/>
            <w:vMerge w:val="restart"/>
            <w:noWrap w:val="0"/>
            <w:vAlign w:val="center"/>
          </w:tcPr>
          <w:p w14:paraId="19C5DB9E">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14:paraId="50F24B6D">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处罚条款：第三十二条第二款 责令改正，并对供热单位处5万元以上10万元以下罚款，对供热单位法定代表人处1万元罚款。</w:t>
            </w:r>
          </w:p>
        </w:tc>
        <w:tc>
          <w:tcPr>
            <w:tcW w:w="851" w:type="dxa"/>
            <w:noWrap w:val="0"/>
            <w:vAlign w:val="center"/>
          </w:tcPr>
          <w:p w14:paraId="4A27A9E0">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14:paraId="33F4436F">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4949238">
            <w:pPr>
              <w:spacing w:line="22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BB3D967">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431EAF7F">
            <w:pPr>
              <w:autoSpaceDE w:val="0"/>
              <w:spacing w:line="226" w:lineRule="exact"/>
              <w:ind w:leftChars="-7" w:hanging="15" w:hangingChars="10"/>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对供热单位</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4C097CDD">
            <w:pPr>
              <w:autoSpaceDE w:val="0"/>
              <w:spacing w:line="226"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4FBA74EB">
            <w:pPr>
              <w:autoSpaceDE w:val="0"/>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vMerge w:val="restart"/>
            <w:noWrap w:val="0"/>
            <w:vAlign w:val="center"/>
          </w:tcPr>
          <w:p w14:paraId="4C4F2903">
            <w:pPr>
              <w:autoSpaceDE w:val="0"/>
              <w:spacing w:line="226"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C4623400</w:t>
            </w:r>
          </w:p>
        </w:tc>
      </w:tr>
      <w:tr w14:paraId="3203E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89" w:hRule="atLeast"/>
        </w:trPr>
        <w:tc>
          <w:tcPr>
            <w:tcW w:w="714" w:type="dxa"/>
            <w:vMerge w:val="continue"/>
            <w:noWrap w:val="0"/>
            <w:vAlign w:val="center"/>
          </w:tcPr>
          <w:p w14:paraId="07A4B055">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3EB8DCEC">
            <w:pPr>
              <w:autoSpaceDE w:val="0"/>
              <w:spacing w:line="226" w:lineRule="exact"/>
              <w:ind w:leftChars="-7" w:hanging="15" w:hangingChars="10"/>
              <w:rPr>
                <w:rFonts w:ascii="宋体" w:hAnsi="宋体" w:eastAsia="宋体" w:cs="宋体"/>
                <w:color w:val="auto"/>
                <w:kern w:val="0"/>
                <w:sz w:val="15"/>
                <w:szCs w:val="15"/>
                <w:highlight w:val="none"/>
              </w:rPr>
            </w:pPr>
          </w:p>
        </w:tc>
        <w:tc>
          <w:tcPr>
            <w:tcW w:w="2981" w:type="dxa"/>
            <w:vMerge w:val="continue"/>
            <w:noWrap w:val="0"/>
            <w:vAlign w:val="center"/>
          </w:tcPr>
          <w:p w14:paraId="4C8B9A87">
            <w:pPr>
              <w:autoSpaceDE w:val="0"/>
              <w:spacing w:line="226" w:lineRule="exact"/>
              <w:ind w:leftChars="-7" w:hanging="15" w:hangingChars="10"/>
              <w:rPr>
                <w:rFonts w:ascii="宋体" w:hAnsi="宋体" w:eastAsia="宋体" w:cs="宋体"/>
                <w:color w:val="auto"/>
                <w:kern w:val="0"/>
                <w:sz w:val="15"/>
                <w:szCs w:val="15"/>
                <w:highlight w:val="none"/>
              </w:rPr>
            </w:pPr>
          </w:p>
        </w:tc>
        <w:tc>
          <w:tcPr>
            <w:tcW w:w="851" w:type="dxa"/>
            <w:noWrap w:val="0"/>
            <w:vAlign w:val="center"/>
          </w:tcPr>
          <w:p w14:paraId="31632658">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19AB028D">
            <w:pPr>
              <w:autoSpaceDE w:val="0"/>
              <w:spacing w:line="226" w:lineRule="exact"/>
              <w:ind w:leftChars="-7" w:hanging="15" w:hangingChars="10"/>
              <w:jc w:val="center"/>
              <w:rPr>
                <w:rFonts w:ascii="宋体" w:hAnsi="宋体" w:eastAsia="宋体" w:cs="宋体"/>
                <w:color w:val="auto"/>
                <w:kern w:val="0"/>
                <w:sz w:val="15"/>
                <w:szCs w:val="15"/>
                <w:highlight w:val="none"/>
              </w:rPr>
            </w:pPr>
          </w:p>
        </w:tc>
        <w:tc>
          <w:tcPr>
            <w:tcW w:w="2376" w:type="dxa"/>
            <w:noWrap w:val="0"/>
            <w:vAlign w:val="center"/>
          </w:tcPr>
          <w:p w14:paraId="686E329E">
            <w:pPr>
              <w:autoSpaceDE w:val="0"/>
              <w:spacing w:line="226" w:lineRule="exact"/>
              <w:ind w:leftChars="-7" w:hanging="15" w:hangingChars="10"/>
              <w:rPr>
                <w:rFonts w:ascii="宋体" w:hAnsi="宋体" w:eastAsia="宋体" w:cs="宋体"/>
                <w:color w:val="auto"/>
                <w:kern w:val="0"/>
                <w:sz w:val="15"/>
                <w:szCs w:val="15"/>
                <w:highlight w:val="none"/>
              </w:rPr>
            </w:pPr>
          </w:p>
        </w:tc>
        <w:tc>
          <w:tcPr>
            <w:tcW w:w="1875" w:type="dxa"/>
            <w:gridSpan w:val="2"/>
            <w:noWrap w:val="0"/>
            <w:vAlign w:val="center"/>
          </w:tcPr>
          <w:p w14:paraId="293F3F2A">
            <w:pPr>
              <w:autoSpaceDE w:val="0"/>
              <w:spacing w:line="226" w:lineRule="exact"/>
              <w:ind w:leftChars="-7" w:hanging="15" w:hangingChars="10"/>
              <w:rPr>
                <w:rFonts w:ascii="宋体" w:hAnsi="宋体" w:eastAsia="宋体" w:cs="宋体"/>
                <w:color w:val="auto"/>
                <w:kern w:val="0"/>
                <w:sz w:val="15"/>
                <w:szCs w:val="15"/>
                <w:highlight w:val="none"/>
              </w:rPr>
            </w:pPr>
          </w:p>
        </w:tc>
        <w:tc>
          <w:tcPr>
            <w:tcW w:w="2020" w:type="dxa"/>
            <w:gridSpan w:val="2"/>
            <w:noWrap w:val="0"/>
            <w:vAlign w:val="center"/>
          </w:tcPr>
          <w:p w14:paraId="0B8ABA14">
            <w:pPr>
              <w:autoSpaceDE w:val="0"/>
              <w:spacing w:line="226" w:lineRule="exact"/>
              <w:ind w:leftChars="-7" w:hanging="15" w:hangingChars="10"/>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对法定代表人</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2B197283">
            <w:pPr>
              <w:autoSpaceDE w:val="0"/>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c>
          <w:tcPr>
            <w:tcW w:w="1869" w:type="dxa"/>
            <w:vMerge w:val="continue"/>
            <w:noWrap w:val="0"/>
            <w:vAlign w:val="center"/>
          </w:tcPr>
          <w:p w14:paraId="20647D01">
            <w:pPr>
              <w:autoSpaceDE w:val="0"/>
              <w:spacing w:line="226" w:lineRule="exact"/>
              <w:jc w:val="center"/>
              <w:rPr>
                <w:rFonts w:hint="eastAsia" w:ascii="宋体" w:hAnsi="宋体" w:eastAsia="宋体" w:cs="仿宋_GB2312"/>
                <w:color w:val="auto"/>
                <w:kern w:val="0"/>
                <w:sz w:val="15"/>
                <w:szCs w:val="15"/>
                <w:highlight w:val="none"/>
                <w:lang w:eastAsia="zh"/>
              </w:rPr>
            </w:pPr>
          </w:p>
        </w:tc>
      </w:tr>
      <w:tr w14:paraId="529A6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14:paraId="29EB76FA">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14:paraId="386FF371">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非采暖期内擅自退出或者部分退出供热经营活动，影响用户采暖</w:t>
            </w:r>
          </w:p>
        </w:tc>
        <w:tc>
          <w:tcPr>
            <w:tcW w:w="2981" w:type="dxa"/>
            <w:noWrap w:val="0"/>
            <w:vAlign w:val="center"/>
          </w:tcPr>
          <w:p w14:paraId="6C9A5937">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违反条款：第十五条第二款；</w:t>
            </w:r>
          </w:p>
          <w:p w14:paraId="30BE4CF6">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处罚条款：第三十二条第三款 责令限期改正，逾期未改正的，对供热单位处3万元罚款，对供热单位法定代表人处5000元罚款。</w:t>
            </w:r>
          </w:p>
        </w:tc>
        <w:tc>
          <w:tcPr>
            <w:tcW w:w="851" w:type="dxa"/>
            <w:noWrap w:val="0"/>
            <w:vAlign w:val="center"/>
          </w:tcPr>
          <w:p w14:paraId="76BDA508">
            <w:pPr>
              <w:spacing w:line="226" w:lineRule="exact"/>
              <w:ind w:left="6" w:hanging="21"/>
              <w:jc w:val="center"/>
              <w:rPr>
                <w:rFonts w:ascii="宋体" w:hAnsi="宋体" w:eastAsia="宋体" w:cs="宋体"/>
                <w:color w:val="auto"/>
                <w:kern w:val="0"/>
                <w:sz w:val="15"/>
                <w:szCs w:val="15"/>
                <w:highlight w:val="none"/>
              </w:rPr>
            </w:pPr>
          </w:p>
        </w:tc>
        <w:tc>
          <w:tcPr>
            <w:tcW w:w="840" w:type="dxa"/>
            <w:noWrap w:val="0"/>
            <w:vAlign w:val="center"/>
          </w:tcPr>
          <w:p w14:paraId="69983B21">
            <w:pPr>
              <w:spacing w:line="226" w:lineRule="exact"/>
              <w:ind w:left="6" w:hanging="21"/>
              <w:jc w:val="center"/>
              <w:rPr>
                <w:rFonts w:ascii="宋体" w:hAnsi="宋体" w:eastAsia="宋体" w:cs="宋体"/>
                <w:color w:val="auto"/>
                <w:kern w:val="0"/>
                <w:sz w:val="15"/>
                <w:szCs w:val="15"/>
                <w:highlight w:val="none"/>
              </w:rPr>
            </w:pPr>
          </w:p>
        </w:tc>
        <w:tc>
          <w:tcPr>
            <w:tcW w:w="2376" w:type="dxa"/>
            <w:noWrap w:val="0"/>
            <w:vAlign w:val="center"/>
          </w:tcPr>
          <w:p w14:paraId="495FA623">
            <w:pPr>
              <w:spacing w:line="226" w:lineRule="exact"/>
              <w:ind w:left="6" w:hanging="21"/>
              <w:rPr>
                <w:rFonts w:ascii="宋体" w:hAnsi="宋体" w:eastAsia="宋体" w:cs="宋体"/>
                <w:color w:val="auto"/>
                <w:kern w:val="0"/>
                <w:sz w:val="15"/>
                <w:szCs w:val="15"/>
                <w:highlight w:val="none"/>
              </w:rPr>
            </w:pPr>
          </w:p>
        </w:tc>
        <w:tc>
          <w:tcPr>
            <w:tcW w:w="1875" w:type="dxa"/>
            <w:gridSpan w:val="2"/>
            <w:noWrap w:val="0"/>
            <w:vAlign w:val="center"/>
          </w:tcPr>
          <w:p w14:paraId="5E6CCE28">
            <w:pPr>
              <w:spacing w:line="226" w:lineRule="exact"/>
              <w:ind w:left="6" w:hanging="21"/>
              <w:rPr>
                <w:rFonts w:ascii="宋体" w:hAnsi="宋体" w:eastAsia="宋体" w:cs="宋体"/>
                <w:color w:val="auto"/>
                <w:kern w:val="0"/>
                <w:sz w:val="15"/>
                <w:szCs w:val="15"/>
                <w:highlight w:val="none"/>
              </w:rPr>
            </w:pPr>
          </w:p>
        </w:tc>
        <w:tc>
          <w:tcPr>
            <w:tcW w:w="2020" w:type="dxa"/>
            <w:gridSpan w:val="2"/>
            <w:noWrap w:val="0"/>
            <w:vAlign w:val="center"/>
          </w:tcPr>
          <w:p w14:paraId="14869C3A">
            <w:pPr>
              <w:spacing w:line="226" w:lineRule="exact"/>
              <w:ind w:left="6" w:hanging="21"/>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按照法条规定执行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511620D5">
            <w:pPr>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c>
          <w:tcPr>
            <w:tcW w:w="1869" w:type="dxa"/>
            <w:noWrap w:val="0"/>
            <w:vAlign w:val="center"/>
          </w:tcPr>
          <w:p w14:paraId="3D25F281">
            <w:pPr>
              <w:spacing w:line="226"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C4623500</w:t>
            </w:r>
          </w:p>
        </w:tc>
      </w:tr>
      <w:tr w14:paraId="6A4B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40" w:hRule="atLeast"/>
        </w:trPr>
        <w:tc>
          <w:tcPr>
            <w:tcW w:w="714" w:type="dxa"/>
            <w:noWrap w:val="0"/>
            <w:vAlign w:val="center"/>
          </w:tcPr>
          <w:p w14:paraId="55CD0A08">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14:paraId="43AB5078">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拆改室内共用供热设施、扩大采暖面积、增加散热设备</w:t>
            </w:r>
          </w:p>
        </w:tc>
        <w:tc>
          <w:tcPr>
            <w:tcW w:w="2981" w:type="dxa"/>
            <w:vMerge w:val="restart"/>
            <w:noWrap w:val="0"/>
            <w:vAlign w:val="center"/>
          </w:tcPr>
          <w:p w14:paraId="61C8E4EB">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w:t>
            </w:r>
          </w:p>
          <w:p w14:paraId="6217250A">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处罚条款：第三十三条 责令限期改正，逾期未改正的，可以处500元以上5000元以下罚款。</w:t>
            </w:r>
          </w:p>
        </w:tc>
        <w:tc>
          <w:tcPr>
            <w:tcW w:w="851" w:type="dxa"/>
            <w:noWrap w:val="0"/>
            <w:vAlign w:val="center"/>
          </w:tcPr>
          <w:p w14:paraId="6BAA785D">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22F7916F">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8A0D565">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拆改行为明显影响到</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用户供暖效果的，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5；2.造成供暖中止等供暖事故的，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46C8FD7">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46CF664C">
            <w:pPr>
              <w:spacing w:line="226" w:lineRule="exact"/>
              <w:ind w:left="6" w:hanging="21"/>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noWrap w:val="0"/>
            <w:vAlign w:val="center"/>
          </w:tcPr>
          <w:p w14:paraId="32913BC0">
            <w:pPr>
              <w:spacing w:line="226"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5062157E">
            <w:pPr>
              <w:spacing w:line="226"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14:paraId="28FBC422">
            <w:pPr>
              <w:spacing w:line="226"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C4623600</w:t>
            </w:r>
          </w:p>
        </w:tc>
      </w:tr>
      <w:tr w14:paraId="3938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61" w:hRule="atLeast"/>
        </w:trPr>
        <w:tc>
          <w:tcPr>
            <w:tcW w:w="714" w:type="dxa"/>
            <w:noWrap w:val="0"/>
            <w:vAlign w:val="center"/>
          </w:tcPr>
          <w:p w14:paraId="2BAE6DD1">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14:paraId="01A9F000">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装饰装修房屋妨碍对供热设施进行维修养护</w:t>
            </w:r>
          </w:p>
        </w:tc>
        <w:tc>
          <w:tcPr>
            <w:tcW w:w="2981" w:type="dxa"/>
            <w:vMerge w:val="continue"/>
            <w:noWrap w:val="0"/>
            <w:vAlign w:val="center"/>
          </w:tcPr>
          <w:p w14:paraId="01EAC09A">
            <w:pPr>
              <w:spacing w:line="226" w:lineRule="exact"/>
              <w:ind w:left="6" w:hanging="21"/>
              <w:rPr>
                <w:rFonts w:ascii="宋体" w:hAnsi="宋体" w:eastAsia="宋体" w:cs="宋体"/>
                <w:color w:val="auto"/>
                <w:kern w:val="0"/>
                <w:sz w:val="15"/>
                <w:szCs w:val="15"/>
                <w:highlight w:val="none"/>
              </w:rPr>
            </w:pPr>
          </w:p>
        </w:tc>
        <w:tc>
          <w:tcPr>
            <w:tcW w:w="851" w:type="dxa"/>
            <w:noWrap w:val="0"/>
            <w:vAlign w:val="center"/>
          </w:tcPr>
          <w:p w14:paraId="110CD42A">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676B2FB">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F098C9D">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严重影响正常供暖的，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5；2.造成供暖事故的，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0DB6FED">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47263A35">
            <w:pPr>
              <w:spacing w:line="226" w:lineRule="exact"/>
              <w:ind w:left="6" w:hanging="21"/>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noWrap w:val="0"/>
            <w:vAlign w:val="center"/>
          </w:tcPr>
          <w:p w14:paraId="0AF4B957">
            <w:pPr>
              <w:spacing w:line="226" w:lineRule="exact"/>
              <w:ind w:left="6" w:hanging="21"/>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3BD35CE5">
            <w:pPr>
              <w:spacing w:line="226" w:lineRule="exact"/>
              <w:ind w:left="6" w:hanging="21"/>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14:paraId="7582C21A">
            <w:pPr>
              <w:spacing w:line="226" w:lineRule="exact"/>
              <w:ind w:left="6" w:hanging="21"/>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C4623700</w:t>
            </w:r>
          </w:p>
        </w:tc>
      </w:tr>
      <w:tr w14:paraId="07034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72" w:hRule="atLeast"/>
        </w:trPr>
        <w:tc>
          <w:tcPr>
            <w:tcW w:w="714" w:type="dxa"/>
            <w:noWrap w:val="0"/>
            <w:vAlign w:val="center"/>
          </w:tcPr>
          <w:p w14:paraId="11FD05E3">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14:paraId="3F067EC5">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擅自拆除、迁移、改建、变卖热源设施，影响用户采暖</w:t>
            </w:r>
          </w:p>
        </w:tc>
        <w:tc>
          <w:tcPr>
            <w:tcW w:w="2981" w:type="dxa"/>
            <w:noWrap w:val="0"/>
            <w:vAlign w:val="center"/>
          </w:tcPr>
          <w:p w14:paraId="77B37C3C">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w:t>
            </w:r>
          </w:p>
          <w:p w14:paraId="7193E592">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处罚条款：第三十四条 责令限期改正，并处5万元以上10万元以下罚款。</w:t>
            </w:r>
          </w:p>
        </w:tc>
        <w:tc>
          <w:tcPr>
            <w:tcW w:w="851" w:type="dxa"/>
            <w:noWrap w:val="0"/>
            <w:vAlign w:val="center"/>
          </w:tcPr>
          <w:p w14:paraId="3CF8D709">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14:paraId="1D499CE2">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7EFEE61">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明显影响采暖效果的，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0.5；2.造成供暖中止等供暖事故的，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C4DEC2C">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404CCFDE">
            <w:pPr>
              <w:spacing w:line="232" w:lineRule="exact"/>
              <w:ind w:left="6" w:hanging="21"/>
              <w:rPr>
                <w:rFonts w:ascii="宋体" w:hAnsi="宋体" w:eastAsia="宋体" w:cs="宋体"/>
                <w:color w:val="auto"/>
                <w:kern w:val="0"/>
                <w:sz w:val="15"/>
                <w:szCs w:val="15"/>
                <w:highlight w:val="none"/>
              </w:rPr>
            </w:pPr>
          </w:p>
        </w:tc>
        <w:tc>
          <w:tcPr>
            <w:tcW w:w="1304" w:type="dxa"/>
            <w:gridSpan w:val="2"/>
            <w:noWrap w:val="0"/>
            <w:vAlign w:val="center"/>
          </w:tcPr>
          <w:p w14:paraId="447DE558">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6D5EC267">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14:paraId="24BDAA95">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C4623800</w:t>
            </w:r>
          </w:p>
        </w:tc>
      </w:tr>
      <w:tr w14:paraId="74E4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54" w:hRule="atLeast"/>
        </w:trPr>
        <w:tc>
          <w:tcPr>
            <w:tcW w:w="714" w:type="dxa"/>
            <w:noWrap w:val="0"/>
            <w:vAlign w:val="center"/>
          </w:tcPr>
          <w:p w14:paraId="41DFB8B2">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14:paraId="7D93A8F3">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在地下热力管道安全间距范围内堆放物品，或者进行挖掘、取土、钻探、打桩、埋杆、栽植深根性植物和爆破作业</w:t>
            </w:r>
          </w:p>
        </w:tc>
        <w:tc>
          <w:tcPr>
            <w:tcW w:w="2981" w:type="dxa"/>
            <w:noWrap w:val="0"/>
            <w:vAlign w:val="center"/>
          </w:tcPr>
          <w:p w14:paraId="3F0CADC4">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违反条款：第二十四条第（二）项；</w:t>
            </w:r>
          </w:p>
          <w:p w14:paraId="44E312C6">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14:paraId="57507C83">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335EAB27">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EA33284">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9897123">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649C6BC7">
            <w:pPr>
              <w:spacing w:line="232" w:lineRule="exact"/>
              <w:ind w:left="6" w:hanging="21"/>
              <w:rPr>
                <w:rFonts w:ascii="宋体" w:hAnsi="宋体" w:eastAsia="宋体" w:cs="宋体"/>
                <w:color w:val="auto"/>
                <w:kern w:val="0"/>
                <w:sz w:val="15"/>
                <w:szCs w:val="15"/>
                <w:highlight w:val="none"/>
              </w:rPr>
            </w:pPr>
          </w:p>
        </w:tc>
        <w:tc>
          <w:tcPr>
            <w:tcW w:w="1304" w:type="dxa"/>
            <w:gridSpan w:val="2"/>
            <w:noWrap w:val="0"/>
            <w:vAlign w:val="center"/>
          </w:tcPr>
          <w:p w14:paraId="787C81CE">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2F71B776">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14:paraId="53107807">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C4623900</w:t>
            </w:r>
          </w:p>
        </w:tc>
      </w:tr>
      <w:tr w14:paraId="40DA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46" w:hRule="atLeast"/>
        </w:trPr>
        <w:tc>
          <w:tcPr>
            <w:tcW w:w="714" w:type="dxa"/>
            <w:noWrap w:val="0"/>
            <w:vAlign w:val="center"/>
          </w:tcPr>
          <w:p w14:paraId="173821F3">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14:paraId="751161C3">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向供热管沟内排放有毒、有害、易燃、易爆、易堵塞物品及雨水、污水、工业废液、垃圾</w:t>
            </w:r>
          </w:p>
        </w:tc>
        <w:tc>
          <w:tcPr>
            <w:tcW w:w="2981" w:type="dxa"/>
            <w:noWrap w:val="0"/>
            <w:vAlign w:val="center"/>
          </w:tcPr>
          <w:p w14:paraId="32F2A191">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违反条款：第二十四条第（三）项；</w:t>
            </w:r>
          </w:p>
          <w:p w14:paraId="1724B9CA">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14:paraId="2A2AA416">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0A88E70A">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CABB386">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BFA9A87">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74139E48">
            <w:pPr>
              <w:spacing w:line="232" w:lineRule="exact"/>
              <w:ind w:left="6" w:hanging="21"/>
              <w:rPr>
                <w:rFonts w:ascii="宋体" w:hAnsi="宋体" w:eastAsia="宋体" w:cs="宋体"/>
                <w:color w:val="auto"/>
                <w:kern w:val="0"/>
                <w:sz w:val="15"/>
                <w:szCs w:val="15"/>
                <w:highlight w:val="none"/>
              </w:rPr>
            </w:pPr>
          </w:p>
        </w:tc>
        <w:tc>
          <w:tcPr>
            <w:tcW w:w="1304" w:type="dxa"/>
            <w:gridSpan w:val="2"/>
            <w:noWrap w:val="0"/>
            <w:vAlign w:val="center"/>
          </w:tcPr>
          <w:p w14:paraId="49EC2083">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15BA49D1">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14:paraId="2F478541">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C4624000</w:t>
            </w:r>
          </w:p>
        </w:tc>
      </w:tr>
      <w:tr w14:paraId="2CC3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52" w:hRule="atLeast"/>
        </w:trPr>
        <w:tc>
          <w:tcPr>
            <w:tcW w:w="714" w:type="dxa"/>
            <w:noWrap w:val="0"/>
            <w:vAlign w:val="center"/>
          </w:tcPr>
          <w:p w14:paraId="3DA6EF8A">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14:paraId="1B19E545">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擅自接入供热管网</w:t>
            </w:r>
          </w:p>
        </w:tc>
        <w:tc>
          <w:tcPr>
            <w:tcW w:w="2981" w:type="dxa"/>
            <w:noWrap w:val="0"/>
            <w:vAlign w:val="center"/>
          </w:tcPr>
          <w:p w14:paraId="1A451234">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违反条款：第二十四条第（四）项；</w:t>
            </w:r>
          </w:p>
          <w:p w14:paraId="387CB690">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14:paraId="6F060A0C">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0CAB5F36">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FB7FC42">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B44751A">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2C18ABEA">
            <w:pPr>
              <w:spacing w:line="232" w:lineRule="exact"/>
              <w:ind w:left="6" w:hanging="21"/>
              <w:rPr>
                <w:rFonts w:ascii="宋体" w:hAnsi="宋体" w:eastAsia="宋体" w:cs="宋体"/>
                <w:color w:val="auto"/>
                <w:kern w:val="0"/>
                <w:sz w:val="15"/>
                <w:szCs w:val="15"/>
                <w:highlight w:val="none"/>
              </w:rPr>
            </w:pPr>
          </w:p>
        </w:tc>
        <w:tc>
          <w:tcPr>
            <w:tcW w:w="1304" w:type="dxa"/>
            <w:gridSpan w:val="2"/>
            <w:noWrap w:val="0"/>
            <w:vAlign w:val="center"/>
          </w:tcPr>
          <w:p w14:paraId="6EF6824F">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7A11EE2D">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14:paraId="26C2A67E">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C4624100</w:t>
            </w:r>
          </w:p>
        </w:tc>
      </w:tr>
      <w:tr w14:paraId="1D99C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62" w:hRule="atLeast"/>
        </w:trPr>
        <w:tc>
          <w:tcPr>
            <w:tcW w:w="714" w:type="dxa"/>
            <w:noWrap w:val="0"/>
            <w:vAlign w:val="center"/>
          </w:tcPr>
          <w:p w14:paraId="043D3657">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6" w:type="dxa"/>
            <w:gridSpan w:val="2"/>
            <w:noWrap w:val="0"/>
            <w:vAlign w:val="center"/>
          </w:tcPr>
          <w:p w14:paraId="40766F16">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擅自在室内采暖系统上安装危害系统安全的设备</w:t>
            </w:r>
          </w:p>
        </w:tc>
        <w:tc>
          <w:tcPr>
            <w:tcW w:w="2981" w:type="dxa"/>
            <w:noWrap w:val="0"/>
            <w:vAlign w:val="center"/>
          </w:tcPr>
          <w:p w14:paraId="20568E4D">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违反条款：第二十四条第（五）项；</w:t>
            </w:r>
          </w:p>
          <w:p w14:paraId="4CE57F9E">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14:paraId="5A99EF1A">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4E2427B1">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6BBD776">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1EABA18">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77D4D55C">
            <w:pPr>
              <w:spacing w:line="232" w:lineRule="exact"/>
              <w:ind w:left="6" w:hanging="21"/>
              <w:rPr>
                <w:rFonts w:ascii="宋体" w:hAnsi="宋体" w:eastAsia="宋体" w:cs="宋体"/>
                <w:color w:val="auto"/>
                <w:kern w:val="0"/>
                <w:sz w:val="15"/>
                <w:szCs w:val="15"/>
                <w:highlight w:val="none"/>
              </w:rPr>
            </w:pPr>
          </w:p>
        </w:tc>
        <w:tc>
          <w:tcPr>
            <w:tcW w:w="1304" w:type="dxa"/>
            <w:gridSpan w:val="2"/>
            <w:noWrap w:val="0"/>
            <w:vAlign w:val="center"/>
          </w:tcPr>
          <w:p w14:paraId="4A4A167F">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6834EACA">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14:paraId="71E2AC7B">
            <w:pPr>
              <w:keepNext w:val="0"/>
              <w:keepLines w:val="0"/>
              <w:widowControl w:val="0"/>
              <w:suppressLineNumbers w:val="0"/>
              <w:spacing w:before="0" w:beforeAutospacing="0" w:after="0" w:afterAutospacing="0" w:line="232" w:lineRule="exact"/>
              <w:ind w:left="0" w:right="0"/>
              <w:jc w:val="center"/>
              <w:rPr>
                <w:rFonts w:hint="eastAsia" w:ascii="宋体" w:hAnsi="宋体" w:eastAsia="宋体" w:cs="仿宋_GB2312"/>
                <w:color w:val="auto"/>
                <w:kern w:val="0"/>
                <w:sz w:val="15"/>
                <w:szCs w:val="15"/>
                <w:highlight w:val="none"/>
              </w:rPr>
            </w:pPr>
            <w:r>
              <w:rPr>
                <w:rFonts w:hint="eastAsia" w:ascii="宋体" w:hAnsi="宋体" w:eastAsia="宋体" w:cs="宋体"/>
                <w:kern w:val="0"/>
                <w:sz w:val="15"/>
                <w:szCs w:val="15"/>
                <w:highlight w:val="none"/>
                <w:lang w:val="en-US" w:eastAsia="zh-CN" w:bidi="ar"/>
              </w:rPr>
              <w:t>C4624200</w:t>
            </w:r>
          </w:p>
        </w:tc>
      </w:tr>
      <w:tr w14:paraId="73401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94" w:hRule="atLeast"/>
        </w:trPr>
        <w:tc>
          <w:tcPr>
            <w:tcW w:w="714" w:type="dxa"/>
            <w:noWrap w:val="0"/>
            <w:vAlign w:val="center"/>
          </w:tcPr>
          <w:p w14:paraId="408DB22B">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noWrap w:val="0"/>
            <w:vAlign w:val="center"/>
          </w:tcPr>
          <w:p w14:paraId="2AD4FB27">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擅自排放或者取用管道内热水或蒸汽</w:t>
            </w:r>
          </w:p>
        </w:tc>
        <w:tc>
          <w:tcPr>
            <w:tcW w:w="2981" w:type="dxa"/>
            <w:noWrap w:val="0"/>
            <w:vAlign w:val="center"/>
          </w:tcPr>
          <w:p w14:paraId="18A7C643">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违反条款：第二十四条第（六）项；</w:t>
            </w:r>
          </w:p>
          <w:p w14:paraId="1BA976B9">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14:paraId="50DEA7D6">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10E72EB6">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1816B61">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40F9E35">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3C3A3D1F">
            <w:pPr>
              <w:spacing w:line="232" w:lineRule="exact"/>
              <w:ind w:left="6" w:hanging="21"/>
              <w:rPr>
                <w:rFonts w:ascii="宋体" w:hAnsi="宋体" w:eastAsia="宋体" w:cs="宋体"/>
                <w:color w:val="auto"/>
                <w:kern w:val="0"/>
                <w:sz w:val="15"/>
                <w:szCs w:val="15"/>
                <w:highlight w:val="none"/>
              </w:rPr>
            </w:pPr>
          </w:p>
        </w:tc>
        <w:tc>
          <w:tcPr>
            <w:tcW w:w="1304" w:type="dxa"/>
            <w:gridSpan w:val="2"/>
            <w:noWrap w:val="0"/>
            <w:vAlign w:val="center"/>
          </w:tcPr>
          <w:p w14:paraId="39B3E666">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0AB9B261">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14:paraId="09CE58E6">
            <w:pPr>
              <w:keepNext w:val="0"/>
              <w:keepLines w:val="0"/>
              <w:widowControl w:val="0"/>
              <w:suppressLineNumbers w:val="0"/>
              <w:spacing w:before="0" w:beforeAutospacing="0" w:after="0" w:afterAutospacing="0" w:line="232" w:lineRule="exact"/>
              <w:ind w:left="0" w:right="0"/>
              <w:jc w:val="center"/>
              <w:rPr>
                <w:rFonts w:hint="eastAsia" w:ascii="宋体" w:hAnsi="宋体" w:eastAsia="宋体" w:cs="仿宋_GB2312"/>
                <w:color w:val="auto"/>
                <w:kern w:val="0"/>
                <w:sz w:val="15"/>
                <w:szCs w:val="15"/>
                <w:highlight w:val="none"/>
              </w:rPr>
            </w:pPr>
            <w:r>
              <w:rPr>
                <w:rFonts w:hint="eastAsia" w:ascii="宋体" w:hAnsi="宋体" w:eastAsia="宋体" w:cs="宋体"/>
                <w:kern w:val="0"/>
                <w:sz w:val="15"/>
                <w:szCs w:val="15"/>
                <w:highlight w:val="none"/>
                <w:lang w:val="en-US" w:eastAsia="zh-CN" w:bidi="ar"/>
              </w:rPr>
              <w:t>C4624300</w:t>
            </w:r>
          </w:p>
        </w:tc>
      </w:tr>
      <w:tr w14:paraId="44DA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21" w:hRule="atLeast"/>
        </w:trPr>
        <w:tc>
          <w:tcPr>
            <w:tcW w:w="714" w:type="dxa"/>
            <w:noWrap w:val="0"/>
            <w:vAlign w:val="center"/>
          </w:tcPr>
          <w:p w14:paraId="7EEE650F">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6" w:type="dxa"/>
            <w:gridSpan w:val="2"/>
            <w:noWrap w:val="0"/>
            <w:vAlign w:val="center"/>
          </w:tcPr>
          <w:p w14:paraId="09CA44B6">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擅自拆除、毁损警示标志</w:t>
            </w:r>
          </w:p>
        </w:tc>
        <w:tc>
          <w:tcPr>
            <w:tcW w:w="2981" w:type="dxa"/>
            <w:noWrap w:val="0"/>
            <w:vAlign w:val="center"/>
          </w:tcPr>
          <w:p w14:paraId="5C42F446">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违反条款：第二十四条第（七）项；</w:t>
            </w:r>
          </w:p>
          <w:p w14:paraId="3333F9BC">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处罚条款：第三十五条第三款；处罚内容：责令改正，可以处500元以上1000元以下罚款。</w:t>
            </w:r>
          </w:p>
        </w:tc>
        <w:tc>
          <w:tcPr>
            <w:tcW w:w="851" w:type="dxa"/>
            <w:noWrap w:val="0"/>
            <w:vAlign w:val="center"/>
          </w:tcPr>
          <w:p w14:paraId="3A9D3792">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16B83FE5">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CEF1DFD">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AE3F98C">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7505AB1C">
            <w:pPr>
              <w:spacing w:line="232" w:lineRule="exact"/>
              <w:ind w:left="6" w:hanging="21"/>
              <w:rPr>
                <w:rFonts w:ascii="宋体" w:hAnsi="宋体" w:eastAsia="宋体" w:cs="宋体"/>
                <w:color w:val="auto"/>
                <w:kern w:val="0"/>
                <w:sz w:val="15"/>
                <w:szCs w:val="15"/>
                <w:highlight w:val="none"/>
              </w:rPr>
            </w:pPr>
          </w:p>
        </w:tc>
        <w:tc>
          <w:tcPr>
            <w:tcW w:w="1304" w:type="dxa"/>
            <w:gridSpan w:val="2"/>
            <w:noWrap w:val="0"/>
            <w:vAlign w:val="center"/>
          </w:tcPr>
          <w:p w14:paraId="02D46773">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7BC8FC2E">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14:paraId="311298F1">
            <w:pPr>
              <w:keepNext w:val="0"/>
              <w:keepLines w:val="0"/>
              <w:widowControl w:val="0"/>
              <w:suppressLineNumbers w:val="0"/>
              <w:spacing w:before="0" w:beforeAutospacing="0" w:after="0" w:afterAutospacing="0" w:line="232" w:lineRule="exact"/>
              <w:ind w:left="0" w:right="0"/>
              <w:jc w:val="center"/>
              <w:rPr>
                <w:rFonts w:hint="eastAsia" w:ascii="宋体" w:hAnsi="宋体" w:eastAsia="宋体" w:cs="仿宋_GB2312"/>
                <w:color w:val="auto"/>
                <w:kern w:val="0"/>
                <w:sz w:val="15"/>
                <w:szCs w:val="15"/>
                <w:highlight w:val="none"/>
              </w:rPr>
            </w:pPr>
            <w:r>
              <w:rPr>
                <w:rFonts w:hint="eastAsia" w:ascii="宋体" w:hAnsi="宋体" w:eastAsia="宋体" w:cs="宋体"/>
                <w:kern w:val="0"/>
                <w:sz w:val="15"/>
                <w:szCs w:val="15"/>
                <w:highlight w:val="none"/>
                <w:lang w:val="en-US" w:eastAsia="zh-CN" w:bidi="ar"/>
              </w:rPr>
              <w:t>C4624400</w:t>
            </w:r>
          </w:p>
        </w:tc>
      </w:tr>
      <w:tr w14:paraId="0C10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16" w:hRule="atLeast"/>
        </w:trPr>
        <w:tc>
          <w:tcPr>
            <w:tcW w:w="714" w:type="dxa"/>
            <w:noWrap w:val="0"/>
            <w:vAlign w:val="center"/>
          </w:tcPr>
          <w:p w14:paraId="3720AAEE">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6" w:type="dxa"/>
            <w:gridSpan w:val="2"/>
            <w:noWrap w:val="0"/>
            <w:vAlign w:val="center"/>
          </w:tcPr>
          <w:p w14:paraId="09F54936">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擅自操作、拆除共用供热阀门，损坏共用阀门的铅封，改动或者损坏供热计量仪表及其附件等</w:t>
            </w:r>
          </w:p>
        </w:tc>
        <w:tc>
          <w:tcPr>
            <w:tcW w:w="2981" w:type="dxa"/>
            <w:noWrap w:val="0"/>
            <w:vAlign w:val="center"/>
          </w:tcPr>
          <w:p w14:paraId="702B0476">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违反条款：第二十四条第（八）项；</w:t>
            </w:r>
          </w:p>
          <w:p w14:paraId="325653A7">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处罚条款：第三十五条第三款；处罚内容：责令改正，可以处500元以上1000元以下罚款。</w:t>
            </w:r>
          </w:p>
        </w:tc>
        <w:tc>
          <w:tcPr>
            <w:tcW w:w="851" w:type="dxa"/>
            <w:noWrap w:val="0"/>
            <w:vAlign w:val="center"/>
          </w:tcPr>
          <w:p w14:paraId="03C56051">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20C75B4F">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861B2AF">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51524E7">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33972EDB">
            <w:pPr>
              <w:spacing w:line="232" w:lineRule="exact"/>
              <w:ind w:left="6" w:hanging="23"/>
              <w:rPr>
                <w:rFonts w:ascii="宋体" w:hAnsi="宋体" w:eastAsia="宋体" w:cs="宋体"/>
                <w:color w:val="auto"/>
                <w:kern w:val="0"/>
                <w:sz w:val="15"/>
                <w:szCs w:val="15"/>
                <w:highlight w:val="none"/>
              </w:rPr>
            </w:pPr>
          </w:p>
        </w:tc>
        <w:tc>
          <w:tcPr>
            <w:tcW w:w="1304" w:type="dxa"/>
            <w:gridSpan w:val="2"/>
            <w:noWrap w:val="0"/>
            <w:vAlign w:val="center"/>
          </w:tcPr>
          <w:p w14:paraId="41DDA64B">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6E781618">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14:paraId="074DC950">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仿宋_GB2312"/>
                <w:color w:val="auto"/>
                <w:kern w:val="0"/>
                <w:sz w:val="15"/>
                <w:szCs w:val="15"/>
                <w:highlight w:val="none"/>
              </w:rPr>
            </w:pPr>
            <w:r>
              <w:rPr>
                <w:rFonts w:hint="eastAsia" w:ascii="宋体" w:hAnsi="宋体" w:eastAsia="宋体" w:cs="宋体"/>
                <w:kern w:val="0"/>
                <w:sz w:val="15"/>
                <w:szCs w:val="15"/>
                <w:highlight w:val="none"/>
                <w:lang w:val="en-US" w:eastAsia="zh-CN" w:bidi="ar"/>
              </w:rPr>
              <w:t>C4624500</w:t>
            </w:r>
          </w:p>
        </w:tc>
      </w:tr>
      <w:tr w14:paraId="5CF53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33" w:hRule="atLeast"/>
        </w:trPr>
        <w:tc>
          <w:tcPr>
            <w:tcW w:w="714" w:type="dxa"/>
            <w:noWrap w:val="0"/>
            <w:vAlign w:val="center"/>
          </w:tcPr>
          <w:p w14:paraId="0F7E1E7E">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626" w:type="dxa"/>
            <w:gridSpan w:val="2"/>
            <w:noWrap w:val="0"/>
            <w:vAlign w:val="center"/>
          </w:tcPr>
          <w:p w14:paraId="46E13973">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shd w:val="clear" w:color="auto" w:fill="auto"/>
              </w:rPr>
              <w:t>危害</w:t>
            </w:r>
            <w:r>
              <w:rPr>
                <w:rFonts w:hint="eastAsia" w:ascii="宋体" w:hAnsi="宋体" w:eastAsia="宋体" w:cs="宋体"/>
                <w:color w:val="auto"/>
                <w:kern w:val="0"/>
                <w:sz w:val="15"/>
                <w:szCs w:val="15"/>
                <w:highlight w:val="none"/>
              </w:rPr>
              <w:t>、损坏供热设施的行为</w:t>
            </w:r>
          </w:p>
        </w:tc>
        <w:tc>
          <w:tcPr>
            <w:tcW w:w="2981" w:type="dxa"/>
            <w:noWrap w:val="0"/>
            <w:vAlign w:val="center"/>
          </w:tcPr>
          <w:p w14:paraId="0AA9B850">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违反条款：第二十四条第（九）项；</w:t>
            </w:r>
          </w:p>
          <w:p w14:paraId="095E4FBB">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14:paraId="6401BDED">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58290421">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FDFC4F0">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C46DAFC">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226E37A2">
            <w:pPr>
              <w:spacing w:line="232" w:lineRule="exact"/>
              <w:ind w:left="6" w:hanging="23"/>
              <w:rPr>
                <w:rFonts w:ascii="宋体" w:hAnsi="宋体" w:eastAsia="宋体" w:cs="宋体"/>
                <w:color w:val="auto"/>
                <w:kern w:val="0"/>
                <w:sz w:val="15"/>
                <w:szCs w:val="15"/>
                <w:highlight w:val="none"/>
              </w:rPr>
            </w:pPr>
          </w:p>
        </w:tc>
        <w:tc>
          <w:tcPr>
            <w:tcW w:w="1304" w:type="dxa"/>
            <w:gridSpan w:val="2"/>
            <w:noWrap w:val="0"/>
            <w:vAlign w:val="center"/>
          </w:tcPr>
          <w:p w14:paraId="29E9EEB5">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33D0B25F">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14:paraId="093BBB44">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仿宋_GB2312"/>
                <w:color w:val="auto"/>
                <w:kern w:val="0"/>
                <w:sz w:val="15"/>
                <w:szCs w:val="15"/>
                <w:highlight w:val="none"/>
              </w:rPr>
            </w:pPr>
            <w:r>
              <w:rPr>
                <w:rFonts w:hint="eastAsia" w:ascii="宋体" w:hAnsi="宋体" w:eastAsia="宋体" w:cs="宋体"/>
                <w:kern w:val="0"/>
                <w:sz w:val="15"/>
                <w:szCs w:val="15"/>
                <w:highlight w:val="none"/>
                <w:lang w:val="en-US" w:eastAsia="zh-CN" w:bidi="ar"/>
              </w:rPr>
              <w:t>C4624600</w:t>
            </w:r>
          </w:p>
        </w:tc>
      </w:tr>
      <w:tr w14:paraId="4714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82" w:hRule="atLeast"/>
        </w:trPr>
        <w:tc>
          <w:tcPr>
            <w:tcW w:w="14587" w:type="dxa"/>
            <w:gridSpan w:val="13"/>
            <w:noWrap w:val="0"/>
            <w:vAlign w:val="center"/>
          </w:tcPr>
          <w:p w14:paraId="3AAFC673">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80" w:name="_Toc984069521"/>
            <w:bookmarkStart w:id="81" w:name="_Toc745697621"/>
            <w:bookmarkStart w:id="82" w:name="_Toc110851462"/>
            <w:r>
              <w:rPr>
                <w:rFonts w:hint="eastAsia" w:ascii="宋体" w:hAnsi="宋体" w:eastAsia="宋体"/>
                <w:color w:val="auto"/>
                <w:sz w:val="21"/>
                <w:szCs w:val="21"/>
                <w:highlight w:val="none"/>
              </w:rPr>
              <w:t>《北京市民用建筑节能管理办法》案由2项</w:t>
            </w:r>
            <w:bookmarkEnd w:id="80"/>
            <w:bookmarkEnd w:id="81"/>
            <w:bookmarkEnd w:id="82"/>
          </w:p>
        </w:tc>
        <w:tc>
          <w:tcPr>
            <w:tcW w:w="1869" w:type="dxa"/>
            <w:noWrap w:val="0"/>
            <w:vAlign w:val="center"/>
          </w:tcPr>
          <w:p w14:paraId="7C397F9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14:paraId="0153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37" w:hRule="atLeast"/>
        </w:trPr>
        <w:tc>
          <w:tcPr>
            <w:tcW w:w="714" w:type="dxa"/>
            <w:vMerge w:val="restart"/>
            <w:noWrap w:val="0"/>
            <w:vAlign w:val="center"/>
          </w:tcPr>
          <w:p w14:paraId="53E17E4B">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vMerge w:val="restart"/>
            <w:noWrap w:val="0"/>
            <w:vAlign w:val="center"/>
          </w:tcPr>
          <w:p w14:paraId="25E66B0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损坏供热计量装置与调控系统</w:t>
            </w:r>
          </w:p>
        </w:tc>
        <w:tc>
          <w:tcPr>
            <w:tcW w:w="2981" w:type="dxa"/>
            <w:vMerge w:val="restart"/>
            <w:noWrap w:val="0"/>
            <w:vAlign w:val="center"/>
          </w:tcPr>
          <w:p w14:paraId="28A99A6F">
            <w:pPr>
              <w:spacing w:line="232" w:lineRule="exact"/>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违反条款：第三十三条；</w:t>
            </w:r>
          </w:p>
          <w:p w14:paraId="18D5A36E">
            <w:pPr>
              <w:spacing w:line="232" w:lineRule="exact"/>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处罚条款：第四十二条，责令改正，可处500元以上1000元以下罚款；情节严重，影响正常供热的，可处1000元以上1万元以下罚款。</w:t>
            </w:r>
          </w:p>
        </w:tc>
        <w:tc>
          <w:tcPr>
            <w:tcW w:w="851" w:type="dxa"/>
            <w:noWrap w:val="0"/>
            <w:vAlign w:val="center"/>
          </w:tcPr>
          <w:p w14:paraId="2FC1EF2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14:paraId="4D8CDCE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6565A48C">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1B277F9">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p>
        </w:tc>
        <w:tc>
          <w:tcPr>
            <w:tcW w:w="2020" w:type="dxa"/>
            <w:gridSpan w:val="2"/>
            <w:noWrap w:val="0"/>
            <w:vAlign w:val="center"/>
          </w:tcPr>
          <w:p w14:paraId="7FFCEEE0">
            <w:pPr>
              <w:spacing w:line="232" w:lineRule="exact"/>
              <w:jc w:val="center"/>
              <w:rPr>
                <w:rFonts w:ascii="宋体" w:hAnsi="宋体" w:eastAsia="宋体"/>
                <w:color w:val="auto"/>
                <w:sz w:val="15"/>
                <w:szCs w:val="15"/>
                <w:highlight w:val="none"/>
              </w:rPr>
            </w:pPr>
          </w:p>
        </w:tc>
        <w:tc>
          <w:tcPr>
            <w:tcW w:w="1304" w:type="dxa"/>
            <w:gridSpan w:val="2"/>
            <w:noWrap w:val="0"/>
            <w:vAlign w:val="center"/>
          </w:tcPr>
          <w:p w14:paraId="5C5F6366">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69E60D6F">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c>
          <w:tcPr>
            <w:tcW w:w="1869" w:type="dxa"/>
            <w:vMerge w:val="restart"/>
            <w:noWrap w:val="0"/>
            <w:vAlign w:val="center"/>
          </w:tcPr>
          <w:p w14:paraId="71ABD42D">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仿宋_GB2312"/>
                <w:color w:val="auto"/>
                <w:kern w:val="0"/>
                <w:sz w:val="15"/>
                <w:szCs w:val="15"/>
                <w:highlight w:val="none"/>
              </w:rPr>
            </w:pPr>
            <w:r>
              <w:rPr>
                <w:rFonts w:hint="eastAsia" w:ascii="宋体" w:hAnsi="宋体" w:eastAsia="宋体" w:cs="宋体"/>
                <w:kern w:val="0"/>
                <w:sz w:val="15"/>
                <w:szCs w:val="15"/>
                <w:highlight w:val="none"/>
                <w:lang w:val="en-US" w:eastAsia="zh-CN" w:bidi="ar"/>
              </w:rPr>
              <w:t>C4624700</w:t>
            </w:r>
          </w:p>
        </w:tc>
      </w:tr>
      <w:tr w14:paraId="1572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20" w:hRule="atLeast"/>
        </w:trPr>
        <w:tc>
          <w:tcPr>
            <w:tcW w:w="714" w:type="dxa"/>
            <w:vMerge w:val="continue"/>
            <w:noWrap w:val="0"/>
            <w:vAlign w:val="center"/>
          </w:tcPr>
          <w:p w14:paraId="09E67C05">
            <w:pPr>
              <w:spacing w:line="232" w:lineRule="exact"/>
              <w:ind w:left="6" w:hanging="21"/>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70B999B1">
            <w:pPr>
              <w:spacing w:line="232" w:lineRule="exact"/>
              <w:rPr>
                <w:rFonts w:ascii="宋体" w:hAnsi="宋体" w:eastAsia="宋体" w:cs="宋体"/>
                <w:color w:val="auto"/>
                <w:sz w:val="15"/>
                <w:szCs w:val="15"/>
                <w:highlight w:val="none"/>
              </w:rPr>
            </w:pPr>
          </w:p>
        </w:tc>
        <w:tc>
          <w:tcPr>
            <w:tcW w:w="2981" w:type="dxa"/>
            <w:vMerge w:val="continue"/>
            <w:noWrap w:val="0"/>
            <w:vAlign w:val="center"/>
          </w:tcPr>
          <w:p w14:paraId="69ABCFC4">
            <w:pPr>
              <w:spacing w:line="232" w:lineRule="exact"/>
              <w:rPr>
                <w:rFonts w:ascii="宋体" w:hAnsi="宋体" w:eastAsia="宋体" w:cs="宋体"/>
                <w:color w:val="auto"/>
                <w:sz w:val="15"/>
                <w:szCs w:val="15"/>
                <w:highlight w:val="none"/>
              </w:rPr>
            </w:pPr>
          </w:p>
        </w:tc>
        <w:tc>
          <w:tcPr>
            <w:tcW w:w="851" w:type="dxa"/>
            <w:noWrap w:val="0"/>
            <w:vAlign w:val="center"/>
          </w:tcPr>
          <w:p w14:paraId="140EA32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noWrap w:val="0"/>
            <w:vAlign w:val="center"/>
          </w:tcPr>
          <w:p w14:paraId="4E262C2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42F359B8">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7F955A2">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p>
        </w:tc>
        <w:tc>
          <w:tcPr>
            <w:tcW w:w="2020" w:type="dxa"/>
            <w:gridSpan w:val="2"/>
            <w:noWrap w:val="0"/>
            <w:vAlign w:val="center"/>
          </w:tcPr>
          <w:p w14:paraId="611854B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影响正常供热的，适用此档处罚。</w:t>
            </w:r>
          </w:p>
        </w:tc>
        <w:tc>
          <w:tcPr>
            <w:tcW w:w="1304" w:type="dxa"/>
            <w:gridSpan w:val="2"/>
            <w:noWrap w:val="0"/>
            <w:vAlign w:val="center"/>
          </w:tcPr>
          <w:p w14:paraId="5D90CF93">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703A3CB1">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c>
          <w:tcPr>
            <w:tcW w:w="1869" w:type="dxa"/>
            <w:vMerge w:val="continue"/>
            <w:noWrap w:val="0"/>
            <w:vAlign w:val="center"/>
          </w:tcPr>
          <w:p w14:paraId="5A29A0F0">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仿宋_GB2312"/>
                <w:color w:val="auto"/>
                <w:kern w:val="0"/>
                <w:sz w:val="15"/>
                <w:szCs w:val="15"/>
                <w:highlight w:val="none"/>
              </w:rPr>
            </w:pPr>
          </w:p>
        </w:tc>
      </w:tr>
      <w:tr w14:paraId="5B0E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33" w:hRule="atLeast"/>
        </w:trPr>
        <w:tc>
          <w:tcPr>
            <w:tcW w:w="714" w:type="dxa"/>
            <w:noWrap w:val="0"/>
            <w:vAlign w:val="center"/>
          </w:tcPr>
          <w:p w14:paraId="7A08853D">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14:paraId="0DAF9988">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供热单位不实行供热计量的</w:t>
            </w:r>
          </w:p>
        </w:tc>
        <w:tc>
          <w:tcPr>
            <w:tcW w:w="2981" w:type="dxa"/>
            <w:noWrap w:val="0"/>
            <w:vAlign w:val="center"/>
          </w:tcPr>
          <w:p w14:paraId="7F0CA46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违反条款：第三十五条第一款；</w:t>
            </w:r>
          </w:p>
          <w:p w14:paraId="6C3B7054">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处罚条款：第四十四条，限期整改，逾期不改正的，处3万元罚款。</w:t>
            </w:r>
          </w:p>
        </w:tc>
        <w:tc>
          <w:tcPr>
            <w:tcW w:w="851" w:type="dxa"/>
            <w:noWrap w:val="0"/>
            <w:vAlign w:val="center"/>
          </w:tcPr>
          <w:p w14:paraId="4410245A">
            <w:pPr>
              <w:spacing w:line="232" w:lineRule="exact"/>
              <w:ind w:left="6" w:hanging="21"/>
              <w:rPr>
                <w:rFonts w:ascii="宋体" w:hAnsi="宋体" w:eastAsia="宋体" w:cs="宋体"/>
                <w:color w:val="auto"/>
                <w:kern w:val="0"/>
                <w:sz w:val="15"/>
                <w:szCs w:val="15"/>
                <w:highlight w:val="none"/>
              </w:rPr>
            </w:pPr>
          </w:p>
        </w:tc>
        <w:tc>
          <w:tcPr>
            <w:tcW w:w="840" w:type="dxa"/>
            <w:noWrap w:val="0"/>
            <w:vAlign w:val="center"/>
          </w:tcPr>
          <w:p w14:paraId="27170F29">
            <w:pPr>
              <w:spacing w:line="232" w:lineRule="exact"/>
              <w:ind w:left="6" w:hanging="21"/>
              <w:jc w:val="center"/>
              <w:rPr>
                <w:rFonts w:ascii="宋体" w:hAnsi="宋体" w:eastAsia="宋体" w:cs="宋体"/>
                <w:color w:val="auto"/>
                <w:kern w:val="0"/>
                <w:sz w:val="15"/>
                <w:szCs w:val="15"/>
                <w:highlight w:val="none"/>
              </w:rPr>
            </w:pPr>
          </w:p>
        </w:tc>
        <w:tc>
          <w:tcPr>
            <w:tcW w:w="2376" w:type="dxa"/>
            <w:noWrap w:val="0"/>
            <w:vAlign w:val="center"/>
          </w:tcPr>
          <w:p w14:paraId="4B1C83B9">
            <w:pPr>
              <w:spacing w:line="232" w:lineRule="exact"/>
              <w:ind w:left="6" w:hanging="21"/>
              <w:rPr>
                <w:rFonts w:ascii="宋体" w:hAnsi="宋体" w:eastAsia="宋体" w:cs="宋体"/>
                <w:color w:val="auto"/>
                <w:kern w:val="0"/>
                <w:sz w:val="15"/>
                <w:szCs w:val="15"/>
                <w:highlight w:val="none"/>
              </w:rPr>
            </w:pPr>
          </w:p>
        </w:tc>
        <w:tc>
          <w:tcPr>
            <w:tcW w:w="1875" w:type="dxa"/>
            <w:gridSpan w:val="2"/>
            <w:noWrap w:val="0"/>
            <w:vAlign w:val="center"/>
          </w:tcPr>
          <w:p w14:paraId="218CF2BB">
            <w:pPr>
              <w:spacing w:line="232" w:lineRule="exact"/>
              <w:ind w:left="6" w:hanging="21"/>
              <w:rPr>
                <w:rFonts w:ascii="宋体" w:hAnsi="宋体" w:eastAsia="宋体" w:cs="宋体"/>
                <w:color w:val="auto"/>
                <w:kern w:val="0"/>
                <w:sz w:val="15"/>
                <w:szCs w:val="15"/>
                <w:highlight w:val="none"/>
              </w:rPr>
            </w:pPr>
          </w:p>
        </w:tc>
        <w:tc>
          <w:tcPr>
            <w:tcW w:w="2020" w:type="dxa"/>
            <w:gridSpan w:val="2"/>
            <w:noWrap w:val="0"/>
            <w:vAlign w:val="center"/>
          </w:tcPr>
          <w:p w14:paraId="3FB069C3">
            <w:pPr>
              <w:spacing w:line="232" w:lineRule="exact"/>
              <w:ind w:left="6" w:hanging="21"/>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31C38A10">
            <w:pPr>
              <w:spacing w:line="232"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区级</w:t>
            </w:r>
          </w:p>
          <w:p w14:paraId="5EDF0F1B">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sz w:val="15"/>
                <w:szCs w:val="15"/>
                <w:highlight w:val="none"/>
              </w:rPr>
              <w:t>街道乡镇</w:t>
            </w:r>
          </w:p>
        </w:tc>
        <w:tc>
          <w:tcPr>
            <w:tcW w:w="1869" w:type="dxa"/>
            <w:noWrap w:val="0"/>
            <w:vAlign w:val="center"/>
          </w:tcPr>
          <w:p w14:paraId="71781BE2">
            <w:pPr>
              <w:keepNext w:val="0"/>
              <w:keepLines w:val="0"/>
              <w:widowControl w:val="0"/>
              <w:suppressLineNumbers w:val="0"/>
              <w:spacing w:before="0" w:beforeAutospacing="0" w:after="0" w:afterAutospacing="0" w:line="232" w:lineRule="exact"/>
              <w:ind w:left="0" w:right="0"/>
              <w:jc w:val="center"/>
              <w:rPr>
                <w:rFonts w:hint="eastAsia" w:ascii="宋体" w:hAnsi="宋体" w:eastAsia="宋体" w:cs="仿宋_GB2312"/>
                <w:color w:val="auto"/>
                <w:sz w:val="15"/>
                <w:szCs w:val="15"/>
                <w:highlight w:val="none"/>
              </w:rPr>
            </w:pPr>
            <w:r>
              <w:rPr>
                <w:rFonts w:hint="eastAsia" w:ascii="宋体" w:hAnsi="宋体" w:eastAsia="宋体" w:cs="宋体"/>
                <w:kern w:val="2"/>
                <w:sz w:val="15"/>
                <w:szCs w:val="15"/>
                <w:highlight w:val="none"/>
                <w:lang w:val="en-US" w:eastAsia="zh-CN" w:bidi="ar"/>
              </w:rPr>
              <w:t>C4624800</w:t>
            </w:r>
          </w:p>
        </w:tc>
      </w:tr>
      <w:tr w14:paraId="6BA63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62" w:hRule="atLeast"/>
        </w:trPr>
        <w:tc>
          <w:tcPr>
            <w:tcW w:w="14587" w:type="dxa"/>
            <w:gridSpan w:val="13"/>
            <w:noWrap w:val="0"/>
            <w:vAlign w:val="center"/>
          </w:tcPr>
          <w:p w14:paraId="550790BB">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bookmarkStart w:id="83" w:name="_Toc636329439"/>
            <w:bookmarkStart w:id="84" w:name="_Toc1458478113"/>
            <w:bookmarkStart w:id="85" w:name="_Toc2100881276"/>
            <w:bookmarkStart w:id="86" w:name="_Toc110851463"/>
            <w:r>
              <w:rPr>
                <w:rFonts w:hint="eastAsia" w:ascii="宋体" w:hAnsi="宋体" w:eastAsia="宋体" w:cs="宋体"/>
                <w:color w:val="auto"/>
                <w:sz w:val="21"/>
                <w:szCs w:val="21"/>
                <w:highlight w:val="none"/>
                <w:lang w:val="en-US" w:eastAsia="zh-CN"/>
              </w:rPr>
              <w:t>《北京市建筑绿色发展条例》案由1项</w:t>
            </w:r>
            <w:bookmarkEnd w:id="83"/>
            <w:bookmarkEnd w:id="84"/>
          </w:p>
        </w:tc>
        <w:tc>
          <w:tcPr>
            <w:tcW w:w="1869" w:type="dxa"/>
            <w:noWrap w:val="0"/>
            <w:vAlign w:val="center"/>
          </w:tcPr>
          <w:p w14:paraId="04F6758E">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p>
        </w:tc>
      </w:tr>
      <w:tr w14:paraId="1C8E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33" w:hRule="atLeast"/>
        </w:trPr>
        <w:tc>
          <w:tcPr>
            <w:tcW w:w="714" w:type="dxa"/>
            <w:noWrap w:val="0"/>
            <w:vAlign w:val="center"/>
          </w:tcPr>
          <w:p w14:paraId="7A813099">
            <w:pPr>
              <w:spacing w:line="232" w:lineRule="exact"/>
              <w:ind w:left="6" w:leftChars="0" w:hanging="21" w:firstLineChars="0"/>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p>
        </w:tc>
        <w:tc>
          <w:tcPr>
            <w:tcW w:w="1626" w:type="dxa"/>
            <w:gridSpan w:val="2"/>
            <w:noWrap w:val="0"/>
            <w:vAlign w:val="center"/>
          </w:tcPr>
          <w:p w14:paraId="51F61F96">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供电、供气、供热单位未按照规定报送结算数据</w:t>
            </w:r>
          </w:p>
        </w:tc>
        <w:tc>
          <w:tcPr>
            <w:tcW w:w="2981" w:type="dxa"/>
            <w:noWrap w:val="0"/>
            <w:vAlign w:val="center"/>
          </w:tcPr>
          <w:p w14:paraId="3FF7DAE1">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违反条款：第二十六条第三款</w:t>
            </w:r>
          </w:p>
          <w:p w14:paraId="59AD97AA">
            <w:pPr>
              <w:pStyle w:val="8"/>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处罚条款：第五十八条，责令限期改正。</w:t>
            </w:r>
          </w:p>
        </w:tc>
        <w:tc>
          <w:tcPr>
            <w:tcW w:w="851" w:type="dxa"/>
            <w:noWrap w:val="0"/>
            <w:vAlign w:val="center"/>
          </w:tcPr>
          <w:p w14:paraId="1142E9B5">
            <w:pPr>
              <w:spacing w:line="232" w:lineRule="exact"/>
              <w:ind w:left="6" w:leftChars="0" w:hanging="21" w:firstLineChars="0"/>
              <w:rPr>
                <w:rFonts w:ascii="宋体" w:hAnsi="宋体" w:eastAsia="宋体" w:cs="宋体"/>
                <w:color w:val="auto"/>
                <w:kern w:val="0"/>
                <w:sz w:val="15"/>
                <w:szCs w:val="15"/>
                <w:highlight w:val="none"/>
              </w:rPr>
            </w:pPr>
          </w:p>
        </w:tc>
        <w:tc>
          <w:tcPr>
            <w:tcW w:w="840" w:type="dxa"/>
            <w:noWrap w:val="0"/>
            <w:vAlign w:val="center"/>
          </w:tcPr>
          <w:p w14:paraId="0288E098">
            <w:pPr>
              <w:spacing w:line="232" w:lineRule="exact"/>
              <w:ind w:left="6" w:leftChars="0" w:hanging="21" w:firstLineChars="0"/>
              <w:jc w:val="center"/>
              <w:rPr>
                <w:rFonts w:ascii="宋体" w:hAnsi="宋体" w:eastAsia="宋体" w:cs="宋体"/>
                <w:color w:val="auto"/>
                <w:kern w:val="0"/>
                <w:sz w:val="15"/>
                <w:szCs w:val="15"/>
                <w:highlight w:val="none"/>
              </w:rPr>
            </w:pPr>
          </w:p>
        </w:tc>
        <w:tc>
          <w:tcPr>
            <w:tcW w:w="2376" w:type="dxa"/>
            <w:noWrap w:val="0"/>
            <w:vAlign w:val="center"/>
          </w:tcPr>
          <w:p w14:paraId="332563B1">
            <w:pPr>
              <w:spacing w:line="232" w:lineRule="exact"/>
              <w:ind w:left="6" w:leftChars="0" w:hanging="21" w:firstLineChars="0"/>
              <w:rPr>
                <w:rFonts w:ascii="宋体" w:hAnsi="宋体" w:eastAsia="宋体" w:cs="宋体"/>
                <w:color w:val="auto"/>
                <w:kern w:val="0"/>
                <w:sz w:val="15"/>
                <w:szCs w:val="15"/>
                <w:highlight w:val="none"/>
              </w:rPr>
            </w:pPr>
          </w:p>
        </w:tc>
        <w:tc>
          <w:tcPr>
            <w:tcW w:w="1875" w:type="dxa"/>
            <w:gridSpan w:val="2"/>
            <w:noWrap w:val="0"/>
            <w:vAlign w:val="center"/>
          </w:tcPr>
          <w:p w14:paraId="4F6A6D6A">
            <w:pPr>
              <w:spacing w:line="232" w:lineRule="exact"/>
              <w:ind w:left="6" w:leftChars="0" w:hanging="21" w:firstLineChars="0"/>
              <w:rPr>
                <w:rFonts w:ascii="宋体" w:hAnsi="宋体" w:eastAsia="宋体" w:cs="宋体"/>
                <w:color w:val="auto"/>
                <w:kern w:val="0"/>
                <w:sz w:val="15"/>
                <w:szCs w:val="15"/>
                <w:highlight w:val="none"/>
              </w:rPr>
            </w:pPr>
          </w:p>
        </w:tc>
        <w:tc>
          <w:tcPr>
            <w:tcW w:w="2020" w:type="dxa"/>
            <w:gridSpan w:val="2"/>
            <w:noWrap w:val="0"/>
            <w:vAlign w:val="center"/>
          </w:tcPr>
          <w:p w14:paraId="635C784E">
            <w:pPr>
              <w:spacing w:line="232" w:lineRule="exact"/>
              <w:ind w:left="6" w:leftChars="0" w:hanging="21" w:firstLineChars="0"/>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非</w:t>
            </w:r>
            <w:r>
              <w:rPr>
                <w:rFonts w:hint="eastAsia" w:ascii="宋体" w:hAnsi="宋体" w:eastAsia="宋体" w:cs="宋体"/>
                <w:color w:val="auto"/>
                <w:kern w:val="0"/>
                <w:sz w:val="15"/>
                <w:szCs w:val="15"/>
                <w:highlight w:val="none"/>
                <w:lang w:eastAsia="zh-CN"/>
              </w:rPr>
              <w:t>行政</w:t>
            </w:r>
            <w:r>
              <w:rPr>
                <w:rFonts w:hint="eastAsia" w:ascii="宋体" w:hAnsi="宋体" w:eastAsia="宋体" w:cs="宋体"/>
                <w:color w:val="auto"/>
                <w:kern w:val="0"/>
                <w:sz w:val="15"/>
                <w:szCs w:val="15"/>
                <w:highlight w:val="none"/>
              </w:rPr>
              <w:t>处罚</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34AF5DE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9997A0D">
            <w:pPr>
              <w:spacing w:line="232" w:lineRule="exact"/>
              <w:jc w:val="center"/>
              <w:rPr>
                <w:rFonts w:hint="eastAsia" w:ascii="宋体" w:hAnsi="宋体" w:eastAsia="宋体" w:cs="仿宋_GB2312"/>
                <w:color w:val="auto"/>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76C8A083">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待新增</w:t>
            </w:r>
          </w:p>
        </w:tc>
      </w:tr>
      <w:bookmarkEnd w:id="85"/>
      <w:bookmarkEnd w:id="86"/>
      <w:tr w14:paraId="687F2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70" w:hRule="atLeast"/>
        </w:trPr>
        <w:tc>
          <w:tcPr>
            <w:tcW w:w="14587" w:type="dxa"/>
            <w:gridSpan w:val="13"/>
            <w:noWrap w:val="0"/>
            <w:vAlign w:val="center"/>
          </w:tcPr>
          <w:p w14:paraId="37983F78">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87" w:name="_Toc357269991"/>
            <w:bookmarkStart w:id="88" w:name="_Toc110851465"/>
            <w:bookmarkStart w:id="89" w:name="_Toc780858134"/>
            <w:r>
              <w:rPr>
                <w:rFonts w:hint="eastAsia" w:ascii="宋体" w:hAnsi="宋体" w:eastAsia="宋体"/>
                <w:color w:val="auto"/>
                <w:sz w:val="21"/>
                <w:szCs w:val="21"/>
                <w:highlight w:val="none"/>
              </w:rPr>
              <w:t>《北京市单用途预付卡管理条例》案由7项</w:t>
            </w:r>
            <w:bookmarkEnd w:id="87"/>
            <w:bookmarkEnd w:id="88"/>
            <w:bookmarkEnd w:id="89"/>
          </w:p>
        </w:tc>
        <w:tc>
          <w:tcPr>
            <w:tcW w:w="1869" w:type="dxa"/>
            <w:noWrap w:val="0"/>
            <w:vAlign w:val="center"/>
          </w:tcPr>
          <w:p w14:paraId="4A57304F">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14:paraId="4E41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87" w:hRule="atLeast"/>
        </w:trPr>
        <w:tc>
          <w:tcPr>
            <w:tcW w:w="714" w:type="dxa"/>
            <w:noWrap w:val="0"/>
            <w:vAlign w:val="center"/>
          </w:tcPr>
          <w:p w14:paraId="3147A217">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1626" w:type="dxa"/>
            <w:gridSpan w:val="2"/>
            <w:noWrap w:val="0"/>
            <w:vAlign w:val="center"/>
          </w:tcPr>
          <w:p w14:paraId="1F51C606">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预付卡经营者违反规定发行预付卡或者为消费者办理续卡的</w:t>
            </w:r>
          </w:p>
        </w:tc>
        <w:tc>
          <w:tcPr>
            <w:tcW w:w="2981" w:type="dxa"/>
            <w:noWrap w:val="0"/>
            <w:vAlign w:val="center"/>
          </w:tcPr>
          <w:p w14:paraId="4B3849DE">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违反条款：第十一条；处罚条款：第二十八条 责令立即停止发卡、续卡，处两万元以上十万元以下罚款；情节严重的，责令停业。</w:t>
            </w:r>
          </w:p>
        </w:tc>
        <w:tc>
          <w:tcPr>
            <w:tcW w:w="851" w:type="dxa"/>
            <w:noWrap w:val="0"/>
            <w:vAlign w:val="center"/>
          </w:tcPr>
          <w:p w14:paraId="02C8C738">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20000</w:t>
            </w:r>
          </w:p>
        </w:tc>
        <w:tc>
          <w:tcPr>
            <w:tcW w:w="840" w:type="dxa"/>
            <w:noWrap w:val="0"/>
            <w:vAlign w:val="center"/>
          </w:tcPr>
          <w:p w14:paraId="686BE872">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lang w:val="en"/>
              </w:rPr>
              <w:t>1</w:t>
            </w:r>
          </w:p>
        </w:tc>
        <w:tc>
          <w:tcPr>
            <w:tcW w:w="2376" w:type="dxa"/>
            <w:noWrap w:val="0"/>
            <w:vAlign w:val="center"/>
          </w:tcPr>
          <w:p w14:paraId="0C3BECDB">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0FA401D">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w:t>
            </w:r>
            <w:r>
              <w:rPr>
                <w:rFonts w:hint="default" w:ascii="宋体" w:hAnsi="宋体" w:eastAsia="宋体" w:cs="仿宋_GB2312"/>
                <w:color w:val="auto"/>
                <w:sz w:val="15"/>
                <w:szCs w:val="15"/>
                <w:highlight w:val="none"/>
                <w:lang w:val="en-US"/>
              </w:rPr>
              <w:t>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14:paraId="67AFB595">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554ABD4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523018F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4A631560">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C4653800</w:t>
            </w:r>
          </w:p>
        </w:tc>
      </w:tr>
      <w:tr w14:paraId="664D1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14" w:hRule="atLeast"/>
        </w:trPr>
        <w:tc>
          <w:tcPr>
            <w:tcW w:w="714" w:type="dxa"/>
            <w:noWrap w:val="0"/>
            <w:vAlign w:val="center"/>
          </w:tcPr>
          <w:p w14:paraId="58E45284">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2</w:t>
            </w:r>
          </w:p>
        </w:tc>
        <w:tc>
          <w:tcPr>
            <w:tcW w:w="1626" w:type="dxa"/>
            <w:gridSpan w:val="2"/>
            <w:noWrap w:val="0"/>
            <w:vAlign w:val="center"/>
          </w:tcPr>
          <w:p w14:paraId="22295F61">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预付卡经营者未向消费者出具载明规定内容的凭据逾期不改正</w:t>
            </w:r>
          </w:p>
        </w:tc>
        <w:tc>
          <w:tcPr>
            <w:tcW w:w="2981" w:type="dxa"/>
            <w:noWrap w:val="0"/>
            <w:vAlign w:val="center"/>
          </w:tcPr>
          <w:p w14:paraId="71B5C63C">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noWrap w:val="0"/>
            <w:vAlign w:val="center"/>
          </w:tcPr>
          <w:p w14:paraId="0E1ED1E7">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noWrap w:val="0"/>
            <w:vAlign w:val="center"/>
          </w:tcPr>
          <w:p w14:paraId="65C31143">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14:paraId="63A9E018">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9FD3C58">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14:paraId="7A7225F4">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12B387D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6FD2B5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552A6BF1">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C4653700</w:t>
            </w:r>
          </w:p>
        </w:tc>
      </w:tr>
      <w:tr w14:paraId="62DB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47" w:hRule="atLeast"/>
        </w:trPr>
        <w:tc>
          <w:tcPr>
            <w:tcW w:w="714" w:type="dxa"/>
            <w:noWrap w:val="0"/>
            <w:vAlign w:val="center"/>
          </w:tcPr>
          <w:p w14:paraId="14673074">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3</w:t>
            </w:r>
          </w:p>
        </w:tc>
        <w:tc>
          <w:tcPr>
            <w:tcW w:w="1626" w:type="dxa"/>
            <w:gridSpan w:val="2"/>
            <w:noWrap w:val="0"/>
            <w:vAlign w:val="center"/>
          </w:tcPr>
          <w:p w14:paraId="3E4EFADB">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预付卡经营者未按照规定提供查询或者未按照规定履行告知义务逾期不改正</w:t>
            </w:r>
          </w:p>
        </w:tc>
        <w:tc>
          <w:tcPr>
            <w:tcW w:w="2981" w:type="dxa"/>
            <w:noWrap w:val="0"/>
            <w:vAlign w:val="center"/>
          </w:tcPr>
          <w:p w14:paraId="48A8357B">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noWrap w:val="0"/>
            <w:vAlign w:val="center"/>
          </w:tcPr>
          <w:p w14:paraId="13A0DC5E">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noWrap w:val="0"/>
            <w:vAlign w:val="center"/>
          </w:tcPr>
          <w:p w14:paraId="6D005C38">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14:paraId="410F0D4B">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643906C">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14:paraId="0440F625">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2B5A4BA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6ACF4B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46B81A31">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C4654300</w:t>
            </w:r>
          </w:p>
        </w:tc>
      </w:tr>
      <w:tr w14:paraId="4F44E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01" w:hRule="atLeast"/>
        </w:trPr>
        <w:tc>
          <w:tcPr>
            <w:tcW w:w="714" w:type="dxa"/>
            <w:noWrap w:val="0"/>
            <w:vAlign w:val="center"/>
          </w:tcPr>
          <w:p w14:paraId="64F04197">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4</w:t>
            </w:r>
          </w:p>
        </w:tc>
        <w:tc>
          <w:tcPr>
            <w:tcW w:w="1626" w:type="dxa"/>
            <w:gridSpan w:val="2"/>
            <w:noWrap w:val="0"/>
            <w:vAlign w:val="center"/>
          </w:tcPr>
          <w:p w14:paraId="2DBFCA3D">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预付卡经营者未按照规定保存交易记录逾期不改正</w:t>
            </w:r>
          </w:p>
        </w:tc>
        <w:tc>
          <w:tcPr>
            <w:tcW w:w="2981" w:type="dxa"/>
            <w:noWrap w:val="0"/>
            <w:vAlign w:val="center"/>
          </w:tcPr>
          <w:p w14:paraId="534C85C4">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spacing w:val="-4"/>
                <w:kern w:val="0"/>
                <w:sz w:val="15"/>
                <w:szCs w:val="15"/>
                <w:highlight w:val="none"/>
              </w:rPr>
            </w:pPr>
            <w:r>
              <w:rPr>
                <w:rFonts w:hint="eastAsia" w:ascii="宋体" w:hAnsi="宋体" w:eastAsia="宋体" w:cs="仿宋_GB2312"/>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noWrap w:val="0"/>
            <w:vAlign w:val="center"/>
          </w:tcPr>
          <w:p w14:paraId="4594409C">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noWrap w:val="0"/>
            <w:vAlign w:val="center"/>
          </w:tcPr>
          <w:p w14:paraId="144D5E19">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14:paraId="351AD7CB">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1400B12">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14:paraId="68E3EA00">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3CE2AB4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99E9D9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357F3769">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C4654000</w:t>
            </w:r>
          </w:p>
        </w:tc>
      </w:tr>
      <w:tr w14:paraId="4FA4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53" w:hRule="atLeast"/>
        </w:trPr>
        <w:tc>
          <w:tcPr>
            <w:tcW w:w="714" w:type="dxa"/>
            <w:noWrap w:val="0"/>
            <w:vAlign w:val="center"/>
          </w:tcPr>
          <w:p w14:paraId="7B7D245C">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5</w:t>
            </w:r>
          </w:p>
        </w:tc>
        <w:tc>
          <w:tcPr>
            <w:tcW w:w="1626" w:type="dxa"/>
            <w:gridSpan w:val="2"/>
            <w:noWrap w:val="0"/>
            <w:vAlign w:val="center"/>
          </w:tcPr>
          <w:p w14:paraId="7B522492">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预付卡经营者故意拖延或者无理拒绝退回预收款逾期不改正</w:t>
            </w:r>
          </w:p>
        </w:tc>
        <w:tc>
          <w:tcPr>
            <w:tcW w:w="2981" w:type="dxa"/>
            <w:noWrap w:val="0"/>
            <w:vAlign w:val="center"/>
          </w:tcPr>
          <w:p w14:paraId="11902549">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noWrap w:val="0"/>
            <w:vAlign w:val="center"/>
          </w:tcPr>
          <w:p w14:paraId="6D1D404A">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10000</w:t>
            </w:r>
          </w:p>
        </w:tc>
        <w:tc>
          <w:tcPr>
            <w:tcW w:w="840" w:type="dxa"/>
            <w:noWrap w:val="0"/>
            <w:vAlign w:val="center"/>
          </w:tcPr>
          <w:p w14:paraId="6BD6B135">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14:paraId="4F2B14D8">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1647B38">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w:t>
            </w:r>
            <w:r>
              <w:rPr>
                <w:rFonts w:ascii="宋体" w:hAnsi="宋体" w:eastAsia="宋体" w:cs="仿宋_GB2312"/>
                <w:color w:val="auto"/>
                <w:sz w:val="15"/>
                <w:szCs w:val="15"/>
                <w:highlight w:val="none"/>
                <w:lang w:val="en"/>
              </w:rPr>
              <w:t>10</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14:paraId="3AFFA515">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6E7B698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6179F26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3D4AA677">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C4654200</w:t>
            </w:r>
          </w:p>
        </w:tc>
      </w:tr>
      <w:tr w14:paraId="4202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17" w:hRule="atLeast"/>
        </w:trPr>
        <w:tc>
          <w:tcPr>
            <w:tcW w:w="714" w:type="dxa"/>
            <w:noWrap w:val="0"/>
            <w:vAlign w:val="center"/>
          </w:tcPr>
          <w:p w14:paraId="5D850CA9">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6</w:t>
            </w:r>
          </w:p>
        </w:tc>
        <w:tc>
          <w:tcPr>
            <w:tcW w:w="1626" w:type="dxa"/>
            <w:gridSpan w:val="2"/>
            <w:noWrap w:val="0"/>
            <w:vAlign w:val="center"/>
          </w:tcPr>
          <w:p w14:paraId="5FECE1B0">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预付卡经营者迟报、瞒报、虚报有关信息逾期不改正</w:t>
            </w:r>
          </w:p>
        </w:tc>
        <w:tc>
          <w:tcPr>
            <w:tcW w:w="2981" w:type="dxa"/>
            <w:noWrap w:val="0"/>
            <w:vAlign w:val="center"/>
          </w:tcPr>
          <w:p w14:paraId="0E42BE73">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spacing w:val="-4"/>
                <w:kern w:val="0"/>
                <w:sz w:val="15"/>
                <w:szCs w:val="15"/>
                <w:highlight w:val="none"/>
              </w:rPr>
            </w:pPr>
            <w:r>
              <w:rPr>
                <w:rFonts w:hint="eastAsia" w:ascii="宋体" w:hAnsi="宋体" w:eastAsia="宋体" w:cs="仿宋_GB2312"/>
                <w:color w:val="auto"/>
                <w:spacing w:val="-4"/>
                <w:sz w:val="15"/>
                <w:szCs w:val="15"/>
                <w:highlight w:val="none"/>
              </w:rPr>
              <w:t>违反条款：第二十条；处罚条款：第三十一条  责令限期改正；逾期不改的，处一千元以上五千元以下罚款。</w:t>
            </w:r>
          </w:p>
        </w:tc>
        <w:tc>
          <w:tcPr>
            <w:tcW w:w="851" w:type="dxa"/>
            <w:noWrap w:val="0"/>
            <w:vAlign w:val="center"/>
          </w:tcPr>
          <w:p w14:paraId="5ABE1C78">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1000</w:t>
            </w:r>
          </w:p>
        </w:tc>
        <w:tc>
          <w:tcPr>
            <w:tcW w:w="840" w:type="dxa"/>
            <w:noWrap w:val="0"/>
            <w:vAlign w:val="center"/>
          </w:tcPr>
          <w:p w14:paraId="11C7C876">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14:paraId="20430A3A">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E459510">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w:t>
            </w:r>
            <w:r>
              <w:rPr>
                <w:rFonts w:ascii="宋体" w:hAnsi="宋体" w:eastAsia="宋体" w:cs="仿宋_GB2312"/>
                <w:color w:val="auto"/>
                <w:sz w:val="15"/>
                <w:szCs w:val="15"/>
                <w:highlight w:val="none"/>
                <w:lang w:val="en"/>
              </w:rPr>
              <w:t>1</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14:paraId="2A3797CF">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27D714A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FEB1CF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4CEA5988">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C4653900</w:t>
            </w:r>
          </w:p>
        </w:tc>
      </w:tr>
      <w:tr w14:paraId="3B33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74" w:hRule="atLeast"/>
        </w:trPr>
        <w:tc>
          <w:tcPr>
            <w:tcW w:w="714" w:type="dxa"/>
            <w:noWrap w:val="0"/>
            <w:vAlign w:val="center"/>
          </w:tcPr>
          <w:p w14:paraId="29723182">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7</w:t>
            </w:r>
          </w:p>
        </w:tc>
        <w:tc>
          <w:tcPr>
            <w:tcW w:w="1626" w:type="dxa"/>
            <w:gridSpan w:val="2"/>
            <w:noWrap w:val="0"/>
            <w:vAlign w:val="center"/>
          </w:tcPr>
          <w:p w14:paraId="25802804">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预付卡经营者未按照规定存管资金逾期不改正</w:t>
            </w:r>
          </w:p>
        </w:tc>
        <w:tc>
          <w:tcPr>
            <w:tcW w:w="2981" w:type="dxa"/>
            <w:noWrap w:val="0"/>
            <w:vAlign w:val="center"/>
          </w:tcPr>
          <w:p w14:paraId="26A1C896">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noWrap w:val="0"/>
            <w:vAlign w:val="center"/>
          </w:tcPr>
          <w:p w14:paraId="17EFA34E">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20000</w:t>
            </w:r>
          </w:p>
        </w:tc>
        <w:tc>
          <w:tcPr>
            <w:tcW w:w="840" w:type="dxa"/>
            <w:noWrap w:val="0"/>
            <w:vAlign w:val="center"/>
          </w:tcPr>
          <w:p w14:paraId="18F645C6">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14:paraId="02EBFB6D">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F903681">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w:t>
            </w:r>
            <w:r>
              <w:rPr>
                <w:rFonts w:ascii="宋体" w:hAnsi="宋体" w:eastAsia="宋体" w:cs="仿宋_GB2312"/>
                <w:color w:val="auto"/>
                <w:sz w:val="15"/>
                <w:szCs w:val="15"/>
                <w:highlight w:val="none"/>
                <w:lang w:val="en"/>
              </w:rPr>
              <w:t>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14:paraId="7D30C2BC">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25452E9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6AF890B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4631C659">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C4654100</w:t>
            </w:r>
          </w:p>
        </w:tc>
      </w:tr>
      <w:tr w14:paraId="2D79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06" w:hRule="atLeast"/>
        </w:trPr>
        <w:tc>
          <w:tcPr>
            <w:tcW w:w="14587" w:type="dxa"/>
            <w:gridSpan w:val="13"/>
            <w:noWrap w:val="0"/>
            <w:vAlign w:val="center"/>
          </w:tcPr>
          <w:p w14:paraId="1365CA8F">
            <w:pPr>
              <w:pStyle w:val="2"/>
              <w:keepNext w:val="0"/>
              <w:keepLines w:val="0"/>
              <w:rPr>
                <w:rFonts w:ascii="黑体" w:hAnsi="黑体" w:eastAsia="黑体"/>
                <w:b w:val="0"/>
                <w:color w:val="auto"/>
                <w:sz w:val="24"/>
                <w:szCs w:val="24"/>
                <w:highlight w:val="none"/>
              </w:rPr>
            </w:pPr>
            <w:bookmarkStart w:id="90" w:name="_Toc1495699393"/>
            <w:bookmarkStart w:id="91" w:name="_Toc110851466"/>
            <w:bookmarkStart w:id="92" w:name="_Toc2058843597"/>
            <w:r>
              <w:rPr>
                <w:rFonts w:hint="eastAsia" w:ascii="黑体" w:hAnsi="黑体" w:eastAsia="黑体"/>
                <w:b w:val="0"/>
                <w:color w:val="auto"/>
                <w:sz w:val="28"/>
                <w:szCs w:val="28"/>
                <w:highlight w:val="none"/>
              </w:rPr>
              <w:t>园林绿化管理方面</w:t>
            </w:r>
            <w:bookmarkEnd w:id="90"/>
            <w:bookmarkEnd w:id="91"/>
            <w:bookmarkEnd w:id="92"/>
          </w:p>
        </w:tc>
        <w:tc>
          <w:tcPr>
            <w:tcW w:w="1869" w:type="dxa"/>
            <w:noWrap w:val="0"/>
            <w:vAlign w:val="center"/>
          </w:tcPr>
          <w:p w14:paraId="7EF6B507">
            <w:pPr>
              <w:pStyle w:val="2"/>
              <w:keepNext w:val="0"/>
              <w:keepLines w:val="0"/>
              <w:rPr>
                <w:rFonts w:hint="eastAsia" w:ascii="黑体" w:hAnsi="黑体" w:eastAsia="黑体"/>
                <w:b w:val="0"/>
                <w:color w:val="auto"/>
                <w:sz w:val="28"/>
                <w:szCs w:val="28"/>
                <w:highlight w:val="none"/>
              </w:rPr>
            </w:pPr>
          </w:p>
        </w:tc>
      </w:tr>
      <w:tr w14:paraId="114C8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12" w:hRule="atLeast"/>
        </w:trPr>
        <w:tc>
          <w:tcPr>
            <w:tcW w:w="14587" w:type="dxa"/>
            <w:gridSpan w:val="13"/>
            <w:noWrap w:val="0"/>
            <w:vAlign w:val="center"/>
          </w:tcPr>
          <w:p w14:paraId="1049827E">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3" w:name="_Toc110851467"/>
            <w:bookmarkStart w:id="94" w:name="_Toc68389721"/>
            <w:bookmarkStart w:id="95" w:name="_Toc1801139429"/>
            <w:r>
              <w:rPr>
                <w:rFonts w:hint="eastAsia" w:ascii="宋体" w:hAnsi="宋体" w:eastAsia="宋体"/>
                <w:color w:val="auto"/>
                <w:sz w:val="21"/>
                <w:szCs w:val="21"/>
                <w:highlight w:val="none"/>
              </w:rPr>
              <w:t>《北京市绿化条例》案由16项</w:t>
            </w:r>
            <w:bookmarkEnd w:id="93"/>
            <w:bookmarkEnd w:id="94"/>
            <w:bookmarkEnd w:id="95"/>
          </w:p>
        </w:tc>
        <w:tc>
          <w:tcPr>
            <w:tcW w:w="1869" w:type="dxa"/>
            <w:noWrap w:val="0"/>
            <w:vAlign w:val="center"/>
          </w:tcPr>
          <w:p w14:paraId="5BB64DE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14:paraId="3E7F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24" w:hRule="atLeast"/>
        </w:trPr>
        <w:tc>
          <w:tcPr>
            <w:tcW w:w="714" w:type="dxa"/>
            <w:noWrap w:val="0"/>
            <w:vAlign w:val="center"/>
          </w:tcPr>
          <w:p w14:paraId="0D57642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14FDFC3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未按要求公示绿地平面图</w:t>
            </w:r>
          </w:p>
        </w:tc>
        <w:tc>
          <w:tcPr>
            <w:tcW w:w="2981" w:type="dxa"/>
            <w:noWrap w:val="0"/>
            <w:vAlign w:val="center"/>
          </w:tcPr>
          <w:p w14:paraId="2028718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w:t>
            </w:r>
          </w:p>
          <w:p w14:paraId="06F6A6A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处罚条款：第六十三条 责令限期改正；逾期不改正的，处5000元罚款。</w:t>
            </w:r>
          </w:p>
        </w:tc>
        <w:tc>
          <w:tcPr>
            <w:tcW w:w="851" w:type="dxa"/>
            <w:noWrap w:val="0"/>
            <w:vAlign w:val="center"/>
          </w:tcPr>
          <w:p w14:paraId="1CDBB89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08C3353C">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767EC4C3">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0AFF6E0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w:t>
            </w:r>
          </w:p>
        </w:tc>
        <w:tc>
          <w:tcPr>
            <w:tcW w:w="2020" w:type="dxa"/>
            <w:gridSpan w:val="2"/>
            <w:noWrap w:val="0"/>
            <w:vAlign w:val="center"/>
          </w:tcPr>
          <w:p w14:paraId="56F018E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按照条款规定执行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09FE278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2461F7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5FE3223">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C4640800</w:t>
            </w:r>
          </w:p>
        </w:tc>
      </w:tr>
      <w:tr w14:paraId="0DAD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00" w:hRule="atLeast"/>
        </w:trPr>
        <w:tc>
          <w:tcPr>
            <w:tcW w:w="714" w:type="dxa"/>
            <w:shd w:val="clear" w:color="auto" w:fill="auto"/>
            <w:noWrap w:val="0"/>
            <w:vAlign w:val="center"/>
          </w:tcPr>
          <w:p w14:paraId="61C75E0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shd w:val="clear" w:color="auto" w:fill="FFFFFF"/>
            <w:noWrap w:val="0"/>
            <w:vAlign w:val="center"/>
          </w:tcPr>
          <w:p w14:paraId="7C500A5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未按规定对闲置土地进行临时绿化</w:t>
            </w:r>
          </w:p>
        </w:tc>
        <w:tc>
          <w:tcPr>
            <w:tcW w:w="2981" w:type="dxa"/>
            <w:noWrap w:val="0"/>
            <w:vAlign w:val="center"/>
          </w:tcPr>
          <w:p w14:paraId="684ED23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p>
          <w:p w14:paraId="7746D13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处罚条款：第六十四条 责令限期改正；逾期不改正的，处2000元以上2万元以下罚款。</w:t>
            </w:r>
          </w:p>
        </w:tc>
        <w:tc>
          <w:tcPr>
            <w:tcW w:w="851" w:type="dxa"/>
            <w:noWrap w:val="0"/>
            <w:vAlign w:val="center"/>
          </w:tcPr>
          <w:p w14:paraId="1E75152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2C81D47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CE6156E">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闲置面积1000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以内，</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0，闲置面积1000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以上的，每增加500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，系数增加1；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闲置时间超过一年的，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4；3. 尘土飞扬，对市容环境造成严重影响的，系数9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09A334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12C15E02">
            <w:pPr>
              <w:spacing w:line="232" w:lineRule="exact"/>
              <w:rPr>
                <w:rFonts w:hint="eastAsia" w:ascii="宋体" w:hAnsi="宋体" w:eastAsia="宋体"/>
                <w:strike/>
                <w:dstrike w:val="0"/>
                <w:color w:val="auto"/>
                <w:sz w:val="15"/>
                <w:szCs w:val="15"/>
                <w:highlight w:val="none"/>
                <w:lang w:eastAsia="zh-CN"/>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noWrap w:val="0"/>
            <w:vAlign w:val="center"/>
          </w:tcPr>
          <w:p w14:paraId="650E0ED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ADA1AC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C44D180">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C4641600</w:t>
            </w:r>
          </w:p>
        </w:tc>
      </w:tr>
      <w:tr w14:paraId="4044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579" w:hRule="atLeast"/>
        </w:trPr>
        <w:tc>
          <w:tcPr>
            <w:tcW w:w="714" w:type="dxa"/>
            <w:noWrap w:val="0"/>
            <w:vAlign w:val="center"/>
          </w:tcPr>
          <w:p w14:paraId="521AA29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14:paraId="4DFA8B8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未按养护规范养护绿地、树木</w:t>
            </w:r>
          </w:p>
        </w:tc>
        <w:tc>
          <w:tcPr>
            <w:tcW w:w="2981" w:type="dxa"/>
            <w:noWrap w:val="0"/>
            <w:vAlign w:val="center"/>
          </w:tcPr>
          <w:p w14:paraId="03A9755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p>
          <w:p w14:paraId="4FC06A3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处罚条款：第六十五条 责令限期改正；逾期不改正，造成树木死亡、绿化设施损毁、景区风貌破坏的，处2000元以上2万元以下罚款。</w:t>
            </w:r>
          </w:p>
        </w:tc>
        <w:tc>
          <w:tcPr>
            <w:tcW w:w="851" w:type="dxa"/>
            <w:noWrap w:val="0"/>
            <w:vAlign w:val="center"/>
          </w:tcPr>
          <w:p w14:paraId="6805CD9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1453AA3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EA3F69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1.造成树木死亡（胸径小于30厘米且不满3株），绿化设施损毁、景区风貌破坏较重的，或者造成较大社会影响的，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2.造成树木死亡（胸径30厘米以上的，或树木死亡3株以上5株以下），或者造成较大损失的，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4；造成树木死亡（胸径30厘米以上树木3棵以上，以及树木死亡10株以上的），或者造成珍贵树种死亡，景区风貌破坏严重难以复原，以及</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社会恶劣影响和重大经济损失的，系数9。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6783189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5695C0BB">
            <w:pPr>
              <w:spacing w:line="232" w:lineRule="exact"/>
              <w:rPr>
                <w:rFonts w:ascii="宋体" w:hAnsi="宋体" w:eastAsia="宋体" w:cs="宋体"/>
                <w:strike/>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noWrap w:val="0"/>
            <w:vAlign w:val="center"/>
          </w:tcPr>
          <w:p w14:paraId="7DC780A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2E5197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710EFEE">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C4642100</w:t>
            </w:r>
          </w:p>
        </w:tc>
      </w:tr>
      <w:tr w14:paraId="0F505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76" w:hRule="atLeast"/>
        </w:trPr>
        <w:tc>
          <w:tcPr>
            <w:tcW w:w="714" w:type="dxa"/>
            <w:noWrap w:val="0"/>
            <w:vAlign w:val="center"/>
          </w:tcPr>
          <w:p w14:paraId="6CF147E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14:paraId="3BF5CCCC">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未按规范开发利用绿地地下空间</w:t>
            </w:r>
          </w:p>
        </w:tc>
        <w:tc>
          <w:tcPr>
            <w:tcW w:w="2981" w:type="dxa"/>
            <w:noWrap w:val="0"/>
            <w:vAlign w:val="center"/>
          </w:tcPr>
          <w:p w14:paraId="618CB3BA">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p>
          <w:p w14:paraId="697A40DB">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处罚条款：第六十六条 责令限期改正；逾期不改正的，处2万元以上10万元以下罚款。</w:t>
            </w:r>
          </w:p>
        </w:tc>
        <w:tc>
          <w:tcPr>
            <w:tcW w:w="851" w:type="dxa"/>
            <w:noWrap w:val="0"/>
            <w:vAlign w:val="center"/>
          </w:tcPr>
          <w:p w14:paraId="6DDF1576">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14:paraId="2A40E876">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8F7E76A">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1.造成树木死亡（胸径小于30厘米且不满3株），绿地损毁的，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2.造成树木死亡（胸径30厘米以上的，或树木死亡3株以上），绿地使用功能丧失，或者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社会恶劣影响和重大经济损失的，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863450E">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17FE0873">
            <w:pPr>
              <w:spacing w:line="206"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逾期不改正的情形，不</w:t>
            </w:r>
            <w:r>
              <w:rPr>
                <w:rFonts w:hint="eastAsia" w:ascii="宋体" w:hAnsi="宋体" w:eastAsia="宋体"/>
                <w:color w:val="auto"/>
                <w:sz w:val="15"/>
                <w:szCs w:val="15"/>
                <w:highlight w:val="none"/>
                <w:lang w:eastAsia="zh-CN"/>
              </w:rPr>
              <w:t>计入</w:t>
            </w:r>
            <w:r>
              <w:rPr>
                <w:rFonts w:hint="eastAsia" w:ascii="宋体" w:hAnsi="宋体" w:eastAsia="宋体"/>
                <w:color w:val="auto"/>
                <w:sz w:val="15"/>
                <w:szCs w:val="15"/>
                <w:highlight w:val="none"/>
              </w:rPr>
              <w:t>本项</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304" w:type="dxa"/>
            <w:gridSpan w:val="2"/>
            <w:noWrap w:val="0"/>
            <w:vAlign w:val="center"/>
          </w:tcPr>
          <w:p w14:paraId="086DC018">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A92680C">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738F991">
            <w:pPr>
              <w:keepNext w:val="0"/>
              <w:keepLines w:val="0"/>
              <w:widowControl w:val="0"/>
              <w:suppressLineNumbers w:val="0"/>
              <w:spacing w:before="0" w:beforeAutospacing="0" w:after="0" w:afterAutospacing="0" w:line="206" w:lineRule="exact"/>
              <w:ind w:left="0" w:right="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C4641800</w:t>
            </w:r>
          </w:p>
        </w:tc>
      </w:tr>
      <w:tr w14:paraId="36CCB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99" w:hRule="atLeast"/>
        </w:trPr>
        <w:tc>
          <w:tcPr>
            <w:tcW w:w="714" w:type="dxa"/>
            <w:vMerge w:val="restart"/>
            <w:noWrap w:val="0"/>
            <w:vAlign w:val="center"/>
          </w:tcPr>
          <w:p w14:paraId="3BBD944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vMerge w:val="restart"/>
            <w:noWrap w:val="0"/>
            <w:vAlign w:val="center"/>
          </w:tcPr>
          <w:p w14:paraId="0C7796AA">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在树木旁或者绿地内倾倒、排放污水、垃圾、渣</w:t>
            </w:r>
            <w:r>
              <w:rPr>
                <w:rFonts w:hint="eastAsia" w:ascii="宋体" w:hAnsi="宋体" w:eastAsia="宋体" w:cs="宋体"/>
                <w:color w:val="auto"/>
                <w:kern w:val="0"/>
                <w:sz w:val="15"/>
                <w:szCs w:val="15"/>
                <w:highlight w:val="none"/>
                <w:shd w:val="clear" w:color="auto" w:fill="auto"/>
              </w:rPr>
              <w:t>土及其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shd w:val="clear" w:color="auto" w:fill="auto"/>
              </w:rPr>
              <w:t>废弃</w:t>
            </w:r>
            <w:r>
              <w:rPr>
                <w:rFonts w:hint="eastAsia" w:ascii="宋体" w:hAnsi="宋体" w:eastAsia="宋体" w:cs="宋体"/>
                <w:color w:val="auto"/>
                <w:kern w:val="0"/>
                <w:sz w:val="15"/>
                <w:szCs w:val="15"/>
                <w:highlight w:val="none"/>
              </w:rPr>
              <w:t>物</w:t>
            </w:r>
          </w:p>
        </w:tc>
        <w:tc>
          <w:tcPr>
            <w:tcW w:w="2981" w:type="dxa"/>
            <w:vMerge w:val="restart"/>
            <w:noWrap w:val="0"/>
            <w:vAlign w:val="center"/>
          </w:tcPr>
          <w:p w14:paraId="402B6B80">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noWrap w:val="0"/>
            <w:vAlign w:val="center"/>
          </w:tcPr>
          <w:p w14:paraId="224915DF">
            <w:pPr>
              <w:spacing w:line="206" w:lineRule="exact"/>
              <w:jc w:val="center"/>
              <w:rPr>
                <w:rFonts w:ascii="宋体" w:hAnsi="宋体" w:eastAsia="宋体" w:cs="宋体"/>
                <w:color w:val="auto"/>
                <w:kern w:val="0"/>
                <w:sz w:val="15"/>
                <w:szCs w:val="15"/>
                <w:highlight w:val="none"/>
              </w:rPr>
            </w:pPr>
          </w:p>
        </w:tc>
        <w:tc>
          <w:tcPr>
            <w:tcW w:w="840" w:type="dxa"/>
            <w:noWrap w:val="0"/>
            <w:vAlign w:val="center"/>
          </w:tcPr>
          <w:p w14:paraId="2E7464DE">
            <w:pPr>
              <w:spacing w:line="206" w:lineRule="exact"/>
              <w:jc w:val="center"/>
              <w:rPr>
                <w:rFonts w:ascii="宋体" w:hAnsi="宋体" w:eastAsia="宋体" w:cs="宋体"/>
                <w:color w:val="auto"/>
                <w:kern w:val="0"/>
                <w:sz w:val="15"/>
                <w:szCs w:val="15"/>
                <w:highlight w:val="none"/>
              </w:rPr>
            </w:pPr>
          </w:p>
        </w:tc>
        <w:tc>
          <w:tcPr>
            <w:tcW w:w="2376" w:type="dxa"/>
            <w:noWrap w:val="0"/>
            <w:vAlign w:val="center"/>
          </w:tcPr>
          <w:p w14:paraId="33561ABF">
            <w:pPr>
              <w:spacing w:line="206" w:lineRule="exact"/>
              <w:rPr>
                <w:rFonts w:ascii="宋体" w:hAnsi="宋体" w:eastAsia="宋体" w:cs="宋体"/>
                <w:color w:val="auto"/>
                <w:kern w:val="0"/>
                <w:sz w:val="15"/>
                <w:szCs w:val="15"/>
                <w:highlight w:val="none"/>
              </w:rPr>
            </w:pPr>
          </w:p>
        </w:tc>
        <w:tc>
          <w:tcPr>
            <w:tcW w:w="1875" w:type="dxa"/>
            <w:gridSpan w:val="2"/>
            <w:noWrap w:val="0"/>
            <w:vAlign w:val="center"/>
          </w:tcPr>
          <w:p w14:paraId="272C9B67">
            <w:pPr>
              <w:spacing w:line="206" w:lineRule="exact"/>
              <w:rPr>
                <w:rFonts w:ascii="宋体" w:hAnsi="宋体" w:eastAsia="宋体" w:cs="宋体"/>
                <w:color w:val="auto"/>
                <w:kern w:val="0"/>
                <w:sz w:val="15"/>
                <w:szCs w:val="15"/>
                <w:highlight w:val="none"/>
              </w:rPr>
            </w:pPr>
          </w:p>
        </w:tc>
        <w:tc>
          <w:tcPr>
            <w:tcW w:w="2020" w:type="dxa"/>
            <w:gridSpan w:val="2"/>
            <w:noWrap w:val="0"/>
            <w:vAlign w:val="center"/>
          </w:tcPr>
          <w:p w14:paraId="55587F13">
            <w:pPr>
              <w:spacing w:line="20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304" w:type="dxa"/>
            <w:gridSpan w:val="2"/>
            <w:vMerge w:val="restart"/>
            <w:noWrap w:val="0"/>
            <w:vAlign w:val="center"/>
          </w:tcPr>
          <w:p w14:paraId="3094D43A">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CA41E82">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38A5409B">
            <w:pPr>
              <w:keepNext w:val="0"/>
              <w:keepLines w:val="0"/>
              <w:widowControl w:val="0"/>
              <w:suppressLineNumbers w:val="0"/>
              <w:spacing w:before="0" w:beforeAutospacing="0" w:after="0" w:afterAutospacing="0" w:line="206"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C4643500</w:t>
            </w:r>
          </w:p>
        </w:tc>
      </w:tr>
      <w:tr w14:paraId="42735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98" w:hRule="atLeast"/>
        </w:trPr>
        <w:tc>
          <w:tcPr>
            <w:tcW w:w="714" w:type="dxa"/>
            <w:vMerge w:val="continue"/>
            <w:noWrap w:val="0"/>
            <w:vAlign w:val="center"/>
          </w:tcPr>
          <w:p w14:paraId="11D8B6FF">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0AF5A0EC">
            <w:pPr>
              <w:spacing w:line="206" w:lineRule="exact"/>
              <w:rPr>
                <w:rFonts w:ascii="宋体" w:hAnsi="宋体" w:eastAsia="宋体" w:cs="宋体"/>
                <w:color w:val="auto"/>
                <w:kern w:val="0"/>
                <w:sz w:val="15"/>
                <w:szCs w:val="15"/>
                <w:highlight w:val="none"/>
              </w:rPr>
            </w:pPr>
          </w:p>
        </w:tc>
        <w:tc>
          <w:tcPr>
            <w:tcW w:w="2981" w:type="dxa"/>
            <w:vMerge w:val="continue"/>
            <w:noWrap w:val="0"/>
            <w:vAlign w:val="center"/>
          </w:tcPr>
          <w:p w14:paraId="3AD911BB">
            <w:pPr>
              <w:spacing w:line="206" w:lineRule="exact"/>
              <w:rPr>
                <w:rFonts w:ascii="宋体" w:hAnsi="宋体" w:eastAsia="宋体" w:cs="宋体"/>
                <w:color w:val="auto"/>
                <w:kern w:val="0"/>
                <w:sz w:val="15"/>
                <w:szCs w:val="15"/>
                <w:highlight w:val="none"/>
              </w:rPr>
            </w:pPr>
          </w:p>
        </w:tc>
        <w:tc>
          <w:tcPr>
            <w:tcW w:w="851" w:type="dxa"/>
            <w:noWrap w:val="0"/>
            <w:vAlign w:val="center"/>
          </w:tcPr>
          <w:p w14:paraId="70121817">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5079B6AB">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FA031D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6735B12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6D439922">
            <w:pPr>
              <w:spacing w:line="206"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14:paraId="5506CE68">
            <w:pPr>
              <w:spacing w:line="206"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16D96860">
            <w:pPr>
              <w:keepNext w:val="0"/>
              <w:keepLines w:val="0"/>
              <w:widowControl w:val="0"/>
              <w:suppressLineNumbers w:val="0"/>
              <w:spacing w:before="0" w:beforeAutospacing="0" w:after="0" w:afterAutospacing="0" w:line="206" w:lineRule="exact"/>
              <w:ind w:left="0" w:leftChars="0" w:right="0" w:rightChars="0"/>
              <w:jc w:val="center"/>
              <w:rPr>
                <w:rFonts w:ascii="宋体" w:hAnsi="宋体" w:eastAsia="宋体" w:cs="宋体"/>
                <w:color w:val="auto"/>
                <w:kern w:val="0"/>
                <w:sz w:val="15"/>
                <w:szCs w:val="15"/>
                <w:highlight w:val="none"/>
              </w:rPr>
            </w:pPr>
          </w:p>
        </w:tc>
      </w:tr>
      <w:tr w14:paraId="2083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vMerge w:val="restart"/>
            <w:noWrap w:val="0"/>
            <w:vAlign w:val="center"/>
          </w:tcPr>
          <w:p w14:paraId="1F7C4A7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vMerge w:val="restart"/>
            <w:noWrap w:val="0"/>
            <w:vAlign w:val="center"/>
          </w:tcPr>
          <w:p w14:paraId="11831EDD">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损毁树木、花草及绿化设施</w:t>
            </w:r>
          </w:p>
        </w:tc>
        <w:tc>
          <w:tcPr>
            <w:tcW w:w="2981" w:type="dxa"/>
            <w:vMerge w:val="restart"/>
            <w:noWrap w:val="0"/>
            <w:vAlign w:val="center"/>
          </w:tcPr>
          <w:p w14:paraId="2FC16E31">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noWrap w:val="0"/>
            <w:vAlign w:val="center"/>
          </w:tcPr>
          <w:p w14:paraId="6700E803">
            <w:pPr>
              <w:spacing w:line="206" w:lineRule="exact"/>
              <w:jc w:val="center"/>
              <w:rPr>
                <w:rFonts w:ascii="宋体" w:hAnsi="宋体" w:eastAsia="宋体" w:cs="宋体"/>
                <w:color w:val="auto"/>
                <w:kern w:val="0"/>
                <w:sz w:val="15"/>
                <w:szCs w:val="15"/>
                <w:highlight w:val="none"/>
              </w:rPr>
            </w:pPr>
          </w:p>
        </w:tc>
        <w:tc>
          <w:tcPr>
            <w:tcW w:w="840" w:type="dxa"/>
            <w:noWrap w:val="0"/>
            <w:vAlign w:val="center"/>
          </w:tcPr>
          <w:p w14:paraId="53FD4321">
            <w:pPr>
              <w:spacing w:line="206" w:lineRule="exact"/>
              <w:jc w:val="center"/>
              <w:rPr>
                <w:rFonts w:ascii="宋体" w:hAnsi="宋体" w:eastAsia="宋体" w:cs="宋体"/>
                <w:color w:val="auto"/>
                <w:kern w:val="0"/>
                <w:sz w:val="15"/>
                <w:szCs w:val="15"/>
                <w:highlight w:val="none"/>
              </w:rPr>
            </w:pPr>
          </w:p>
        </w:tc>
        <w:tc>
          <w:tcPr>
            <w:tcW w:w="2376" w:type="dxa"/>
            <w:noWrap w:val="0"/>
            <w:vAlign w:val="center"/>
          </w:tcPr>
          <w:p w14:paraId="1D5D7B9F">
            <w:pPr>
              <w:spacing w:line="206" w:lineRule="exact"/>
              <w:rPr>
                <w:rFonts w:ascii="宋体" w:hAnsi="宋体" w:eastAsia="宋体" w:cs="宋体"/>
                <w:color w:val="auto"/>
                <w:kern w:val="0"/>
                <w:sz w:val="15"/>
                <w:szCs w:val="15"/>
                <w:highlight w:val="none"/>
              </w:rPr>
            </w:pPr>
          </w:p>
        </w:tc>
        <w:tc>
          <w:tcPr>
            <w:tcW w:w="1875" w:type="dxa"/>
            <w:gridSpan w:val="2"/>
            <w:noWrap w:val="0"/>
            <w:vAlign w:val="center"/>
          </w:tcPr>
          <w:p w14:paraId="63DAF5BB">
            <w:pPr>
              <w:spacing w:line="206" w:lineRule="exact"/>
              <w:rPr>
                <w:rFonts w:ascii="宋体" w:hAnsi="宋体" w:eastAsia="宋体" w:cs="宋体"/>
                <w:color w:val="auto"/>
                <w:kern w:val="0"/>
                <w:sz w:val="15"/>
                <w:szCs w:val="15"/>
                <w:highlight w:val="none"/>
              </w:rPr>
            </w:pPr>
          </w:p>
        </w:tc>
        <w:tc>
          <w:tcPr>
            <w:tcW w:w="2020" w:type="dxa"/>
            <w:gridSpan w:val="2"/>
            <w:noWrap w:val="0"/>
            <w:vAlign w:val="center"/>
          </w:tcPr>
          <w:p w14:paraId="1882F133">
            <w:pPr>
              <w:spacing w:line="20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1B00165C">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1B0EC0D">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5A23DCB5">
            <w:pPr>
              <w:keepNext w:val="0"/>
              <w:keepLines w:val="0"/>
              <w:widowControl w:val="0"/>
              <w:suppressLineNumbers w:val="0"/>
              <w:spacing w:before="0" w:beforeAutospacing="0" w:after="0" w:afterAutospacing="0" w:line="206"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C4631100</w:t>
            </w:r>
          </w:p>
        </w:tc>
      </w:tr>
      <w:tr w14:paraId="19A69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62" w:hRule="atLeast"/>
        </w:trPr>
        <w:tc>
          <w:tcPr>
            <w:tcW w:w="714" w:type="dxa"/>
            <w:vMerge w:val="continue"/>
            <w:noWrap w:val="0"/>
            <w:vAlign w:val="center"/>
          </w:tcPr>
          <w:p w14:paraId="6EF05626">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432331D3">
            <w:pPr>
              <w:spacing w:line="206" w:lineRule="exact"/>
              <w:rPr>
                <w:rFonts w:ascii="宋体" w:hAnsi="宋体" w:eastAsia="宋体" w:cs="宋体"/>
                <w:color w:val="auto"/>
                <w:kern w:val="0"/>
                <w:sz w:val="15"/>
                <w:szCs w:val="15"/>
                <w:highlight w:val="none"/>
              </w:rPr>
            </w:pPr>
          </w:p>
        </w:tc>
        <w:tc>
          <w:tcPr>
            <w:tcW w:w="2981" w:type="dxa"/>
            <w:vMerge w:val="continue"/>
            <w:noWrap w:val="0"/>
            <w:vAlign w:val="center"/>
          </w:tcPr>
          <w:p w14:paraId="107D3E72">
            <w:pPr>
              <w:spacing w:line="206" w:lineRule="exact"/>
              <w:rPr>
                <w:rFonts w:ascii="宋体" w:hAnsi="宋体" w:eastAsia="宋体" w:cs="宋体"/>
                <w:color w:val="auto"/>
                <w:kern w:val="0"/>
                <w:sz w:val="15"/>
                <w:szCs w:val="15"/>
                <w:highlight w:val="none"/>
              </w:rPr>
            </w:pPr>
          </w:p>
        </w:tc>
        <w:tc>
          <w:tcPr>
            <w:tcW w:w="851" w:type="dxa"/>
            <w:noWrap w:val="0"/>
            <w:vAlign w:val="center"/>
          </w:tcPr>
          <w:p w14:paraId="31F235A6">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273BF775">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3FFFA1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4983F60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359342F6">
            <w:pPr>
              <w:spacing w:line="206" w:lineRule="exact"/>
              <w:rPr>
                <w:rFonts w:ascii="宋体" w:hAnsi="宋体" w:eastAsia="宋体" w:cs="宋体"/>
                <w:color w:val="auto"/>
                <w:kern w:val="0"/>
                <w:sz w:val="15"/>
                <w:szCs w:val="15"/>
                <w:highlight w:val="none"/>
              </w:rPr>
            </w:pPr>
          </w:p>
        </w:tc>
        <w:tc>
          <w:tcPr>
            <w:tcW w:w="1304" w:type="dxa"/>
            <w:gridSpan w:val="2"/>
            <w:noWrap w:val="0"/>
            <w:vAlign w:val="center"/>
          </w:tcPr>
          <w:p w14:paraId="4700044B">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66C0AED">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717FC5F2">
            <w:pPr>
              <w:keepNext w:val="0"/>
              <w:keepLines w:val="0"/>
              <w:widowControl w:val="0"/>
              <w:suppressLineNumbers w:val="0"/>
              <w:spacing w:before="0" w:beforeAutospacing="0" w:after="0" w:afterAutospacing="0" w:line="206" w:lineRule="exact"/>
              <w:ind w:left="0" w:leftChars="0" w:right="0" w:rightChars="0"/>
              <w:jc w:val="center"/>
              <w:rPr>
                <w:rFonts w:hint="eastAsia" w:ascii="宋体" w:hAnsi="宋体" w:eastAsia="宋体"/>
                <w:color w:val="auto"/>
                <w:sz w:val="15"/>
                <w:szCs w:val="15"/>
                <w:highlight w:val="none"/>
              </w:rPr>
            </w:pPr>
          </w:p>
        </w:tc>
      </w:tr>
      <w:tr w14:paraId="2A3A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01" w:hRule="atLeast"/>
        </w:trPr>
        <w:tc>
          <w:tcPr>
            <w:tcW w:w="714" w:type="dxa"/>
            <w:vMerge w:val="restart"/>
            <w:noWrap w:val="0"/>
            <w:vAlign w:val="center"/>
          </w:tcPr>
          <w:p w14:paraId="3E6271E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vMerge w:val="restart"/>
            <w:noWrap w:val="0"/>
            <w:vAlign w:val="center"/>
          </w:tcPr>
          <w:p w14:paraId="24FF779E">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在树木或者绿化设施上悬挂广告牌或者其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rPr>
              <w:t>物品</w:t>
            </w:r>
          </w:p>
        </w:tc>
        <w:tc>
          <w:tcPr>
            <w:tcW w:w="2981" w:type="dxa"/>
            <w:vMerge w:val="restart"/>
            <w:noWrap w:val="0"/>
            <w:vAlign w:val="center"/>
          </w:tcPr>
          <w:p w14:paraId="0AA0FA09">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noWrap w:val="0"/>
            <w:vAlign w:val="center"/>
          </w:tcPr>
          <w:p w14:paraId="2D4CE393">
            <w:pPr>
              <w:spacing w:line="250" w:lineRule="exact"/>
              <w:jc w:val="center"/>
              <w:rPr>
                <w:rFonts w:ascii="宋体" w:hAnsi="宋体" w:eastAsia="宋体" w:cs="宋体"/>
                <w:color w:val="auto"/>
                <w:kern w:val="0"/>
                <w:sz w:val="15"/>
                <w:szCs w:val="15"/>
                <w:highlight w:val="none"/>
              </w:rPr>
            </w:pPr>
          </w:p>
        </w:tc>
        <w:tc>
          <w:tcPr>
            <w:tcW w:w="840" w:type="dxa"/>
            <w:noWrap w:val="0"/>
            <w:vAlign w:val="center"/>
          </w:tcPr>
          <w:p w14:paraId="215EED94">
            <w:pPr>
              <w:spacing w:line="250" w:lineRule="exact"/>
              <w:jc w:val="center"/>
              <w:rPr>
                <w:rFonts w:ascii="宋体" w:hAnsi="宋体" w:eastAsia="宋体" w:cs="宋体"/>
                <w:color w:val="auto"/>
                <w:kern w:val="0"/>
                <w:sz w:val="15"/>
                <w:szCs w:val="15"/>
                <w:highlight w:val="none"/>
              </w:rPr>
            </w:pPr>
          </w:p>
        </w:tc>
        <w:tc>
          <w:tcPr>
            <w:tcW w:w="2376" w:type="dxa"/>
            <w:noWrap w:val="0"/>
            <w:vAlign w:val="center"/>
          </w:tcPr>
          <w:p w14:paraId="765780A7">
            <w:pPr>
              <w:spacing w:line="250" w:lineRule="exact"/>
              <w:rPr>
                <w:rFonts w:ascii="宋体" w:hAnsi="宋体" w:eastAsia="宋体" w:cs="宋体"/>
                <w:color w:val="auto"/>
                <w:kern w:val="0"/>
                <w:sz w:val="15"/>
                <w:szCs w:val="15"/>
                <w:highlight w:val="none"/>
              </w:rPr>
            </w:pPr>
          </w:p>
        </w:tc>
        <w:tc>
          <w:tcPr>
            <w:tcW w:w="1875" w:type="dxa"/>
            <w:gridSpan w:val="2"/>
            <w:noWrap w:val="0"/>
            <w:vAlign w:val="center"/>
          </w:tcPr>
          <w:p w14:paraId="0AEE3EC2">
            <w:pPr>
              <w:spacing w:line="250" w:lineRule="exact"/>
              <w:rPr>
                <w:rFonts w:ascii="宋体" w:hAnsi="宋体" w:eastAsia="宋体" w:cs="宋体"/>
                <w:color w:val="auto"/>
                <w:kern w:val="0"/>
                <w:sz w:val="15"/>
                <w:szCs w:val="15"/>
                <w:highlight w:val="none"/>
              </w:rPr>
            </w:pPr>
          </w:p>
        </w:tc>
        <w:tc>
          <w:tcPr>
            <w:tcW w:w="2020" w:type="dxa"/>
            <w:gridSpan w:val="2"/>
            <w:noWrap w:val="0"/>
            <w:vAlign w:val="center"/>
          </w:tcPr>
          <w:p w14:paraId="4C0EA7A6">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304" w:type="dxa"/>
            <w:gridSpan w:val="2"/>
            <w:vMerge w:val="restart"/>
            <w:noWrap w:val="0"/>
            <w:vAlign w:val="center"/>
          </w:tcPr>
          <w:p w14:paraId="23236DEF">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9A3DC5E">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2B382412">
            <w:pPr>
              <w:keepNext w:val="0"/>
              <w:keepLines w:val="0"/>
              <w:widowControl w:val="0"/>
              <w:suppressLineNumbers w:val="0"/>
              <w:spacing w:before="0" w:beforeAutospacing="0" w:after="0" w:afterAutospacing="0" w:line="250"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C4631200</w:t>
            </w:r>
          </w:p>
        </w:tc>
      </w:tr>
      <w:tr w14:paraId="049A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68" w:hRule="atLeast"/>
        </w:trPr>
        <w:tc>
          <w:tcPr>
            <w:tcW w:w="714" w:type="dxa"/>
            <w:vMerge w:val="continue"/>
            <w:noWrap w:val="0"/>
            <w:vAlign w:val="center"/>
          </w:tcPr>
          <w:p w14:paraId="0A1F9F2F">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7780E412">
            <w:pPr>
              <w:spacing w:line="250" w:lineRule="exact"/>
              <w:rPr>
                <w:rFonts w:ascii="宋体" w:hAnsi="宋体" w:eastAsia="宋体" w:cs="宋体"/>
                <w:color w:val="auto"/>
                <w:kern w:val="0"/>
                <w:sz w:val="15"/>
                <w:szCs w:val="15"/>
                <w:highlight w:val="none"/>
              </w:rPr>
            </w:pPr>
          </w:p>
        </w:tc>
        <w:tc>
          <w:tcPr>
            <w:tcW w:w="2981" w:type="dxa"/>
            <w:vMerge w:val="continue"/>
            <w:noWrap w:val="0"/>
            <w:vAlign w:val="center"/>
          </w:tcPr>
          <w:p w14:paraId="65CE4755">
            <w:pPr>
              <w:spacing w:line="250" w:lineRule="exact"/>
              <w:rPr>
                <w:rFonts w:ascii="宋体" w:hAnsi="宋体" w:eastAsia="宋体" w:cs="宋体"/>
                <w:color w:val="auto"/>
                <w:kern w:val="0"/>
                <w:sz w:val="15"/>
                <w:szCs w:val="15"/>
                <w:highlight w:val="none"/>
              </w:rPr>
            </w:pPr>
          </w:p>
        </w:tc>
        <w:tc>
          <w:tcPr>
            <w:tcW w:w="851" w:type="dxa"/>
            <w:noWrap w:val="0"/>
            <w:vAlign w:val="center"/>
          </w:tcPr>
          <w:p w14:paraId="2E7FAB2E">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0FAD658D">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B10BB0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1147A89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1015D0A7">
            <w:pPr>
              <w:spacing w:line="250"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14:paraId="2EA78954">
            <w:pPr>
              <w:spacing w:line="250"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1E287F92">
            <w:pPr>
              <w:keepNext w:val="0"/>
              <w:keepLines w:val="0"/>
              <w:widowControl w:val="0"/>
              <w:suppressLineNumbers w:val="0"/>
              <w:spacing w:before="0" w:beforeAutospacing="0" w:after="0" w:afterAutospacing="0" w:line="250" w:lineRule="exact"/>
              <w:ind w:left="0" w:leftChars="0" w:right="0" w:rightChars="0"/>
              <w:jc w:val="center"/>
              <w:rPr>
                <w:rFonts w:ascii="宋体" w:hAnsi="宋体" w:eastAsia="宋体" w:cs="宋体"/>
                <w:color w:val="auto"/>
                <w:kern w:val="0"/>
                <w:sz w:val="15"/>
                <w:szCs w:val="15"/>
                <w:highlight w:val="none"/>
              </w:rPr>
            </w:pPr>
          </w:p>
        </w:tc>
      </w:tr>
      <w:tr w14:paraId="7F3D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47" w:hRule="atLeast"/>
        </w:trPr>
        <w:tc>
          <w:tcPr>
            <w:tcW w:w="714" w:type="dxa"/>
            <w:vMerge w:val="restart"/>
            <w:noWrap w:val="0"/>
            <w:vAlign w:val="center"/>
          </w:tcPr>
          <w:p w14:paraId="2FF0D82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vMerge w:val="restart"/>
            <w:noWrap w:val="0"/>
            <w:vAlign w:val="center"/>
          </w:tcPr>
          <w:p w14:paraId="07C8F9EC">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在绿地内取土、搭建构筑物</w:t>
            </w:r>
          </w:p>
        </w:tc>
        <w:tc>
          <w:tcPr>
            <w:tcW w:w="2981" w:type="dxa"/>
            <w:vMerge w:val="restart"/>
            <w:noWrap w:val="0"/>
            <w:vAlign w:val="center"/>
          </w:tcPr>
          <w:p w14:paraId="46D3235B">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noWrap w:val="0"/>
            <w:vAlign w:val="center"/>
          </w:tcPr>
          <w:p w14:paraId="3E454F5A">
            <w:pPr>
              <w:spacing w:line="250" w:lineRule="exact"/>
              <w:jc w:val="center"/>
              <w:rPr>
                <w:rFonts w:ascii="宋体" w:hAnsi="宋体" w:eastAsia="宋体" w:cs="宋体"/>
                <w:color w:val="auto"/>
                <w:kern w:val="0"/>
                <w:sz w:val="15"/>
                <w:szCs w:val="15"/>
                <w:highlight w:val="none"/>
              </w:rPr>
            </w:pPr>
          </w:p>
        </w:tc>
        <w:tc>
          <w:tcPr>
            <w:tcW w:w="840" w:type="dxa"/>
            <w:noWrap w:val="0"/>
            <w:vAlign w:val="center"/>
          </w:tcPr>
          <w:p w14:paraId="5A985B19">
            <w:pPr>
              <w:spacing w:line="250" w:lineRule="exact"/>
              <w:jc w:val="center"/>
              <w:rPr>
                <w:rFonts w:ascii="宋体" w:hAnsi="宋体" w:eastAsia="宋体" w:cs="宋体"/>
                <w:color w:val="auto"/>
                <w:kern w:val="0"/>
                <w:sz w:val="15"/>
                <w:szCs w:val="15"/>
                <w:highlight w:val="none"/>
              </w:rPr>
            </w:pPr>
          </w:p>
        </w:tc>
        <w:tc>
          <w:tcPr>
            <w:tcW w:w="2376" w:type="dxa"/>
            <w:noWrap w:val="0"/>
            <w:vAlign w:val="center"/>
          </w:tcPr>
          <w:p w14:paraId="207CC724">
            <w:pPr>
              <w:spacing w:line="250" w:lineRule="exact"/>
              <w:rPr>
                <w:rFonts w:ascii="宋体" w:hAnsi="宋体" w:eastAsia="宋体" w:cs="宋体"/>
                <w:color w:val="auto"/>
                <w:kern w:val="0"/>
                <w:sz w:val="15"/>
                <w:szCs w:val="15"/>
                <w:highlight w:val="none"/>
              </w:rPr>
            </w:pPr>
          </w:p>
        </w:tc>
        <w:tc>
          <w:tcPr>
            <w:tcW w:w="1875" w:type="dxa"/>
            <w:gridSpan w:val="2"/>
            <w:noWrap w:val="0"/>
            <w:vAlign w:val="center"/>
          </w:tcPr>
          <w:p w14:paraId="20F330E5">
            <w:pPr>
              <w:spacing w:line="250" w:lineRule="exact"/>
              <w:rPr>
                <w:rFonts w:ascii="宋体" w:hAnsi="宋体" w:eastAsia="宋体" w:cs="宋体"/>
                <w:color w:val="auto"/>
                <w:kern w:val="0"/>
                <w:sz w:val="15"/>
                <w:szCs w:val="15"/>
                <w:highlight w:val="none"/>
              </w:rPr>
            </w:pPr>
          </w:p>
        </w:tc>
        <w:tc>
          <w:tcPr>
            <w:tcW w:w="2020" w:type="dxa"/>
            <w:gridSpan w:val="2"/>
            <w:noWrap w:val="0"/>
            <w:vAlign w:val="center"/>
          </w:tcPr>
          <w:p w14:paraId="28643DDA">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14B8EF70">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281B63A">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1EA2DC68">
            <w:pPr>
              <w:keepNext w:val="0"/>
              <w:keepLines w:val="0"/>
              <w:widowControl w:val="0"/>
              <w:suppressLineNumbers w:val="0"/>
              <w:spacing w:before="0" w:beforeAutospacing="0" w:after="0" w:afterAutospacing="0" w:line="250"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C4631300</w:t>
            </w:r>
          </w:p>
        </w:tc>
      </w:tr>
      <w:tr w14:paraId="5690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56" w:hRule="atLeast"/>
        </w:trPr>
        <w:tc>
          <w:tcPr>
            <w:tcW w:w="714" w:type="dxa"/>
            <w:vMerge w:val="continue"/>
            <w:noWrap w:val="0"/>
            <w:vAlign w:val="center"/>
          </w:tcPr>
          <w:p w14:paraId="49640B9D">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62111045">
            <w:pPr>
              <w:spacing w:line="250" w:lineRule="exact"/>
              <w:rPr>
                <w:rFonts w:ascii="宋体" w:hAnsi="宋体" w:eastAsia="宋体" w:cs="宋体"/>
                <w:color w:val="auto"/>
                <w:kern w:val="0"/>
                <w:sz w:val="15"/>
                <w:szCs w:val="15"/>
                <w:highlight w:val="none"/>
              </w:rPr>
            </w:pPr>
          </w:p>
        </w:tc>
        <w:tc>
          <w:tcPr>
            <w:tcW w:w="2981" w:type="dxa"/>
            <w:vMerge w:val="continue"/>
            <w:noWrap w:val="0"/>
            <w:vAlign w:val="center"/>
          </w:tcPr>
          <w:p w14:paraId="5ECF6BB5">
            <w:pPr>
              <w:spacing w:line="250" w:lineRule="exact"/>
              <w:rPr>
                <w:rFonts w:ascii="宋体" w:hAnsi="宋体" w:eastAsia="宋体" w:cs="宋体"/>
                <w:color w:val="auto"/>
                <w:kern w:val="0"/>
                <w:sz w:val="15"/>
                <w:szCs w:val="15"/>
                <w:highlight w:val="none"/>
              </w:rPr>
            </w:pPr>
          </w:p>
        </w:tc>
        <w:tc>
          <w:tcPr>
            <w:tcW w:w="851" w:type="dxa"/>
            <w:noWrap w:val="0"/>
            <w:vAlign w:val="center"/>
          </w:tcPr>
          <w:p w14:paraId="25A35B8D">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34050BF2">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1448B8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5B407BD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4D0A9EF6">
            <w:pPr>
              <w:spacing w:line="250" w:lineRule="exact"/>
              <w:rPr>
                <w:rFonts w:ascii="宋体" w:hAnsi="宋体" w:eastAsia="宋体" w:cs="宋体"/>
                <w:color w:val="auto"/>
                <w:kern w:val="0"/>
                <w:sz w:val="15"/>
                <w:szCs w:val="15"/>
                <w:highlight w:val="none"/>
              </w:rPr>
            </w:pPr>
          </w:p>
        </w:tc>
        <w:tc>
          <w:tcPr>
            <w:tcW w:w="1304" w:type="dxa"/>
            <w:gridSpan w:val="2"/>
            <w:noWrap w:val="0"/>
            <w:vAlign w:val="center"/>
          </w:tcPr>
          <w:p w14:paraId="7EBBE329">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5EF9BF1">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49113702">
            <w:pPr>
              <w:keepNext w:val="0"/>
              <w:keepLines w:val="0"/>
              <w:widowControl w:val="0"/>
              <w:suppressLineNumbers w:val="0"/>
              <w:spacing w:before="0" w:beforeAutospacing="0" w:after="0" w:afterAutospacing="0" w:line="250" w:lineRule="exact"/>
              <w:ind w:left="0" w:leftChars="0" w:right="0" w:rightChars="0"/>
              <w:jc w:val="center"/>
              <w:rPr>
                <w:rFonts w:hint="eastAsia" w:ascii="宋体" w:hAnsi="宋体" w:eastAsia="宋体"/>
                <w:color w:val="auto"/>
                <w:sz w:val="15"/>
                <w:szCs w:val="15"/>
                <w:highlight w:val="none"/>
              </w:rPr>
            </w:pPr>
          </w:p>
        </w:tc>
      </w:tr>
      <w:tr w14:paraId="04B4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09" w:hRule="atLeast"/>
        </w:trPr>
        <w:tc>
          <w:tcPr>
            <w:tcW w:w="714" w:type="dxa"/>
            <w:vMerge w:val="restart"/>
            <w:noWrap w:val="0"/>
            <w:vAlign w:val="center"/>
          </w:tcPr>
          <w:p w14:paraId="2BC606E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vMerge w:val="restart"/>
            <w:noWrap w:val="0"/>
            <w:vAlign w:val="center"/>
          </w:tcPr>
          <w:p w14:paraId="05F5197F">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在绿地内用火、烧烤</w:t>
            </w:r>
          </w:p>
        </w:tc>
        <w:tc>
          <w:tcPr>
            <w:tcW w:w="2981" w:type="dxa"/>
            <w:vMerge w:val="restart"/>
            <w:noWrap w:val="0"/>
            <w:vAlign w:val="center"/>
          </w:tcPr>
          <w:p w14:paraId="08BE1E1A">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noWrap w:val="0"/>
            <w:vAlign w:val="center"/>
          </w:tcPr>
          <w:p w14:paraId="07F9833A">
            <w:pPr>
              <w:spacing w:line="250" w:lineRule="exact"/>
              <w:jc w:val="center"/>
              <w:rPr>
                <w:rFonts w:ascii="宋体" w:hAnsi="宋体" w:eastAsia="宋体" w:cs="宋体"/>
                <w:color w:val="auto"/>
                <w:kern w:val="0"/>
                <w:sz w:val="15"/>
                <w:szCs w:val="15"/>
                <w:highlight w:val="none"/>
              </w:rPr>
            </w:pPr>
          </w:p>
        </w:tc>
        <w:tc>
          <w:tcPr>
            <w:tcW w:w="840" w:type="dxa"/>
            <w:noWrap w:val="0"/>
            <w:vAlign w:val="center"/>
          </w:tcPr>
          <w:p w14:paraId="3E7F436B">
            <w:pPr>
              <w:spacing w:line="250" w:lineRule="exact"/>
              <w:jc w:val="center"/>
              <w:rPr>
                <w:rFonts w:ascii="宋体" w:hAnsi="宋体" w:eastAsia="宋体" w:cs="宋体"/>
                <w:color w:val="auto"/>
                <w:kern w:val="0"/>
                <w:sz w:val="15"/>
                <w:szCs w:val="15"/>
                <w:highlight w:val="none"/>
              </w:rPr>
            </w:pPr>
          </w:p>
        </w:tc>
        <w:tc>
          <w:tcPr>
            <w:tcW w:w="2376" w:type="dxa"/>
            <w:noWrap w:val="0"/>
            <w:vAlign w:val="center"/>
          </w:tcPr>
          <w:p w14:paraId="283D4EB8">
            <w:pPr>
              <w:spacing w:line="250" w:lineRule="exact"/>
              <w:rPr>
                <w:rFonts w:ascii="宋体" w:hAnsi="宋体" w:eastAsia="宋体" w:cs="宋体"/>
                <w:color w:val="auto"/>
                <w:kern w:val="0"/>
                <w:sz w:val="15"/>
                <w:szCs w:val="15"/>
                <w:highlight w:val="none"/>
              </w:rPr>
            </w:pPr>
          </w:p>
        </w:tc>
        <w:tc>
          <w:tcPr>
            <w:tcW w:w="1875" w:type="dxa"/>
            <w:gridSpan w:val="2"/>
            <w:noWrap w:val="0"/>
            <w:vAlign w:val="center"/>
          </w:tcPr>
          <w:p w14:paraId="7D1CC781">
            <w:pPr>
              <w:spacing w:line="250" w:lineRule="exact"/>
              <w:rPr>
                <w:rFonts w:ascii="宋体" w:hAnsi="宋体" w:eastAsia="宋体" w:cs="宋体"/>
                <w:color w:val="auto"/>
                <w:kern w:val="0"/>
                <w:sz w:val="15"/>
                <w:szCs w:val="15"/>
                <w:highlight w:val="none"/>
              </w:rPr>
            </w:pPr>
          </w:p>
        </w:tc>
        <w:tc>
          <w:tcPr>
            <w:tcW w:w="2020" w:type="dxa"/>
            <w:gridSpan w:val="2"/>
            <w:noWrap w:val="0"/>
            <w:vAlign w:val="center"/>
          </w:tcPr>
          <w:p w14:paraId="61DC1C5F">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304" w:type="dxa"/>
            <w:gridSpan w:val="2"/>
            <w:vMerge w:val="restart"/>
            <w:noWrap w:val="0"/>
            <w:vAlign w:val="center"/>
          </w:tcPr>
          <w:p w14:paraId="3E15F7C5">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0AFF990">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49B33BDE">
            <w:pPr>
              <w:keepNext w:val="0"/>
              <w:keepLines w:val="0"/>
              <w:widowControl w:val="0"/>
              <w:suppressLineNumbers w:val="0"/>
              <w:spacing w:before="0" w:beforeAutospacing="0" w:after="0" w:afterAutospacing="0" w:line="250" w:lineRule="exact"/>
              <w:ind w:left="0" w:right="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C4631400</w:t>
            </w:r>
          </w:p>
        </w:tc>
      </w:tr>
      <w:tr w14:paraId="4F96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25" w:hRule="atLeast"/>
        </w:trPr>
        <w:tc>
          <w:tcPr>
            <w:tcW w:w="714" w:type="dxa"/>
            <w:vMerge w:val="continue"/>
            <w:noWrap w:val="0"/>
            <w:vAlign w:val="center"/>
          </w:tcPr>
          <w:p w14:paraId="06E74F4C">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0E3DF400">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14:paraId="1437C7E5">
            <w:pPr>
              <w:spacing w:line="232" w:lineRule="exact"/>
              <w:rPr>
                <w:rFonts w:ascii="宋体" w:hAnsi="宋体" w:eastAsia="宋体" w:cs="宋体"/>
                <w:color w:val="auto"/>
                <w:kern w:val="0"/>
                <w:sz w:val="15"/>
                <w:szCs w:val="15"/>
                <w:highlight w:val="none"/>
              </w:rPr>
            </w:pPr>
          </w:p>
        </w:tc>
        <w:tc>
          <w:tcPr>
            <w:tcW w:w="851" w:type="dxa"/>
            <w:noWrap w:val="0"/>
            <w:vAlign w:val="center"/>
          </w:tcPr>
          <w:p w14:paraId="7DACC43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578ED08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8F0BD6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5567707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07B2DE3E">
            <w:pPr>
              <w:spacing w:line="232"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14:paraId="74F7CF9A">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14:paraId="46DEE339">
            <w:pPr>
              <w:keepNext w:val="0"/>
              <w:keepLines w:val="0"/>
              <w:widowControl w:val="0"/>
              <w:suppressLineNumbers w:val="0"/>
              <w:spacing w:before="0" w:beforeAutospacing="0" w:after="0" w:afterAutospacing="0" w:line="232" w:lineRule="exact"/>
              <w:ind w:left="0" w:right="0"/>
              <w:jc w:val="both"/>
              <w:rPr>
                <w:rFonts w:ascii="宋体" w:hAnsi="宋体" w:eastAsia="宋体"/>
                <w:color w:val="auto"/>
                <w:sz w:val="15"/>
                <w:szCs w:val="15"/>
                <w:highlight w:val="none"/>
              </w:rPr>
            </w:pPr>
          </w:p>
        </w:tc>
      </w:tr>
      <w:tr w14:paraId="5468E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87" w:hRule="atLeast"/>
        </w:trPr>
        <w:tc>
          <w:tcPr>
            <w:tcW w:w="714" w:type="dxa"/>
            <w:vMerge w:val="restart"/>
            <w:noWrap w:val="0"/>
            <w:vAlign w:val="center"/>
          </w:tcPr>
          <w:p w14:paraId="4BB660F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vMerge w:val="restart"/>
            <w:noWrap w:val="0"/>
            <w:vAlign w:val="center"/>
          </w:tcPr>
          <w:p w14:paraId="4750011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实施其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rPr>
              <w:t>损害绿化成果及绿化设施的行为</w:t>
            </w:r>
          </w:p>
        </w:tc>
        <w:tc>
          <w:tcPr>
            <w:tcW w:w="2981" w:type="dxa"/>
            <w:vMerge w:val="restart"/>
            <w:noWrap w:val="0"/>
            <w:vAlign w:val="center"/>
          </w:tcPr>
          <w:p w14:paraId="3F64B9D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noWrap w:val="0"/>
            <w:vAlign w:val="center"/>
          </w:tcPr>
          <w:p w14:paraId="32F67CC7">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00591E16">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250EE5BD">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481C7C84">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73745EC3">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6967882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012033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186E5377">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C4631500</w:t>
            </w:r>
          </w:p>
        </w:tc>
      </w:tr>
      <w:tr w14:paraId="589A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85" w:hRule="atLeast"/>
        </w:trPr>
        <w:tc>
          <w:tcPr>
            <w:tcW w:w="714" w:type="dxa"/>
            <w:vMerge w:val="continue"/>
            <w:noWrap w:val="0"/>
            <w:vAlign w:val="center"/>
          </w:tcPr>
          <w:p w14:paraId="1DD76D2C">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3A26E74E">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14:paraId="439C40E8">
            <w:pPr>
              <w:spacing w:line="232" w:lineRule="exact"/>
              <w:rPr>
                <w:rFonts w:ascii="宋体" w:hAnsi="宋体" w:eastAsia="宋体" w:cs="宋体"/>
                <w:color w:val="auto"/>
                <w:kern w:val="0"/>
                <w:sz w:val="15"/>
                <w:szCs w:val="15"/>
                <w:highlight w:val="none"/>
              </w:rPr>
            </w:pPr>
          </w:p>
        </w:tc>
        <w:tc>
          <w:tcPr>
            <w:tcW w:w="851" w:type="dxa"/>
            <w:noWrap w:val="0"/>
            <w:vAlign w:val="center"/>
          </w:tcPr>
          <w:p w14:paraId="6A03ECF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6B7E967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28C1CC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5A66E4B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0CC60164">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2302E4B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EBA170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A9301B3">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p>
        </w:tc>
      </w:tr>
      <w:tr w14:paraId="486B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48" w:hRule="atLeast"/>
        </w:trPr>
        <w:tc>
          <w:tcPr>
            <w:tcW w:w="714" w:type="dxa"/>
            <w:noWrap w:val="0"/>
            <w:vAlign w:val="center"/>
          </w:tcPr>
          <w:p w14:paraId="194E809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14:paraId="4798367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未经许可擅自改变绿地性质和用途</w:t>
            </w:r>
          </w:p>
        </w:tc>
        <w:tc>
          <w:tcPr>
            <w:tcW w:w="2981" w:type="dxa"/>
            <w:noWrap w:val="0"/>
            <w:vAlign w:val="center"/>
          </w:tcPr>
          <w:p w14:paraId="06405F4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违反条款：第五十七条；处罚条款：第六十八条责令限期改正、恢复原状，并按照改变的面积处每平方米300元以上3000元以下罚款</w:t>
            </w:r>
            <w:r>
              <w:rPr>
                <w:rFonts w:ascii="宋体" w:hAnsi="宋体" w:eastAsia="宋体" w:cs="宋体"/>
                <w:color w:val="auto"/>
                <w:kern w:val="0"/>
                <w:sz w:val="15"/>
                <w:szCs w:val="15"/>
                <w:highlight w:val="none"/>
              </w:rPr>
              <w:t>。</w:t>
            </w:r>
          </w:p>
        </w:tc>
        <w:tc>
          <w:tcPr>
            <w:tcW w:w="851" w:type="dxa"/>
            <w:noWrap w:val="0"/>
            <w:vAlign w:val="center"/>
          </w:tcPr>
          <w:p w14:paraId="6FAADD4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00</w:t>
            </w:r>
          </w:p>
        </w:tc>
        <w:tc>
          <w:tcPr>
            <w:tcW w:w="840" w:type="dxa"/>
            <w:noWrap w:val="0"/>
            <w:vAlign w:val="center"/>
          </w:tcPr>
          <w:p w14:paraId="4D5BC99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FAF641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1.擅自改变公共绿地性质和用途的，系数5-9；主动改正违法行为或者减轻违法后果的，系数1-4。2.改变</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绿地的，系数1-4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情节严重或者社会影响恶劣的情形，系数5-9。</w:t>
            </w:r>
          </w:p>
        </w:tc>
        <w:tc>
          <w:tcPr>
            <w:tcW w:w="1875" w:type="dxa"/>
            <w:gridSpan w:val="2"/>
            <w:noWrap w:val="0"/>
            <w:vAlign w:val="center"/>
          </w:tcPr>
          <w:p w14:paraId="1CF3DB7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罚款数额＝面积×300×（1＋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2D335D07">
            <w:pPr>
              <w:spacing w:line="232" w:lineRule="exact"/>
              <w:rPr>
                <w:rFonts w:ascii="宋体" w:hAnsi="宋体" w:eastAsia="宋体" w:cs="宋体"/>
                <w:b/>
                <w:color w:val="auto"/>
                <w:kern w:val="0"/>
                <w:sz w:val="15"/>
                <w:szCs w:val="15"/>
                <w:highlight w:val="none"/>
              </w:rPr>
            </w:pPr>
          </w:p>
        </w:tc>
        <w:tc>
          <w:tcPr>
            <w:tcW w:w="1304" w:type="dxa"/>
            <w:gridSpan w:val="2"/>
            <w:noWrap w:val="0"/>
            <w:vAlign w:val="center"/>
          </w:tcPr>
          <w:p w14:paraId="1E337A5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8D61550">
            <w:pPr>
              <w:spacing w:line="232"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D5776F0">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C4643100</w:t>
            </w:r>
          </w:p>
        </w:tc>
      </w:tr>
      <w:tr w14:paraId="1462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63" w:hRule="atLeast"/>
        </w:trPr>
        <w:tc>
          <w:tcPr>
            <w:tcW w:w="714" w:type="dxa"/>
            <w:noWrap w:val="0"/>
            <w:vAlign w:val="center"/>
          </w:tcPr>
          <w:p w14:paraId="5F6999A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14:paraId="754265F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未按规定移植树木</w:t>
            </w:r>
          </w:p>
        </w:tc>
        <w:tc>
          <w:tcPr>
            <w:tcW w:w="2981" w:type="dxa"/>
            <w:noWrap w:val="0"/>
            <w:vAlign w:val="center"/>
          </w:tcPr>
          <w:p w14:paraId="6CB671B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noWrap w:val="0"/>
            <w:vAlign w:val="center"/>
          </w:tcPr>
          <w:p w14:paraId="167CDFB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noWrap w:val="0"/>
            <w:vAlign w:val="center"/>
          </w:tcPr>
          <w:p w14:paraId="0E30FBF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2376" w:type="dxa"/>
            <w:noWrap w:val="0"/>
            <w:vAlign w:val="center"/>
          </w:tcPr>
          <w:p w14:paraId="6E267338">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7360DFF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罚款数额＝树木价值×（3＋</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1580899D">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2151968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3D8CE9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3B7636A">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C4643700</w:t>
            </w:r>
          </w:p>
        </w:tc>
      </w:tr>
      <w:tr w14:paraId="29E9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44" w:hRule="atLeast"/>
        </w:trPr>
        <w:tc>
          <w:tcPr>
            <w:tcW w:w="714" w:type="dxa"/>
            <w:noWrap w:val="0"/>
            <w:vAlign w:val="center"/>
          </w:tcPr>
          <w:p w14:paraId="734A72D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14:paraId="1C6A93B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未按规定砍伐树木</w:t>
            </w:r>
          </w:p>
        </w:tc>
        <w:tc>
          <w:tcPr>
            <w:tcW w:w="2981" w:type="dxa"/>
            <w:noWrap w:val="0"/>
            <w:vAlign w:val="center"/>
          </w:tcPr>
          <w:p w14:paraId="1206A4D6">
            <w:pPr>
              <w:spacing w:line="232"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noWrap w:val="0"/>
            <w:vAlign w:val="center"/>
          </w:tcPr>
          <w:p w14:paraId="1947D54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noWrap w:val="0"/>
            <w:vAlign w:val="center"/>
          </w:tcPr>
          <w:p w14:paraId="7AFA8DA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2376" w:type="dxa"/>
            <w:noWrap w:val="0"/>
            <w:vAlign w:val="center"/>
          </w:tcPr>
          <w:p w14:paraId="57F7D81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违反规定截除（擅自砍伐）第五十九条第一款四种情形之外树木主干、去除树冠的，系数 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3EC7B51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罚款数额＝树木价值×（5＋</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5ED731A1">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534775A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6529393">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88CFF42">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C4642800</w:t>
            </w:r>
          </w:p>
        </w:tc>
      </w:tr>
      <w:tr w14:paraId="7136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38" w:hRule="atLeast"/>
        </w:trPr>
        <w:tc>
          <w:tcPr>
            <w:tcW w:w="714" w:type="dxa"/>
            <w:noWrap w:val="0"/>
            <w:vAlign w:val="center"/>
          </w:tcPr>
          <w:p w14:paraId="20CF803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14:paraId="7021DE5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违反规定截除树木主干、去除树冠</w:t>
            </w:r>
          </w:p>
        </w:tc>
        <w:tc>
          <w:tcPr>
            <w:tcW w:w="2981" w:type="dxa"/>
            <w:noWrap w:val="0"/>
            <w:vAlign w:val="center"/>
          </w:tcPr>
          <w:p w14:paraId="0EFD1EA4">
            <w:pPr>
              <w:spacing w:line="25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w:t>
            </w:r>
            <w:r>
              <w:rPr>
                <w:rFonts w:ascii="宋体" w:hAnsi="宋体" w:eastAsia="宋体" w:cs="宋体"/>
                <w:color w:val="auto"/>
                <w:kern w:val="0"/>
                <w:sz w:val="15"/>
                <w:szCs w:val="15"/>
                <w:highlight w:val="none"/>
              </w:rPr>
              <w:t>条款：</w:t>
            </w:r>
            <w:r>
              <w:rPr>
                <w:rFonts w:hint="eastAsia" w:ascii="宋体" w:hAnsi="宋体" w:eastAsia="宋体" w:cs="宋体"/>
                <w:color w:val="auto"/>
                <w:kern w:val="0"/>
                <w:sz w:val="15"/>
                <w:szCs w:val="15"/>
                <w:highlight w:val="none"/>
              </w:rPr>
              <w:t>第五十条第（六）项；</w:t>
            </w:r>
          </w:p>
          <w:p w14:paraId="4A0EC2CB">
            <w:pPr>
              <w:spacing w:line="25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w:t>
            </w:r>
            <w:r>
              <w:rPr>
                <w:rFonts w:ascii="宋体" w:hAnsi="宋体" w:eastAsia="宋体" w:cs="宋体"/>
                <w:color w:val="auto"/>
                <w:kern w:val="0"/>
                <w:sz w:val="15"/>
                <w:szCs w:val="15"/>
                <w:highlight w:val="none"/>
              </w:rPr>
              <w:t>条款：</w:t>
            </w:r>
            <w:r>
              <w:rPr>
                <w:rFonts w:hint="eastAsia" w:ascii="宋体" w:hAnsi="宋体" w:eastAsia="宋体" w:cs="宋体"/>
                <w:color w:val="auto"/>
                <w:kern w:val="0"/>
                <w:sz w:val="15"/>
                <w:szCs w:val="15"/>
                <w:highlight w:val="none"/>
              </w:rPr>
              <w:t>第七十条第一款、第二款  责令停止违法行为，并在规定地点补种砍伐株数10倍的树木，处所砍伐树木价值5至10倍的罚款。</w:t>
            </w:r>
          </w:p>
        </w:tc>
        <w:tc>
          <w:tcPr>
            <w:tcW w:w="851" w:type="dxa"/>
            <w:noWrap w:val="0"/>
            <w:vAlign w:val="center"/>
          </w:tcPr>
          <w:p w14:paraId="0A71BA6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noWrap w:val="0"/>
            <w:vAlign w:val="center"/>
          </w:tcPr>
          <w:p w14:paraId="6BBDE64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2376" w:type="dxa"/>
            <w:noWrap w:val="0"/>
            <w:vAlign w:val="center"/>
          </w:tcPr>
          <w:p w14:paraId="2511E94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违反规定截除（擅自砍伐）第五十九条第一款四种情形之外树木主干、去除树冠的，系数1-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132578A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罚款数额＝树木价值×（5＋</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494B6B26">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3E24E78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98BFA6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D848514">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C4644900</w:t>
            </w:r>
          </w:p>
        </w:tc>
      </w:tr>
      <w:tr w14:paraId="0098B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07" w:hRule="atLeast"/>
        </w:trPr>
        <w:tc>
          <w:tcPr>
            <w:tcW w:w="714" w:type="dxa"/>
            <w:noWrap w:val="0"/>
            <w:vAlign w:val="center"/>
          </w:tcPr>
          <w:p w14:paraId="23D1A53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5</w:t>
            </w:r>
          </w:p>
        </w:tc>
        <w:tc>
          <w:tcPr>
            <w:tcW w:w="1626" w:type="dxa"/>
            <w:gridSpan w:val="2"/>
            <w:noWrap w:val="0"/>
            <w:vAlign w:val="center"/>
          </w:tcPr>
          <w:p w14:paraId="733B0092">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未经许可临时占用绿地</w:t>
            </w:r>
          </w:p>
        </w:tc>
        <w:tc>
          <w:tcPr>
            <w:tcW w:w="2981" w:type="dxa"/>
            <w:noWrap w:val="0"/>
            <w:vAlign w:val="center"/>
          </w:tcPr>
          <w:p w14:paraId="7C99C30A">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w:t>
            </w:r>
          </w:p>
          <w:p w14:paraId="12CA7633">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处罚条款：第六十八条 责令限期改正、恢复原状，并按照改变的面积处每平方米300元以上3000元以下罚款。</w:t>
            </w:r>
          </w:p>
        </w:tc>
        <w:tc>
          <w:tcPr>
            <w:tcW w:w="851" w:type="dxa"/>
            <w:noWrap w:val="0"/>
            <w:vAlign w:val="center"/>
          </w:tcPr>
          <w:p w14:paraId="2604056A">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00</w:t>
            </w:r>
          </w:p>
        </w:tc>
        <w:tc>
          <w:tcPr>
            <w:tcW w:w="840" w:type="dxa"/>
            <w:noWrap w:val="0"/>
            <w:vAlign w:val="center"/>
          </w:tcPr>
          <w:p w14:paraId="61C1C1A8">
            <w:pPr>
              <w:spacing w:line="21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2376" w:type="dxa"/>
            <w:noWrap w:val="0"/>
            <w:vAlign w:val="center"/>
          </w:tcPr>
          <w:p w14:paraId="4EF6E58B">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1.临时占用公共绿地的，系数5-9；主动改正违法行为或者减轻违法后果的，系数1-4。2.临时占用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绿地的，系数1-4；3.存在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情节严重或者社会影响恶劣的情形，系数5-9。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1E6BB90">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罚款数额＝面积×300×（1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1E6CC603">
            <w:pPr>
              <w:spacing w:line="212" w:lineRule="exact"/>
              <w:rPr>
                <w:rFonts w:ascii="宋体" w:hAnsi="宋体" w:eastAsia="宋体" w:cs="宋体"/>
                <w:b/>
                <w:color w:val="auto"/>
                <w:kern w:val="0"/>
                <w:sz w:val="15"/>
                <w:szCs w:val="15"/>
                <w:highlight w:val="none"/>
              </w:rPr>
            </w:pPr>
          </w:p>
        </w:tc>
        <w:tc>
          <w:tcPr>
            <w:tcW w:w="1304" w:type="dxa"/>
            <w:gridSpan w:val="2"/>
            <w:noWrap w:val="0"/>
            <w:vAlign w:val="center"/>
          </w:tcPr>
          <w:p w14:paraId="513F43BA">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71F5301">
            <w:pPr>
              <w:spacing w:line="212"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3B6EEB5">
            <w:pPr>
              <w:keepNext w:val="0"/>
              <w:keepLines w:val="0"/>
              <w:widowControl w:val="0"/>
              <w:suppressLineNumbers w:val="0"/>
              <w:tabs>
                <w:tab w:val="left" w:pos="277"/>
              </w:tabs>
              <w:spacing w:before="0" w:beforeAutospacing="0" w:after="0" w:afterAutospacing="0" w:line="21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C4640700</w:t>
            </w:r>
          </w:p>
        </w:tc>
      </w:tr>
      <w:tr w14:paraId="60AD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61" w:hRule="atLeast"/>
        </w:trPr>
        <w:tc>
          <w:tcPr>
            <w:tcW w:w="714" w:type="dxa"/>
            <w:noWrap w:val="0"/>
            <w:vAlign w:val="center"/>
          </w:tcPr>
          <w:p w14:paraId="05E90CC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noWrap w:val="0"/>
            <w:vAlign w:val="center"/>
          </w:tcPr>
          <w:p w14:paraId="5D9CF8E3">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未将代征绿地交绿化主管部门组织绿化</w:t>
            </w:r>
          </w:p>
        </w:tc>
        <w:tc>
          <w:tcPr>
            <w:tcW w:w="2981" w:type="dxa"/>
            <w:noWrap w:val="0"/>
            <w:vAlign w:val="center"/>
          </w:tcPr>
          <w:p w14:paraId="5D3DB249">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w:t>
            </w:r>
          </w:p>
          <w:p w14:paraId="19F015FE">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处罚条款：第七十一条 责令限期交回，并处每日每平方米0.5元的罚款。</w:t>
            </w:r>
          </w:p>
        </w:tc>
        <w:tc>
          <w:tcPr>
            <w:tcW w:w="851" w:type="dxa"/>
            <w:noWrap w:val="0"/>
            <w:vAlign w:val="center"/>
          </w:tcPr>
          <w:p w14:paraId="4F24ECEE">
            <w:pPr>
              <w:spacing w:line="212" w:lineRule="exact"/>
              <w:jc w:val="center"/>
              <w:rPr>
                <w:rFonts w:ascii="宋体" w:hAnsi="宋体" w:eastAsia="宋体" w:cs="宋体"/>
                <w:color w:val="auto"/>
                <w:kern w:val="0"/>
                <w:sz w:val="15"/>
                <w:szCs w:val="15"/>
                <w:highlight w:val="none"/>
              </w:rPr>
            </w:pPr>
          </w:p>
        </w:tc>
        <w:tc>
          <w:tcPr>
            <w:tcW w:w="840" w:type="dxa"/>
            <w:noWrap w:val="0"/>
            <w:vAlign w:val="center"/>
          </w:tcPr>
          <w:p w14:paraId="177D366C">
            <w:pPr>
              <w:spacing w:line="212" w:lineRule="exact"/>
              <w:jc w:val="center"/>
              <w:rPr>
                <w:rFonts w:ascii="宋体" w:hAnsi="宋体" w:eastAsia="宋体" w:cs="宋体"/>
                <w:color w:val="auto"/>
                <w:kern w:val="0"/>
                <w:sz w:val="15"/>
                <w:szCs w:val="15"/>
                <w:highlight w:val="none"/>
              </w:rPr>
            </w:pPr>
          </w:p>
        </w:tc>
        <w:tc>
          <w:tcPr>
            <w:tcW w:w="2376" w:type="dxa"/>
            <w:noWrap w:val="0"/>
            <w:vAlign w:val="center"/>
          </w:tcPr>
          <w:p w14:paraId="10CD3176">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14:paraId="1B5F6507">
            <w:pPr>
              <w:spacing w:line="212" w:lineRule="exact"/>
              <w:rPr>
                <w:rFonts w:ascii="宋体" w:hAnsi="宋体" w:eastAsia="宋体" w:cs="宋体"/>
                <w:color w:val="auto"/>
                <w:kern w:val="0"/>
                <w:sz w:val="15"/>
                <w:szCs w:val="15"/>
                <w:highlight w:val="none"/>
              </w:rPr>
            </w:pPr>
          </w:p>
        </w:tc>
        <w:tc>
          <w:tcPr>
            <w:tcW w:w="2020" w:type="dxa"/>
            <w:gridSpan w:val="2"/>
            <w:noWrap w:val="0"/>
            <w:vAlign w:val="center"/>
          </w:tcPr>
          <w:p w14:paraId="3DF495DE">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按规定计算罚款额度。</w:t>
            </w:r>
          </w:p>
        </w:tc>
        <w:tc>
          <w:tcPr>
            <w:tcW w:w="1304" w:type="dxa"/>
            <w:gridSpan w:val="2"/>
            <w:noWrap w:val="0"/>
            <w:vAlign w:val="center"/>
          </w:tcPr>
          <w:p w14:paraId="3EBED013">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23B99D6">
            <w:pPr>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7DE339F">
            <w:pPr>
              <w:keepNext w:val="0"/>
              <w:keepLines w:val="0"/>
              <w:widowControl w:val="0"/>
              <w:suppressLineNumbers w:val="0"/>
              <w:spacing w:before="0" w:beforeAutospacing="0" w:after="0" w:afterAutospacing="0" w:line="21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C4640900</w:t>
            </w:r>
          </w:p>
        </w:tc>
      </w:tr>
      <w:tr w14:paraId="7EE5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81" w:hRule="atLeast"/>
        </w:trPr>
        <w:tc>
          <w:tcPr>
            <w:tcW w:w="14587" w:type="dxa"/>
            <w:gridSpan w:val="13"/>
            <w:noWrap w:val="0"/>
            <w:vAlign w:val="center"/>
          </w:tcPr>
          <w:p w14:paraId="4325D513">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6" w:name="_Toc110851468"/>
            <w:bookmarkStart w:id="97" w:name="_Toc177791596"/>
            <w:bookmarkStart w:id="98" w:name="_Toc1043557846"/>
            <w:r>
              <w:rPr>
                <w:rFonts w:hint="eastAsia" w:ascii="宋体" w:hAnsi="宋体" w:eastAsia="宋体"/>
                <w:color w:val="auto"/>
                <w:sz w:val="21"/>
                <w:szCs w:val="21"/>
                <w:highlight w:val="none"/>
              </w:rPr>
              <w:t>《北京市物业</w:t>
            </w:r>
            <w:r>
              <w:rPr>
                <w:rFonts w:ascii="宋体" w:hAnsi="宋体" w:eastAsia="宋体"/>
                <w:color w:val="auto"/>
                <w:sz w:val="21"/>
                <w:szCs w:val="21"/>
                <w:highlight w:val="none"/>
              </w:rPr>
              <w:t>管理条例</w:t>
            </w:r>
            <w:r>
              <w:rPr>
                <w:rFonts w:hint="eastAsia" w:ascii="宋体" w:hAnsi="宋体" w:eastAsia="宋体"/>
                <w:color w:val="auto"/>
                <w:sz w:val="21"/>
                <w:szCs w:val="21"/>
                <w:highlight w:val="none"/>
              </w:rPr>
              <w:t>》案由1项</w:t>
            </w:r>
            <w:bookmarkEnd w:id="96"/>
            <w:bookmarkEnd w:id="97"/>
            <w:bookmarkEnd w:id="98"/>
          </w:p>
        </w:tc>
        <w:tc>
          <w:tcPr>
            <w:tcW w:w="1869" w:type="dxa"/>
            <w:noWrap w:val="0"/>
            <w:vAlign w:val="center"/>
          </w:tcPr>
          <w:p w14:paraId="1386B7E5">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14:paraId="27F18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13" w:hRule="atLeast"/>
        </w:trPr>
        <w:tc>
          <w:tcPr>
            <w:tcW w:w="714" w:type="dxa"/>
            <w:noWrap w:val="0"/>
            <w:vAlign w:val="center"/>
          </w:tcPr>
          <w:p w14:paraId="4F9534F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626" w:type="dxa"/>
            <w:gridSpan w:val="2"/>
            <w:noWrap w:val="0"/>
            <w:vAlign w:val="center"/>
          </w:tcPr>
          <w:p w14:paraId="7CD1A265">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侵占绿地、毁坏绿化植物和绿化设施</w:t>
            </w:r>
          </w:p>
        </w:tc>
        <w:tc>
          <w:tcPr>
            <w:tcW w:w="2981" w:type="dxa"/>
            <w:noWrap w:val="0"/>
            <w:vAlign w:val="center"/>
          </w:tcPr>
          <w:p w14:paraId="2D780D1B">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违反条款：第七十八条第二款第(九)项。</w:t>
            </w:r>
          </w:p>
          <w:p w14:paraId="0F8E0653">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处罚条款：第九十八条第（九）项，责令改正，拒不改正的，处五百元以上五千元以下的罚款。</w:t>
            </w:r>
          </w:p>
        </w:tc>
        <w:tc>
          <w:tcPr>
            <w:tcW w:w="851" w:type="dxa"/>
            <w:noWrap w:val="0"/>
            <w:vAlign w:val="center"/>
          </w:tcPr>
          <w:p w14:paraId="59D6DDE4">
            <w:pPr>
              <w:spacing w:line="212" w:lineRule="exact"/>
              <w:ind w:firstLine="225" w:firstLineChars="150"/>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14:paraId="1C32A988">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3E8642E4">
            <w:pPr>
              <w:numPr>
                <w:ilvl w:val="0"/>
                <w:numId w:val="0"/>
              </w:num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造成绿化</w:t>
            </w:r>
            <w:r>
              <w:rPr>
                <w:rFonts w:ascii="宋体" w:hAnsi="宋体" w:eastAsia="宋体"/>
                <w:color w:val="auto"/>
                <w:sz w:val="15"/>
                <w:szCs w:val="15"/>
                <w:highlight w:val="none"/>
              </w:rPr>
              <w:t>植物</w:t>
            </w:r>
            <w:r>
              <w:rPr>
                <w:rFonts w:hint="eastAsia" w:ascii="宋体" w:hAnsi="宋体" w:eastAsia="宋体"/>
                <w:color w:val="auto"/>
                <w:sz w:val="15"/>
                <w:szCs w:val="15"/>
                <w:highlight w:val="none"/>
              </w:rPr>
              <w:t>、绿地或绿化设施损毁严重的，系数9。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DE14287">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152B0C5F">
            <w:pPr>
              <w:spacing w:line="21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经责令改正后，当事人主动改正违法行为，不予处罚</w:t>
            </w:r>
            <w:r>
              <w:rPr>
                <w:rFonts w:hint="eastAsia" w:ascii="宋体" w:hAnsi="宋体" w:eastAsia="宋体"/>
                <w:strike w:val="0"/>
                <w:dstrike w:val="0"/>
                <w:color w:val="auto"/>
                <w:sz w:val="15"/>
                <w:szCs w:val="15"/>
                <w:highlight w:val="none"/>
                <w:lang w:eastAsia="zh-CN"/>
              </w:rPr>
              <w:t>。</w:t>
            </w:r>
          </w:p>
        </w:tc>
        <w:tc>
          <w:tcPr>
            <w:tcW w:w="1304" w:type="dxa"/>
            <w:gridSpan w:val="2"/>
            <w:noWrap w:val="0"/>
            <w:vAlign w:val="center"/>
          </w:tcPr>
          <w:p w14:paraId="65FDE4F4">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7729FFE">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D58E74C">
            <w:pPr>
              <w:keepNext w:val="0"/>
              <w:keepLines w:val="0"/>
              <w:widowControl w:val="0"/>
              <w:suppressLineNumbers w:val="0"/>
              <w:spacing w:before="0" w:beforeAutospacing="0" w:after="0" w:afterAutospacing="0" w:line="212" w:lineRule="exact"/>
              <w:ind w:left="0" w:right="0"/>
              <w:jc w:val="both"/>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C4648300</w:t>
            </w:r>
          </w:p>
        </w:tc>
      </w:tr>
      <w:tr w14:paraId="64FA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40" w:hRule="atLeast"/>
        </w:trPr>
        <w:tc>
          <w:tcPr>
            <w:tcW w:w="14587" w:type="dxa"/>
            <w:gridSpan w:val="13"/>
            <w:noWrap w:val="0"/>
            <w:vAlign w:val="center"/>
          </w:tcPr>
          <w:p w14:paraId="5CF716C0">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9" w:name="_Toc110851469"/>
            <w:bookmarkStart w:id="100" w:name="_Toc1576301640"/>
            <w:bookmarkStart w:id="101" w:name="_Toc1677030221"/>
            <w:bookmarkStart w:id="102" w:name="_Toc1446129084"/>
            <w:r>
              <w:rPr>
                <w:rFonts w:hint="eastAsia" w:ascii="宋体" w:hAnsi="宋体" w:eastAsia="宋体" w:cs="宋体"/>
                <w:color w:val="auto"/>
                <w:sz w:val="21"/>
                <w:szCs w:val="21"/>
                <w:highlight w:val="none"/>
              </w:rPr>
              <w:t>《古树名木保护条例》案由11项</w:t>
            </w:r>
            <w:bookmarkEnd w:id="99"/>
            <w:bookmarkEnd w:id="100"/>
            <w:bookmarkEnd w:id="101"/>
            <w:bookmarkEnd w:id="102"/>
          </w:p>
        </w:tc>
        <w:tc>
          <w:tcPr>
            <w:tcW w:w="1869" w:type="dxa"/>
            <w:noWrap w:val="0"/>
            <w:vAlign w:val="center"/>
          </w:tcPr>
          <w:p w14:paraId="52AD6D48">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65B43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47" w:hRule="atLeast"/>
        </w:trPr>
        <w:tc>
          <w:tcPr>
            <w:tcW w:w="714" w:type="dxa"/>
            <w:vMerge w:val="restart"/>
            <w:noWrap w:val="0"/>
            <w:vAlign w:val="center"/>
          </w:tcPr>
          <w:p w14:paraId="7AC155F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vMerge w:val="restart"/>
            <w:noWrap w:val="0"/>
            <w:vAlign w:val="center"/>
          </w:tcPr>
          <w:p w14:paraId="7A57822D">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w:t>
            </w:r>
            <w:r>
              <w:rPr>
                <w:rFonts w:hint="eastAsia" w:ascii="宋体" w:hAnsi="宋体" w:eastAsia="宋体" w:cs="宋体"/>
                <w:color w:val="auto"/>
                <w:kern w:val="0"/>
                <w:sz w:val="15"/>
                <w:szCs w:val="15"/>
                <w:highlight w:val="none"/>
                <w:lang w:eastAsia="zh-CN"/>
              </w:rPr>
              <w:t>移植古树名木</w:t>
            </w:r>
          </w:p>
        </w:tc>
        <w:tc>
          <w:tcPr>
            <w:tcW w:w="2981" w:type="dxa"/>
            <w:vMerge w:val="restart"/>
            <w:noWrap w:val="0"/>
            <w:vAlign w:val="center"/>
          </w:tcPr>
          <w:p w14:paraId="4D19F67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十五</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p>
          <w:p w14:paraId="7689D8E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3BC83A01">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7DE1249F">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42F8C355">
            <w:pPr>
              <w:spacing w:line="232" w:lineRule="exact"/>
              <w:ind w:firstLine="300" w:firstLineChars="200"/>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31C0EB5C">
            <w:pPr>
              <w:spacing w:line="232" w:lineRule="exact"/>
              <w:jc w:val="center"/>
              <w:rPr>
                <w:rFonts w:hint="default" w:ascii="宋体" w:hAnsi="宋体" w:eastAsia="宋体" w:cs="宋体"/>
                <w:color w:val="auto"/>
                <w:kern w:val="0"/>
                <w:sz w:val="15"/>
                <w:szCs w:val="15"/>
                <w:highlight w:val="none"/>
                <w:lang w:val="en-US"/>
              </w:rPr>
            </w:pPr>
            <w:r>
              <w:rPr>
                <w:rFonts w:hint="default" w:ascii="宋体" w:hAnsi="宋体" w:cs="宋体"/>
                <w:color w:val="auto"/>
                <w:kern w:val="0"/>
                <w:sz w:val="15"/>
                <w:szCs w:val="15"/>
                <w:highlight w:val="none"/>
                <w:lang w:val="en-US"/>
              </w:rPr>
              <w:t>500000</w:t>
            </w:r>
          </w:p>
        </w:tc>
        <w:tc>
          <w:tcPr>
            <w:tcW w:w="840" w:type="dxa"/>
            <w:noWrap w:val="0"/>
            <w:vAlign w:val="center"/>
          </w:tcPr>
          <w:p w14:paraId="3CB7651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C6EE743">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1.未按照批准的移植和养护方案执行的，系数0-0.2。2.制定相应移植和养护方案但未经审核批准的，系数0.3-0.</w:t>
            </w:r>
            <w:r>
              <w:rPr>
                <w:rFonts w:hint="default" w:ascii="宋体" w:hAnsi="宋体" w:cs="宋体"/>
                <w:color w:val="auto"/>
                <w:kern w:val="0"/>
                <w:sz w:val="15"/>
                <w:szCs w:val="15"/>
                <w:highlight w:val="none"/>
                <w:lang w:val="en-US" w:eastAsia="zh-CN"/>
              </w:rPr>
              <w:t>5</w:t>
            </w:r>
            <w:r>
              <w:rPr>
                <w:rFonts w:hint="eastAsia" w:ascii="宋体" w:hAnsi="宋体" w:cs="宋体"/>
                <w:color w:val="auto"/>
                <w:kern w:val="0"/>
                <w:sz w:val="15"/>
                <w:szCs w:val="15"/>
                <w:highlight w:val="none"/>
                <w:lang w:val="en-US" w:eastAsia="zh-CN"/>
              </w:rPr>
              <w:t>。3.未制定移植和养护方案的，系数0.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-0.</w:t>
            </w:r>
            <w:r>
              <w:rPr>
                <w:rFonts w:hint="default" w:ascii="宋体" w:hAnsi="宋体" w:cs="宋体"/>
                <w:color w:val="auto"/>
                <w:kern w:val="0"/>
                <w:sz w:val="15"/>
                <w:szCs w:val="15"/>
                <w:highlight w:val="none"/>
                <w:lang w:val="en-US" w:eastAsia="zh-CN"/>
              </w:rPr>
              <w:t>8</w:t>
            </w:r>
            <w:r>
              <w:rPr>
                <w:rFonts w:hint="eastAsia" w:ascii="宋体" w:hAnsi="宋体" w:cs="宋体"/>
                <w:color w:val="auto"/>
                <w:kern w:val="0"/>
                <w:sz w:val="15"/>
                <w:szCs w:val="15"/>
                <w:highlight w:val="none"/>
                <w:lang w:val="en-US" w:eastAsia="zh-CN"/>
              </w:rPr>
              <w:t>。4.造成古树名木死亡的，系数1。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7CEC1CB">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020" w:type="dxa"/>
            <w:gridSpan w:val="2"/>
            <w:noWrap w:val="0"/>
            <w:vAlign w:val="center"/>
          </w:tcPr>
          <w:p w14:paraId="7C24734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37CA4F0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1FA3AA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00319056">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C4641200</w:t>
            </w:r>
          </w:p>
        </w:tc>
      </w:tr>
      <w:tr w14:paraId="097D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74" w:hRule="atLeast"/>
        </w:trPr>
        <w:tc>
          <w:tcPr>
            <w:tcW w:w="714" w:type="dxa"/>
            <w:vMerge w:val="continue"/>
            <w:noWrap w:val="0"/>
            <w:vAlign w:val="center"/>
          </w:tcPr>
          <w:p w14:paraId="5D62BCD5">
            <w:pPr>
              <w:spacing w:line="232" w:lineRule="exact"/>
              <w:jc w:val="center"/>
              <w:rPr>
                <w:rFonts w:hint="eastAsia" w:ascii="宋体" w:hAnsi="宋体" w:eastAsia="宋体" w:cs="宋体"/>
                <w:color w:val="auto"/>
                <w:kern w:val="0"/>
                <w:sz w:val="15"/>
                <w:szCs w:val="15"/>
                <w:highlight w:val="none"/>
              </w:rPr>
            </w:pPr>
          </w:p>
        </w:tc>
        <w:tc>
          <w:tcPr>
            <w:tcW w:w="1626" w:type="dxa"/>
            <w:gridSpan w:val="2"/>
            <w:vMerge w:val="continue"/>
            <w:noWrap w:val="0"/>
            <w:vAlign w:val="center"/>
          </w:tcPr>
          <w:p w14:paraId="729272E5">
            <w:pPr>
              <w:spacing w:line="232" w:lineRule="exact"/>
              <w:rPr>
                <w:rFonts w:hint="eastAsia" w:ascii="宋体" w:hAnsi="宋体" w:eastAsia="宋体" w:cs="宋体"/>
                <w:color w:val="auto"/>
                <w:kern w:val="0"/>
                <w:sz w:val="15"/>
                <w:szCs w:val="15"/>
                <w:highlight w:val="none"/>
              </w:rPr>
            </w:pPr>
          </w:p>
        </w:tc>
        <w:tc>
          <w:tcPr>
            <w:tcW w:w="2981" w:type="dxa"/>
            <w:vMerge w:val="continue"/>
            <w:noWrap w:val="0"/>
            <w:vAlign w:val="center"/>
          </w:tcPr>
          <w:p w14:paraId="674AAA28">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04D42663">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1130B664">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3A445FE">
            <w:pPr>
              <w:numPr>
                <w:ilvl w:val="0"/>
                <w:numId w:val="0"/>
              </w:numPr>
              <w:spacing w:line="232" w:lineRule="exact"/>
              <w:ind w:left="0" w:leftChars="0" w:firstLine="0" w:firstLineChars="0"/>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1.未按照批准的移植和养护方案执行的，系数0-0.3。2.制定相应移植和养护方案但未经审核批准的，系数0.4-0.7。3.未制定移植和养护方案的，系数0.8-1.1。3.造成古树名木死亡的，系数1.5。4</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8B30E3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020" w:type="dxa"/>
            <w:gridSpan w:val="2"/>
            <w:noWrap w:val="0"/>
            <w:vAlign w:val="center"/>
          </w:tcPr>
          <w:p w14:paraId="2F9D8A8A">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368E4BB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8504022">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3780055D">
            <w:pPr>
              <w:spacing w:line="232" w:lineRule="exact"/>
              <w:jc w:val="center"/>
              <w:rPr>
                <w:rFonts w:hint="eastAsia" w:ascii="宋体" w:hAnsi="宋体" w:eastAsia="宋体"/>
                <w:color w:val="auto"/>
                <w:sz w:val="15"/>
                <w:szCs w:val="15"/>
                <w:highlight w:val="none"/>
              </w:rPr>
            </w:pPr>
          </w:p>
        </w:tc>
      </w:tr>
      <w:tr w14:paraId="1C26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19" w:hRule="atLeast"/>
        </w:trPr>
        <w:tc>
          <w:tcPr>
            <w:tcW w:w="714" w:type="dxa"/>
            <w:vMerge w:val="restart"/>
            <w:noWrap w:val="0"/>
            <w:vAlign w:val="center"/>
          </w:tcPr>
          <w:p w14:paraId="2EFEC29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vMerge w:val="restart"/>
            <w:noWrap w:val="0"/>
            <w:vAlign w:val="center"/>
          </w:tcPr>
          <w:p w14:paraId="293EBF46">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非法采伐古树名木</w:t>
            </w:r>
          </w:p>
        </w:tc>
        <w:tc>
          <w:tcPr>
            <w:tcW w:w="2981" w:type="dxa"/>
            <w:vMerge w:val="restart"/>
            <w:noWrap w:val="0"/>
            <w:vAlign w:val="center"/>
          </w:tcPr>
          <w:p w14:paraId="3EB82F3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十四条</w:t>
            </w:r>
            <w:r>
              <w:rPr>
                <w:rFonts w:hint="eastAsia" w:ascii="宋体" w:hAnsi="宋体" w:cs="宋体"/>
                <w:color w:val="auto"/>
                <w:kern w:val="0"/>
                <w:sz w:val="15"/>
                <w:szCs w:val="15"/>
                <w:highlight w:val="none"/>
                <w:lang w:val="en-US" w:eastAsia="zh-CN"/>
              </w:rPr>
              <w:t>第一款</w:t>
            </w:r>
            <w:r>
              <w:rPr>
                <w:rFonts w:hint="eastAsia" w:ascii="宋体" w:hAnsi="宋体" w:eastAsia="宋体" w:cs="宋体"/>
                <w:color w:val="auto"/>
                <w:kern w:val="0"/>
                <w:sz w:val="15"/>
                <w:szCs w:val="15"/>
                <w:highlight w:val="none"/>
              </w:rPr>
              <w:t>；</w:t>
            </w:r>
          </w:p>
          <w:p w14:paraId="03745A16">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7D94A7A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014A120E">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1F5EC5CD">
            <w:pPr>
              <w:spacing w:line="232" w:lineRule="exact"/>
              <w:ind w:firstLine="300" w:firstLineChars="20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4DDC44E1">
            <w:pPr>
              <w:spacing w:line="232" w:lineRule="exact"/>
              <w:jc w:val="center"/>
              <w:rPr>
                <w:rFonts w:ascii="宋体" w:hAnsi="宋体" w:eastAsia="宋体" w:cs="宋体"/>
                <w:color w:val="auto"/>
                <w:kern w:val="0"/>
                <w:sz w:val="15"/>
                <w:szCs w:val="15"/>
                <w:highlight w:val="none"/>
              </w:rPr>
            </w:pPr>
            <w:r>
              <w:rPr>
                <w:rFonts w:hint="default" w:ascii="宋体" w:hAnsi="宋体" w:cs="宋体"/>
                <w:color w:val="auto"/>
                <w:kern w:val="0"/>
                <w:sz w:val="15"/>
                <w:szCs w:val="15"/>
                <w:highlight w:val="none"/>
                <w:lang w:val="en-US"/>
              </w:rPr>
              <w:t>500000</w:t>
            </w:r>
          </w:p>
        </w:tc>
        <w:tc>
          <w:tcPr>
            <w:tcW w:w="840" w:type="dxa"/>
            <w:noWrap w:val="0"/>
            <w:vAlign w:val="center"/>
          </w:tcPr>
          <w:p w14:paraId="2A131DC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1C8D518">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树木生长在中心城区和城市副中心或者自然保护区、风景名胜区、森林公园等自然保护区和历史文化街区、风景保护区、历史名园、传统村落、名人故居以及其他文保单位的，系数0.2。2.</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，系数0.2-0.4。3.造成古树名木死亡的，系数1。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42ECC4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020" w:type="dxa"/>
            <w:gridSpan w:val="2"/>
            <w:noWrap w:val="0"/>
            <w:vAlign w:val="center"/>
          </w:tcPr>
          <w:p w14:paraId="49C749E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560FDB8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973F68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3B7CE5B0">
            <w:pPr>
              <w:spacing w:line="232" w:lineRule="exact"/>
              <w:jc w:val="center"/>
              <w:rPr>
                <w:rFonts w:hint="eastAsia" w:ascii="宋体" w:hAnsi="宋体" w:eastAsia="宋体"/>
                <w:color w:val="auto"/>
                <w:sz w:val="15"/>
                <w:szCs w:val="15"/>
                <w:highlight w:val="none"/>
                <w:lang w:eastAsia="zh"/>
              </w:rPr>
            </w:pPr>
            <w:r>
              <w:rPr>
                <w:rFonts w:hint="eastAsia" w:ascii="宋体" w:hAnsi="宋体" w:eastAsia="宋体" w:cs="宋体"/>
                <w:kern w:val="2"/>
                <w:sz w:val="15"/>
                <w:szCs w:val="15"/>
                <w:highlight w:val="none"/>
                <w:lang w:val="en-US" w:eastAsia="zh-CN" w:bidi="ar"/>
              </w:rPr>
              <w:t>C464</w:t>
            </w:r>
            <w:r>
              <w:rPr>
                <w:rFonts w:hint="eastAsia" w:ascii="宋体" w:hAnsi="宋体" w:cs="宋体"/>
                <w:kern w:val="2"/>
                <w:sz w:val="15"/>
                <w:szCs w:val="15"/>
                <w:highlight w:val="none"/>
                <w:lang w:val="en-US" w:eastAsia="zh" w:bidi="ar"/>
              </w:rPr>
              <w:t>3200</w:t>
            </w:r>
          </w:p>
        </w:tc>
      </w:tr>
      <w:tr w14:paraId="2C255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45" w:hRule="atLeast"/>
        </w:trPr>
        <w:tc>
          <w:tcPr>
            <w:tcW w:w="714" w:type="dxa"/>
            <w:vMerge w:val="continue"/>
            <w:noWrap w:val="0"/>
            <w:vAlign w:val="center"/>
          </w:tcPr>
          <w:p w14:paraId="78BFF66D">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0ACCCA54">
            <w:pPr>
              <w:spacing w:line="232" w:lineRule="exact"/>
              <w:jc w:val="center"/>
              <w:rPr>
                <w:rFonts w:ascii="宋体" w:hAnsi="宋体" w:eastAsia="宋体" w:cs="宋体"/>
                <w:color w:val="auto"/>
                <w:kern w:val="0"/>
                <w:sz w:val="15"/>
                <w:szCs w:val="15"/>
                <w:highlight w:val="none"/>
              </w:rPr>
            </w:pPr>
          </w:p>
        </w:tc>
        <w:tc>
          <w:tcPr>
            <w:tcW w:w="2981" w:type="dxa"/>
            <w:vMerge w:val="continue"/>
            <w:noWrap w:val="0"/>
            <w:vAlign w:val="center"/>
          </w:tcPr>
          <w:p w14:paraId="47B063A9">
            <w:pPr>
              <w:spacing w:line="232" w:lineRule="exact"/>
              <w:rPr>
                <w:rFonts w:ascii="宋体" w:hAnsi="宋体" w:eastAsia="宋体" w:cs="宋体"/>
                <w:color w:val="auto"/>
                <w:kern w:val="0"/>
                <w:sz w:val="15"/>
                <w:szCs w:val="15"/>
                <w:highlight w:val="none"/>
              </w:rPr>
            </w:pPr>
          </w:p>
        </w:tc>
        <w:tc>
          <w:tcPr>
            <w:tcW w:w="851" w:type="dxa"/>
            <w:noWrap w:val="0"/>
            <w:vAlign w:val="center"/>
          </w:tcPr>
          <w:p w14:paraId="53109F38">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51472CE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ACC34C0">
            <w:pPr>
              <w:numPr>
                <w:ilvl w:val="0"/>
                <w:numId w:val="0"/>
              </w:numPr>
              <w:spacing w:line="232" w:lineRule="exact"/>
              <w:ind w:leftChars="0"/>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。3.造成古树名木死亡的，系数1.5。</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C8C93C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020" w:type="dxa"/>
            <w:gridSpan w:val="2"/>
            <w:noWrap w:val="0"/>
            <w:vAlign w:val="center"/>
          </w:tcPr>
          <w:p w14:paraId="690A22B5">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2C509B1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28B8B9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1B96B7C3">
            <w:pPr>
              <w:spacing w:line="232" w:lineRule="exact"/>
              <w:jc w:val="center"/>
              <w:rPr>
                <w:rFonts w:hint="eastAsia" w:ascii="宋体" w:hAnsi="宋体" w:eastAsia="宋体"/>
                <w:color w:val="auto"/>
                <w:sz w:val="15"/>
                <w:szCs w:val="15"/>
                <w:highlight w:val="none"/>
              </w:rPr>
            </w:pPr>
          </w:p>
        </w:tc>
      </w:tr>
      <w:tr w14:paraId="30AE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02" w:hRule="atLeast"/>
        </w:trPr>
        <w:tc>
          <w:tcPr>
            <w:tcW w:w="714" w:type="dxa"/>
            <w:vMerge w:val="restart"/>
            <w:noWrap w:val="0"/>
            <w:vAlign w:val="center"/>
          </w:tcPr>
          <w:p w14:paraId="66C4ECE2">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w:t>
            </w:r>
          </w:p>
        </w:tc>
        <w:tc>
          <w:tcPr>
            <w:tcW w:w="1626" w:type="dxa"/>
            <w:gridSpan w:val="2"/>
            <w:vMerge w:val="restart"/>
            <w:noWrap w:val="0"/>
            <w:vAlign w:val="center"/>
          </w:tcPr>
          <w:p w14:paraId="2D8B6D0B">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买卖、运输、加工非法采伐、移植的古树名木（林木</w:t>
            </w:r>
            <w:r>
              <w:rPr>
                <w:rFonts w:hint="eastAsia" w:ascii="宋体" w:hAnsi="宋体" w:cs="宋体"/>
                <w:color w:val="auto"/>
                <w:kern w:val="0"/>
                <w:sz w:val="15"/>
                <w:szCs w:val="15"/>
                <w:highlight w:val="none"/>
                <w:lang w:val="en-US" w:eastAsia="zh-CN"/>
              </w:rPr>
              <w:t>除外</w:t>
            </w:r>
            <w:r>
              <w:rPr>
                <w:rFonts w:hint="eastAsia" w:ascii="宋体" w:hAnsi="宋体" w:cs="宋体"/>
                <w:color w:val="auto"/>
                <w:kern w:val="0"/>
                <w:sz w:val="15"/>
                <w:szCs w:val="15"/>
                <w:highlight w:val="none"/>
                <w:lang w:eastAsia="zh-CN"/>
              </w:rPr>
              <w:t>）</w:t>
            </w:r>
          </w:p>
        </w:tc>
        <w:tc>
          <w:tcPr>
            <w:tcW w:w="2981" w:type="dxa"/>
            <w:vMerge w:val="restart"/>
            <w:noWrap w:val="0"/>
            <w:vAlign w:val="center"/>
          </w:tcPr>
          <w:p w14:paraId="097A8C6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十七条第一</w:t>
            </w:r>
            <w:r>
              <w:rPr>
                <w:rFonts w:hint="eastAsia" w:ascii="宋体" w:hAnsi="宋体" w:eastAsia="宋体" w:cs="宋体"/>
                <w:color w:val="auto"/>
                <w:kern w:val="0"/>
                <w:sz w:val="15"/>
                <w:szCs w:val="15"/>
                <w:highlight w:val="none"/>
              </w:rPr>
              <w:t>项；</w:t>
            </w:r>
          </w:p>
          <w:p w14:paraId="52CF671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40200957">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2975556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86E923D">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 。2.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3BE760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12D43614">
            <w:pPr>
              <w:spacing w:line="232" w:lineRule="exact"/>
              <w:rPr>
                <w:rFonts w:hint="eastAsia" w:ascii="宋体" w:hAnsi="宋体" w:eastAsia="宋体" w:cs="宋体"/>
                <w:color w:val="auto"/>
                <w:kern w:val="0"/>
                <w:sz w:val="15"/>
                <w:szCs w:val="15"/>
                <w:highlight w:val="none"/>
                <w:lang w:eastAsia="zh-CN"/>
              </w:rPr>
            </w:pPr>
          </w:p>
        </w:tc>
        <w:tc>
          <w:tcPr>
            <w:tcW w:w="1304" w:type="dxa"/>
            <w:gridSpan w:val="2"/>
            <w:noWrap w:val="0"/>
            <w:vAlign w:val="center"/>
          </w:tcPr>
          <w:p w14:paraId="63DA18A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3A3563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14014AA7">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待新增</w:t>
            </w:r>
          </w:p>
        </w:tc>
      </w:tr>
      <w:tr w14:paraId="31AE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25" w:hRule="atLeast"/>
        </w:trPr>
        <w:tc>
          <w:tcPr>
            <w:tcW w:w="714" w:type="dxa"/>
            <w:vMerge w:val="continue"/>
            <w:noWrap w:val="0"/>
            <w:vAlign w:val="center"/>
          </w:tcPr>
          <w:p w14:paraId="193D4B8F">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14:paraId="70157D18">
            <w:pPr>
              <w:spacing w:line="232" w:lineRule="exact"/>
              <w:rPr>
                <w:rFonts w:ascii="宋体" w:hAnsi="宋体" w:eastAsia="宋体"/>
                <w:color w:val="auto"/>
                <w:sz w:val="15"/>
                <w:szCs w:val="15"/>
                <w:highlight w:val="none"/>
              </w:rPr>
            </w:pPr>
          </w:p>
        </w:tc>
        <w:tc>
          <w:tcPr>
            <w:tcW w:w="2981" w:type="dxa"/>
            <w:vMerge w:val="continue"/>
            <w:noWrap w:val="0"/>
            <w:vAlign w:val="center"/>
          </w:tcPr>
          <w:p w14:paraId="28BE6D12">
            <w:pPr>
              <w:spacing w:line="232" w:lineRule="exact"/>
              <w:rPr>
                <w:rFonts w:ascii="宋体" w:hAnsi="宋体" w:eastAsia="宋体" w:cs="宋体"/>
                <w:color w:val="auto"/>
                <w:kern w:val="0"/>
                <w:sz w:val="15"/>
                <w:szCs w:val="15"/>
                <w:highlight w:val="none"/>
              </w:rPr>
            </w:pPr>
          </w:p>
        </w:tc>
        <w:tc>
          <w:tcPr>
            <w:tcW w:w="851" w:type="dxa"/>
            <w:noWrap w:val="0"/>
            <w:vAlign w:val="center"/>
          </w:tcPr>
          <w:p w14:paraId="33784EAF">
            <w:pPr>
              <w:spacing w:line="232" w:lineRule="exact"/>
              <w:jc w:val="center"/>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2DF2B6C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B126B2E">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E72FDC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764D342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2E1C51E3">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304" w:type="dxa"/>
            <w:gridSpan w:val="2"/>
            <w:noWrap w:val="0"/>
            <w:vAlign w:val="center"/>
          </w:tcPr>
          <w:p w14:paraId="6E4F7DA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A5E4644">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53188C82">
            <w:pPr>
              <w:spacing w:line="232" w:lineRule="exact"/>
              <w:jc w:val="center"/>
              <w:rPr>
                <w:rFonts w:hint="eastAsia" w:ascii="宋体" w:hAnsi="宋体" w:eastAsia="宋体"/>
                <w:color w:val="auto"/>
                <w:sz w:val="15"/>
                <w:szCs w:val="15"/>
                <w:highlight w:val="none"/>
                <w:lang w:eastAsia="zh"/>
              </w:rPr>
            </w:pPr>
          </w:p>
        </w:tc>
      </w:tr>
      <w:tr w14:paraId="3FED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28" w:hRule="atLeast"/>
        </w:trPr>
        <w:tc>
          <w:tcPr>
            <w:tcW w:w="714" w:type="dxa"/>
            <w:vMerge w:val="restart"/>
            <w:noWrap w:val="0"/>
            <w:vAlign w:val="center"/>
          </w:tcPr>
          <w:p w14:paraId="6A38D06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vMerge w:val="restart"/>
            <w:noWrap w:val="0"/>
            <w:vAlign w:val="center"/>
          </w:tcPr>
          <w:p w14:paraId="50825AF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对古树名木挖根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剥损树皮、过度修剪枝干</w:t>
            </w:r>
          </w:p>
        </w:tc>
        <w:tc>
          <w:tcPr>
            <w:tcW w:w="2981" w:type="dxa"/>
            <w:vMerge w:val="restart"/>
            <w:noWrap w:val="0"/>
            <w:vAlign w:val="center"/>
          </w:tcPr>
          <w:p w14:paraId="757ED07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十七条第二</w:t>
            </w:r>
            <w:r>
              <w:rPr>
                <w:rFonts w:hint="eastAsia" w:ascii="宋体" w:hAnsi="宋体" w:eastAsia="宋体" w:cs="宋体"/>
                <w:color w:val="auto"/>
                <w:kern w:val="0"/>
                <w:sz w:val="15"/>
                <w:szCs w:val="15"/>
                <w:highlight w:val="none"/>
              </w:rPr>
              <w:t>项；</w:t>
            </w:r>
          </w:p>
          <w:p w14:paraId="36157BF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6A68E966">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643928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E559DDB">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9AB10E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07A67D5A">
            <w:pPr>
              <w:spacing w:line="232" w:lineRule="exact"/>
              <w:rPr>
                <w:rFonts w:hint="eastAsia" w:ascii="宋体" w:hAnsi="宋体" w:eastAsia="宋体" w:cs="宋体"/>
                <w:color w:val="auto"/>
                <w:kern w:val="0"/>
                <w:sz w:val="15"/>
                <w:szCs w:val="15"/>
                <w:highlight w:val="none"/>
                <w:lang w:eastAsia="zh-CN"/>
              </w:rPr>
            </w:pPr>
          </w:p>
        </w:tc>
        <w:tc>
          <w:tcPr>
            <w:tcW w:w="1304" w:type="dxa"/>
            <w:gridSpan w:val="2"/>
            <w:noWrap w:val="0"/>
            <w:vAlign w:val="center"/>
          </w:tcPr>
          <w:p w14:paraId="59C9F1B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B5D50B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1F7C54E">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C4641000</w:t>
            </w:r>
          </w:p>
        </w:tc>
      </w:tr>
      <w:tr w14:paraId="1DEC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66" w:hRule="atLeast"/>
        </w:trPr>
        <w:tc>
          <w:tcPr>
            <w:tcW w:w="714" w:type="dxa"/>
            <w:vMerge w:val="continue"/>
            <w:noWrap w:val="0"/>
            <w:vAlign w:val="center"/>
          </w:tcPr>
          <w:p w14:paraId="42D67D15">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14:paraId="267C3B16">
            <w:pPr>
              <w:spacing w:line="232" w:lineRule="exact"/>
              <w:rPr>
                <w:rFonts w:ascii="宋体" w:hAnsi="宋体" w:eastAsia="宋体"/>
                <w:color w:val="auto"/>
                <w:sz w:val="15"/>
                <w:szCs w:val="15"/>
                <w:highlight w:val="none"/>
              </w:rPr>
            </w:pPr>
          </w:p>
        </w:tc>
        <w:tc>
          <w:tcPr>
            <w:tcW w:w="2981" w:type="dxa"/>
            <w:vMerge w:val="continue"/>
            <w:noWrap w:val="0"/>
            <w:vAlign w:val="center"/>
          </w:tcPr>
          <w:p w14:paraId="261F7599">
            <w:pPr>
              <w:spacing w:line="232" w:lineRule="exact"/>
              <w:rPr>
                <w:rFonts w:ascii="宋体" w:hAnsi="宋体" w:eastAsia="宋体"/>
                <w:color w:val="auto"/>
                <w:sz w:val="15"/>
                <w:szCs w:val="15"/>
                <w:highlight w:val="none"/>
              </w:rPr>
            </w:pPr>
          </w:p>
        </w:tc>
        <w:tc>
          <w:tcPr>
            <w:tcW w:w="851" w:type="dxa"/>
            <w:noWrap w:val="0"/>
            <w:vAlign w:val="center"/>
          </w:tcPr>
          <w:p w14:paraId="13F687D0">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52CA400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AA74F92">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 xml:space="preserve"> 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E6ADE5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7E543B9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28DCF773">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304" w:type="dxa"/>
            <w:gridSpan w:val="2"/>
            <w:noWrap w:val="0"/>
            <w:vAlign w:val="center"/>
          </w:tcPr>
          <w:p w14:paraId="1D68DE5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4F2E444">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C6D576C">
            <w:pPr>
              <w:spacing w:line="232" w:lineRule="exact"/>
              <w:jc w:val="center"/>
              <w:rPr>
                <w:rFonts w:hint="eastAsia" w:ascii="宋体" w:hAnsi="宋体" w:eastAsia="宋体"/>
                <w:color w:val="auto"/>
                <w:sz w:val="15"/>
                <w:szCs w:val="15"/>
                <w:highlight w:val="none"/>
                <w:lang w:eastAsia="zh"/>
              </w:rPr>
            </w:pPr>
          </w:p>
        </w:tc>
      </w:tr>
      <w:tr w14:paraId="037E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902" w:hRule="atLeast"/>
        </w:trPr>
        <w:tc>
          <w:tcPr>
            <w:tcW w:w="714" w:type="dxa"/>
            <w:vMerge w:val="restart"/>
            <w:noWrap w:val="0"/>
            <w:vAlign w:val="center"/>
          </w:tcPr>
          <w:p w14:paraId="5DDD9681">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5</w:t>
            </w:r>
          </w:p>
        </w:tc>
        <w:tc>
          <w:tcPr>
            <w:tcW w:w="1626" w:type="dxa"/>
            <w:gridSpan w:val="2"/>
            <w:vMerge w:val="restart"/>
            <w:noWrap w:val="0"/>
            <w:vAlign w:val="center"/>
          </w:tcPr>
          <w:p w14:paraId="4C7644E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向古树名木灌注有毒有害物质</w:t>
            </w:r>
          </w:p>
        </w:tc>
        <w:tc>
          <w:tcPr>
            <w:tcW w:w="2981" w:type="dxa"/>
            <w:vMerge w:val="restart"/>
            <w:noWrap w:val="0"/>
            <w:vAlign w:val="center"/>
          </w:tcPr>
          <w:p w14:paraId="138CEA5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十七条第三</w:t>
            </w:r>
            <w:r>
              <w:rPr>
                <w:rFonts w:hint="eastAsia" w:ascii="宋体" w:hAnsi="宋体" w:eastAsia="宋体" w:cs="宋体"/>
                <w:color w:val="auto"/>
                <w:kern w:val="0"/>
                <w:sz w:val="15"/>
                <w:szCs w:val="15"/>
                <w:highlight w:val="none"/>
              </w:rPr>
              <w:t>项；</w:t>
            </w:r>
          </w:p>
          <w:p w14:paraId="095E07D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420B6C50">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8BC70E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92C26F9">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150D03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15FB6EA4">
            <w:pPr>
              <w:spacing w:line="232" w:lineRule="exact"/>
              <w:rPr>
                <w:rFonts w:ascii="宋体" w:hAnsi="宋体" w:eastAsia="宋体"/>
                <w:color w:val="auto"/>
                <w:sz w:val="15"/>
                <w:szCs w:val="15"/>
                <w:highlight w:val="none"/>
              </w:rPr>
            </w:pPr>
          </w:p>
        </w:tc>
        <w:tc>
          <w:tcPr>
            <w:tcW w:w="1304" w:type="dxa"/>
            <w:gridSpan w:val="2"/>
            <w:noWrap w:val="0"/>
            <w:vAlign w:val="center"/>
          </w:tcPr>
          <w:p w14:paraId="72406D6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EB0EB2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6D1E517F">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待新增</w:t>
            </w:r>
          </w:p>
        </w:tc>
      </w:tr>
      <w:tr w14:paraId="6D50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926" w:hRule="atLeast"/>
        </w:trPr>
        <w:tc>
          <w:tcPr>
            <w:tcW w:w="714" w:type="dxa"/>
            <w:vMerge w:val="continue"/>
            <w:noWrap w:val="0"/>
            <w:vAlign w:val="center"/>
          </w:tcPr>
          <w:p w14:paraId="1AD899B1">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14:paraId="74AA1DAB">
            <w:pPr>
              <w:spacing w:line="232" w:lineRule="exact"/>
              <w:rPr>
                <w:rFonts w:ascii="宋体" w:hAnsi="宋体" w:eastAsia="宋体"/>
                <w:color w:val="auto"/>
                <w:sz w:val="15"/>
                <w:szCs w:val="15"/>
                <w:highlight w:val="none"/>
              </w:rPr>
            </w:pPr>
          </w:p>
        </w:tc>
        <w:tc>
          <w:tcPr>
            <w:tcW w:w="2981" w:type="dxa"/>
            <w:vMerge w:val="continue"/>
            <w:noWrap w:val="0"/>
            <w:vAlign w:val="center"/>
          </w:tcPr>
          <w:p w14:paraId="73E59F39">
            <w:pPr>
              <w:spacing w:line="232" w:lineRule="exact"/>
              <w:rPr>
                <w:rFonts w:ascii="宋体" w:hAnsi="宋体" w:eastAsia="宋体"/>
                <w:color w:val="auto"/>
                <w:sz w:val="15"/>
                <w:szCs w:val="15"/>
                <w:highlight w:val="none"/>
              </w:rPr>
            </w:pPr>
          </w:p>
        </w:tc>
        <w:tc>
          <w:tcPr>
            <w:tcW w:w="851" w:type="dxa"/>
            <w:noWrap w:val="0"/>
            <w:vAlign w:val="center"/>
          </w:tcPr>
          <w:p w14:paraId="0B44EDAD">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0E72685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94C1A10">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FC4A0B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688AD7B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0B149B6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304" w:type="dxa"/>
            <w:gridSpan w:val="2"/>
            <w:noWrap w:val="0"/>
            <w:vAlign w:val="center"/>
          </w:tcPr>
          <w:p w14:paraId="3EF6728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9ADD85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4A1F30DE">
            <w:pPr>
              <w:spacing w:line="232" w:lineRule="exact"/>
              <w:jc w:val="center"/>
              <w:rPr>
                <w:rFonts w:hint="eastAsia" w:ascii="宋体" w:hAnsi="宋体" w:eastAsia="宋体"/>
                <w:color w:val="auto"/>
                <w:sz w:val="15"/>
                <w:szCs w:val="15"/>
                <w:highlight w:val="none"/>
                <w:lang w:eastAsia="zh"/>
              </w:rPr>
            </w:pPr>
          </w:p>
        </w:tc>
      </w:tr>
      <w:tr w14:paraId="5E6D9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34" w:hRule="atLeast"/>
        </w:trPr>
        <w:tc>
          <w:tcPr>
            <w:tcW w:w="714" w:type="dxa"/>
            <w:vMerge w:val="restart"/>
            <w:noWrap w:val="0"/>
            <w:vAlign w:val="center"/>
          </w:tcPr>
          <w:p w14:paraId="1E674E2E">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626" w:type="dxa"/>
            <w:gridSpan w:val="2"/>
            <w:vMerge w:val="restart"/>
            <w:noWrap w:val="0"/>
            <w:vAlign w:val="center"/>
          </w:tcPr>
          <w:p w14:paraId="65F3D0D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在古树名木保护范围内铺设非通透性硬化地面、使用明火、堆放重物、倾倒易燃易爆物品或者有毒有害物质</w:t>
            </w:r>
          </w:p>
        </w:tc>
        <w:tc>
          <w:tcPr>
            <w:tcW w:w="2981" w:type="dxa"/>
            <w:vMerge w:val="restart"/>
            <w:noWrap w:val="0"/>
            <w:vAlign w:val="center"/>
          </w:tcPr>
          <w:p w14:paraId="6ACD560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十七条第四</w:t>
            </w:r>
            <w:r>
              <w:rPr>
                <w:rFonts w:hint="eastAsia" w:ascii="宋体" w:hAnsi="宋体" w:eastAsia="宋体" w:cs="宋体"/>
                <w:color w:val="auto"/>
                <w:kern w:val="0"/>
                <w:sz w:val="15"/>
                <w:szCs w:val="15"/>
                <w:highlight w:val="none"/>
              </w:rPr>
              <w:t>项；</w:t>
            </w:r>
          </w:p>
          <w:p w14:paraId="60EDDFA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7154C7C7">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2F5C95E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DA86D8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DDFBF2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7667D087">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22C58D9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BF2FA1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20400D42">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C4643000</w:t>
            </w:r>
          </w:p>
        </w:tc>
      </w:tr>
      <w:tr w14:paraId="4DE8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31" w:hRule="atLeast"/>
        </w:trPr>
        <w:tc>
          <w:tcPr>
            <w:tcW w:w="714" w:type="dxa"/>
            <w:vMerge w:val="continue"/>
            <w:noWrap w:val="0"/>
            <w:vAlign w:val="center"/>
          </w:tcPr>
          <w:p w14:paraId="100FAD73">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75C863BA">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14:paraId="4DCD4A1A">
            <w:pPr>
              <w:spacing w:line="232" w:lineRule="exact"/>
              <w:rPr>
                <w:rFonts w:ascii="宋体" w:hAnsi="宋体" w:eastAsia="宋体" w:cs="宋体"/>
                <w:color w:val="auto"/>
                <w:kern w:val="0"/>
                <w:sz w:val="15"/>
                <w:szCs w:val="15"/>
                <w:highlight w:val="none"/>
              </w:rPr>
            </w:pPr>
          </w:p>
        </w:tc>
        <w:tc>
          <w:tcPr>
            <w:tcW w:w="851" w:type="dxa"/>
            <w:noWrap w:val="0"/>
            <w:vAlign w:val="center"/>
          </w:tcPr>
          <w:p w14:paraId="0F7B3503">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5841242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2993CDC">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 xml:space="preserve"> 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FCB2DE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71B2A5F6">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46A45FB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304" w:type="dxa"/>
            <w:gridSpan w:val="2"/>
            <w:noWrap w:val="0"/>
            <w:vAlign w:val="center"/>
          </w:tcPr>
          <w:p w14:paraId="434A311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001A26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73354F5F">
            <w:pPr>
              <w:spacing w:line="232" w:lineRule="exact"/>
              <w:jc w:val="center"/>
              <w:rPr>
                <w:rFonts w:hint="eastAsia" w:ascii="宋体" w:hAnsi="宋体" w:eastAsia="宋体"/>
                <w:color w:val="auto"/>
                <w:sz w:val="15"/>
                <w:szCs w:val="15"/>
                <w:highlight w:val="none"/>
                <w:lang w:eastAsia="zh"/>
              </w:rPr>
            </w:pPr>
          </w:p>
        </w:tc>
      </w:tr>
      <w:tr w14:paraId="600B7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75" w:hRule="atLeast"/>
        </w:trPr>
        <w:tc>
          <w:tcPr>
            <w:tcW w:w="714" w:type="dxa"/>
            <w:vMerge w:val="restart"/>
            <w:noWrap w:val="0"/>
            <w:vAlign w:val="center"/>
          </w:tcPr>
          <w:p w14:paraId="08A1597F">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val="en-US" w:eastAsia="zh-CN"/>
              </w:rPr>
              <w:t>7</w:t>
            </w:r>
          </w:p>
        </w:tc>
        <w:tc>
          <w:tcPr>
            <w:tcW w:w="1626" w:type="dxa"/>
            <w:gridSpan w:val="2"/>
            <w:vMerge w:val="restart"/>
            <w:noWrap w:val="0"/>
            <w:vAlign w:val="center"/>
          </w:tcPr>
          <w:p w14:paraId="4E6412A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在古树名木上刻划、架设线缆、缠绕或者悬挂物体等，攀爬古树名木</w:t>
            </w:r>
          </w:p>
        </w:tc>
        <w:tc>
          <w:tcPr>
            <w:tcW w:w="2981" w:type="dxa"/>
            <w:vMerge w:val="restart"/>
            <w:noWrap w:val="0"/>
            <w:vAlign w:val="center"/>
          </w:tcPr>
          <w:p w14:paraId="0406A12A">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十七条第五</w:t>
            </w:r>
            <w:r>
              <w:rPr>
                <w:rFonts w:hint="eastAsia" w:ascii="宋体" w:hAnsi="宋体" w:eastAsia="宋体" w:cs="宋体"/>
                <w:color w:val="auto"/>
                <w:kern w:val="0"/>
                <w:sz w:val="15"/>
                <w:szCs w:val="15"/>
                <w:highlight w:val="none"/>
              </w:rPr>
              <w:t>项；</w:t>
            </w:r>
          </w:p>
          <w:p w14:paraId="178A719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245CDF57">
            <w:pPr>
              <w:spacing w:line="232" w:lineRule="exact"/>
              <w:jc w:val="center"/>
              <w:rPr>
                <w:rFonts w:hint="default" w:ascii="宋体" w:hAnsi="宋体" w:eastAsia="宋体" w:cs="宋体"/>
                <w:color w:val="auto"/>
                <w:kern w:val="0"/>
                <w:sz w:val="15"/>
                <w:szCs w:val="15"/>
                <w:highlight w:val="none"/>
                <w:lang w:val="en-US"/>
              </w:rPr>
            </w:pPr>
          </w:p>
        </w:tc>
        <w:tc>
          <w:tcPr>
            <w:tcW w:w="840" w:type="dxa"/>
            <w:noWrap w:val="0"/>
            <w:vAlign w:val="center"/>
          </w:tcPr>
          <w:p w14:paraId="44D22B05">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11E41558">
            <w:pPr>
              <w:spacing w:line="232" w:lineRule="exact"/>
              <w:rPr>
                <w:rFonts w:hint="default" w:ascii="宋体" w:hAnsi="宋体" w:cs="宋体"/>
                <w:color w:val="auto"/>
                <w:kern w:val="0"/>
                <w:sz w:val="15"/>
                <w:szCs w:val="15"/>
                <w:highlight w:val="none"/>
                <w:lang w:val="en-US" w:eastAsia="zh-CN"/>
              </w:rPr>
            </w:pPr>
          </w:p>
        </w:tc>
        <w:tc>
          <w:tcPr>
            <w:tcW w:w="1875" w:type="dxa"/>
            <w:gridSpan w:val="2"/>
            <w:noWrap w:val="0"/>
            <w:vAlign w:val="center"/>
          </w:tcPr>
          <w:p w14:paraId="2852E49E">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68E0C427">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1304" w:type="dxa"/>
            <w:gridSpan w:val="2"/>
            <w:noWrap w:val="0"/>
            <w:vAlign w:val="center"/>
          </w:tcPr>
          <w:p w14:paraId="612E477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5A53513">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00814B7E">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C4642300</w:t>
            </w:r>
          </w:p>
        </w:tc>
      </w:tr>
      <w:tr w14:paraId="27B1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75" w:hRule="atLeast"/>
        </w:trPr>
        <w:tc>
          <w:tcPr>
            <w:tcW w:w="714" w:type="dxa"/>
            <w:vMerge w:val="continue"/>
            <w:noWrap w:val="0"/>
            <w:vAlign w:val="center"/>
          </w:tcPr>
          <w:p w14:paraId="18B8D128">
            <w:pPr>
              <w:spacing w:line="232" w:lineRule="exact"/>
              <w:jc w:val="center"/>
              <w:rPr>
                <w:rFonts w:hint="eastAsia" w:ascii="宋体" w:hAnsi="宋体" w:cs="宋体"/>
                <w:color w:val="auto"/>
                <w:kern w:val="0"/>
                <w:sz w:val="15"/>
                <w:szCs w:val="15"/>
                <w:highlight w:val="none"/>
                <w:lang w:val="en-US" w:eastAsia="zh-CN"/>
              </w:rPr>
            </w:pPr>
          </w:p>
        </w:tc>
        <w:tc>
          <w:tcPr>
            <w:tcW w:w="1626" w:type="dxa"/>
            <w:gridSpan w:val="2"/>
            <w:vMerge w:val="continue"/>
            <w:noWrap w:val="0"/>
            <w:vAlign w:val="center"/>
          </w:tcPr>
          <w:p w14:paraId="3D6BB16E">
            <w:pPr>
              <w:spacing w:line="232" w:lineRule="exact"/>
              <w:rPr>
                <w:rFonts w:hint="eastAsia" w:ascii="宋体" w:hAnsi="宋体" w:eastAsia="宋体" w:cs="宋体"/>
                <w:color w:val="auto"/>
                <w:kern w:val="0"/>
                <w:sz w:val="15"/>
                <w:szCs w:val="15"/>
                <w:highlight w:val="none"/>
              </w:rPr>
            </w:pPr>
          </w:p>
        </w:tc>
        <w:tc>
          <w:tcPr>
            <w:tcW w:w="2981" w:type="dxa"/>
            <w:vMerge w:val="continue"/>
            <w:noWrap w:val="0"/>
            <w:vAlign w:val="center"/>
          </w:tcPr>
          <w:p w14:paraId="7AD6084C">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454D1898">
            <w:pPr>
              <w:spacing w:line="232" w:lineRule="exact"/>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1AE727F9">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p>
        </w:tc>
        <w:tc>
          <w:tcPr>
            <w:tcW w:w="2376" w:type="dxa"/>
            <w:noWrap w:val="0"/>
            <w:vAlign w:val="center"/>
          </w:tcPr>
          <w:p w14:paraId="56D32D99">
            <w:pPr>
              <w:keepNext w:val="0"/>
              <w:keepLines w:val="0"/>
              <w:pageBreakBefore w:val="0"/>
              <w:widowControl w:val="0"/>
              <w:kinsoku/>
              <w:wordWrap/>
              <w:overflowPunct/>
              <w:topLinePunct w:val="0"/>
              <w:autoSpaceDE/>
              <w:autoSpaceDN/>
              <w:bidi w:val="0"/>
              <w:adjustRightInd/>
              <w:snapToGrid/>
              <w:spacing w:line="232" w:lineRule="exact"/>
              <w:ind w:left="0" w:firstLine="0" w:firstLineChars="0"/>
              <w:textAlignment w:val="auto"/>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1B1322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0628AC7C">
            <w:pPr>
              <w:spacing w:line="232" w:lineRule="exact"/>
              <w:rPr>
                <w:rFonts w:hint="eastAsia" w:ascii="宋体" w:hAnsi="宋体" w:eastAsia="宋体" w:cs="宋体"/>
                <w:color w:val="auto"/>
                <w:kern w:val="0"/>
                <w:sz w:val="15"/>
                <w:szCs w:val="15"/>
                <w:highlight w:val="none"/>
              </w:rPr>
            </w:pPr>
          </w:p>
        </w:tc>
        <w:tc>
          <w:tcPr>
            <w:tcW w:w="1304" w:type="dxa"/>
            <w:gridSpan w:val="2"/>
            <w:noWrap w:val="0"/>
            <w:vAlign w:val="center"/>
          </w:tcPr>
          <w:p w14:paraId="68B49E2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6162924">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0C645051">
            <w:pPr>
              <w:spacing w:line="232" w:lineRule="exact"/>
              <w:jc w:val="center"/>
              <w:rPr>
                <w:rFonts w:hint="eastAsia" w:ascii="宋体" w:hAnsi="宋体" w:eastAsia="宋体"/>
                <w:color w:val="auto"/>
                <w:sz w:val="15"/>
                <w:szCs w:val="15"/>
                <w:highlight w:val="none"/>
                <w:lang w:eastAsia="zh"/>
              </w:rPr>
            </w:pPr>
          </w:p>
        </w:tc>
      </w:tr>
      <w:tr w14:paraId="2575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43" w:hRule="atLeast"/>
        </w:trPr>
        <w:tc>
          <w:tcPr>
            <w:tcW w:w="714" w:type="dxa"/>
            <w:vMerge w:val="continue"/>
            <w:noWrap w:val="0"/>
            <w:vAlign w:val="center"/>
          </w:tcPr>
          <w:p w14:paraId="44B3CD04">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14:paraId="0BECB3EB">
            <w:pPr>
              <w:spacing w:line="232" w:lineRule="exact"/>
              <w:rPr>
                <w:rFonts w:ascii="宋体" w:hAnsi="宋体" w:eastAsia="宋体"/>
                <w:color w:val="auto"/>
                <w:sz w:val="15"/>
                <w:szCs w:val="15"/>
                <w:highlight w:val="none"/>
              </w:rPr>
            </w:pPr>
          </w:p>
        </w:tc>
        <w:tc>
          <w:tcPr>
            <w:tcW w:w="2981" w:type="dxa"/>
            <w:vMerge w:val="continue"/>
            <w:noWrap w:val="0"/>
            <w:vAlign w:val="center"/>
          </w:tcPr>
          <w:p w14:paraId="55F8C019">
            <w:pPr>
              <w:spacing w:line="232" w:lineRule="exact"/>
              <w:rPr>
                <w:rFonts w:ascii="宋体" w:hAnsi="宋体" w:eastAsia="宋体"/>
                <w:color w:val="auto"/>
                <w:sz w:val="15"/>
                <w:szCs w:val="15"/>
                <w:highlight w:val="none"/>
              </w:rPr>
            </w:pPr>
          </w:p>
        </w:tc>
        <w:tc>
          <w:tcPr>
            <w:tcW w:w="851" w:type="dxa"/>
            <w:noWrap w:val="0"/>
            <w:vAlign w:val="center"/>
          </w:tcPr>
          <w:p w14:paraId="54A7506E">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3718051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8D5111A">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9777C8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36BAE8F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58A3F3E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304" w:type="dxa"/>
            <w:gridSpan w:val="2"/>
            <w:noWrap w:val="0"/>
            <w:vAlign w:val="center"/>
          </w:tcPr>
          <w:p w14:paraId="55EBFDA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74CA61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5B5BDB14">
            <w:pPr>
              <w:spacing w:line="232" w:lineRule="exact"/>
              <w:jc w:val="center"/>
              <w:rPr>
                <w:rFonts w:hint="eastAsia" w:ascii="宋体" w:hAnsi="宋体" w:eastAsia="宋体"/>
                <w:color w:val="auto"/>
                <w:sz w:val="15"/>
                <w:szCs w:val="15"/>
                <w:highlight w:val="none"/>
                <w:lang w:eastAsia="zh"/>
              </w:rPr>
            </w:pPr>
          </w:p>
        </w:tc>
      </w:tr>
      <w:tr w14:paraId="5D24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08" w:hRule="atLeast"/>
        </w:trPr>
        <w:tc>
          <w:tcPr>
            <w:tcW w:w="714" w:type="dxa"/>
            <w:vMerge w:val="restart"/>
            <w:noWrap w:val="0"/>
            <w:vAlign w:val="center"/>
          </w:tcPr>
          <w:p w14:paraId="784B30AD">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8</w:t>
            </w:r>
          </w:p>
        </w:tc>
        <w:tc>
          <w:tcPr>
            <w:tcW w:w="1626" w:type="dxa"/>
            <w:gridSpan w:val="2"/>
            <w:vMerge w:val="restart"/>
            <w:noWrap w:val="0"/>
            <w:vAlign w:val="center"/>
          </w:tcPr>
          <w:p w14:paraId="64A2BC6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破坏古树名木保护设施、保护标志</w:t>
            </w:r>
          </w:p>
        </w:tc>
        <w:tc>
          <w:tcPr>
            <w:tcW w:w="2981" w:type="dxa"/>
            <w:vMerge w:val="restart"/>
            <w:noWrap w:val="0"/>
            <w:vAlign w:val="center"/>
          </w:tcPr>
          <w:p w14:paraId="086B82B2">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十七条第六</w:t>
            </w:r>
            <w:r>
              <w:rPr>
                <w:rFonts w:hint="eastAsia" w:ascii="宋体" w:hAnsi="宋体" w:eastAsia="宋体" w:cs="宋体"/>
                <w:color w:val="auto"/>
                <w:kern w:val="0"/>
                <w:sz w:val="15"/>
                <w:szCs w:val="15"/>
                <w:highlight w:val="none"/>
              </w:rPr>
              <w:t>项；</w:t>
            </w:r>
          </w:p>
          <w:p w14:paraId="0CEA300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50859488">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5D00F0B6">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76" w:type="dxa"/>
            <w:noWrap w:val="0"/>
            <w:vAlign w:val="center"/>
          </w:tcPr>
          <w:p w14:paraId="799C4E33">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2株的，系数1;3株的，系数2；4株的，系数3；5株的，系数4；6株的，系数5；以此类推，10株及以上的，系数9。3.涉及保护设施或保护标志3处及以上的，系数1。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B97F2C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2F3FE180">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1304" w:type="dxa"/>
            <w:gridSpan w:val="2"/>
            <w:noWrap w:val="0"/>
            <w:vAlign w:val="center"/>
          </w:tcPr>
          <w:p w14:paraId="4885E42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A9F75B0">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376C91E4">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C4642200</w:t>
            </w:r>
          </w:p>
        </w:tc>
      </w:tr>
      <w:tr w14:paraId="244A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83" w:hRule="atLeast"/>
        </w:trPr>
        <w:tc>
          <w:tcPr>
            <w:tcW w:w="714" w:type="dxa"/>
            <w:vMerge w:val="continue"/>
            <w:noWrap w:val="0"/>
            <w:vAlign w:val="center"/>
          </w:tcPr>
          <w:p w14:paraId="34147503">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27B54A28">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14:paraId="79D3238A">
            <w:pPr>
              <w:spacing w:line="232" w:lineRule="exact"/>
              <w:rPr>
                <w:rFonts w:ascii="宋体" w:hAnsi="宋体" w:eastAsia="宋体" w:cs="宋体"/>
                <w:color w:val="auto"/>
                <w:kern w:val="0"/>
                <w:sz w:val="15"/>
                <w:szCs w:val="15"/>
                <w:highlight w:val="none"/>
              </w:rPr>
            </w:pPr>
          </w:p>
        </w:tc>
        <w:tc>
          <w:tcPr>
            <w:tcW w:w="851" w:type="dxa"/>
            <w:noWrap w:val="0"/>
            <w:vAlign w:val="center"/>
          </w:tcPr>
          <w:p w14:paraId="27120F7D">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472E1038">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8A1A7D8">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1.一级保护的古树或名木，</w:t>
            </w:r>
            <w:r>
              <w:rPr>
                <w:rFonts w:hint="eastAsia" w:ascii="宋体" w:hAnsi="宋体" w:cs="宋体"/>
                <w:color w:val="auto"/>
                <w:kern w:val="0"/>
                <w:sz w:val="15"/>
                <w:szCs w:val="15"/>
                <w:highlight w:val="none"/>
                <w:lang w:val="en-US" w:eastAsia="zh-CN"/>
              </w:rPr>
              <w:t>系数5。</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涉及古树名木</w:t>
            </w:r>
            <w:r>
              <w:rPr>
                <w:rFonts w:hint="eastAsia" w:ascii="宋体" w:hAnsi="宋体" w:eastAsia="宋体" w:cs="宋体"/>
                <w:color w:val="auto"/>
                <w:kern w:val="0"/>
                <w:sz w:val="15"/>
                <w:szCs w:val="15"/>
                <w:highlight w:val="none"/>
                <w:lang w:val="en-US" w:eastAsia="zh-CN"/>
              </w:rPr>
              <w:t>2株</w:t>
            </w:r>
            <w:r>
              <w:rPr>
                <w:rFonts w:hint="eastAsia" w:ascii="宋体" w:hAnsi="宋体" w:cs="宋体"/>
                <w:color w:val="auto"/>
                <w:kern w:val="0"/>
                <w:sz w:val="15"/>
                <w:szCs w:val="15"/>
                <w:highlight w:val="none"/>
                <w:lang w:val="en-US" w:eastAsia="zh-CN"/>
              </w:rPr>
              <w:t>的</w:t>
            </w:r>
            <w:r>
              <w:rPr>
                <w:rFonts w:hint="eastAsia" w:ascii="宋体" w:hAnsi="宋体" w:eastAsia="宋体" w:cs="宋体"/>
                <w:color w:val="auto"/>
                <w:kern w:val="0"/>
                <w:sz w:val="15"/>
                <w:szCs w:val="15"/>
                <w:highlight w:val="none"/>
                <w:lang w:val="en-US" w:eastAsia="zh-CN"/>
              </w:rPr>
              <w:t>，系数1；3株</w:t>
            </w:r>
            <w:r>
              <w:rPr>
                <w:rFonts w:hint="eastAsia" w:ascii="宋体" w:hAnsi="宋体" w:cs="宋体"/>
                <w:color w:val="auto"/>
                <w:kern w:val="0"/>
                <w:sz w:val="15"/>
                <w:szCs w:val="15"/>
                <w:highlight w:val="none"/>
                <w:lang w:val="en-US" w:eastAsia="zh-CN"/>
              </w:rPr>
              <w:t>的</w:t>
            </w:r>
            <w:r>
              <w:rPr>
                <w:rFonts w:hint="eastAsia" w:ascii="宋体" w:hAnsi="宋体" w:eastAsia="宋体" w:cs="宋体"/>
                <w:color w:val="auto"/>
                <w:kern w:val="0"/>
                <w:sz w:val="15"/>
                <w:szCs w:val="15"/>
                <w:highlight w:val="none"/>
                <w:lang w:val="en-US" w:eastAsia="zh-CN"/>
              </w:rPr>
              <w:t>，系数2；</w:t>
            </w:r>
            <w:r>
              <w:rPr>
                <w:rFonts w:hint="eastAsia" w:ascii="宋体" w:hAnsi="宋体" w:cs="宋体"/>
                <w:color w:val="auto"/>
                <w:kern w:val="0"/>
                <w:sz w:val="15"/>
                <w:szCs w:val="15"/>
                <w:highlight w:val="none"/>
                <w:lang w:val="en-US" w:eastAsia="zh-CN"/>
              </w:rPr>
              <w:t>4株的，系数3；5株的，系数4；6株的，系数5；</w:t>
            </w:r>
            <w:r>
              <w:rPr>
                <w:rFonts w:hint="eastAsia" w:ascii="宋体" w:hAnsi="宋体" w:eastAsia="宋体" w:cs="宋体"/>
                <w:color w:val="auto"/>
                <w:kern w:val="0"/>
                <w:sz w:val="15"/>
                <w:szCs w:val="15"/>
                <w:highlight w:val="none"/>
                <w:lang w:val="en-US" w:eastAsia="zh-CN"/>
              </w:rPr>
              <w:t>以此类推，10株及以上的，系数9。3.涉及保护设施或保护标志3处及以上的，系数1。4.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E8B36A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3E898E39">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2596CE4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304" w:type="dxa"/>
            <w:gridSpan w:val="2"/>
            <w:noWrap w:val="0"/>
            <w:vAlign w:val="center"/>
          </w:tcPr>
          <w:p w14:paraId="5DD85DA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4C1421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35FFFCE2">
            <w:pPr>
              <w:spacing w:line="232" w:lineRule="exact"/>
              <w:jc w:val="center"/>
              <w:rPr>
                <w:rFonts w:hint="eastAsia" w:ascii="宋体" w:hAnsi="宋体" w:eastAsia="宋体"/>
                <w:color w:val="auto"/>
                <w:sz w:val="15"/>
                <w:szCs w:val="15"/>
                <w:highlight w:val="none"/>
                <w:lang w:eastAsia="zh"/>
              </w:rPr>
            </w:pPr>
          </w:p>
        </w:tc>
      </w:tr>
      <w:tr w14:paraId="66AA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3" w:hRule="atLeast"/>
        </w:trPr>
        <w:tc>
          <w:tcPr>
            <w:tcW w:w="714" w:type="dxa"/>
            <w:vMerge w:val="restart"/>
            <w:noWrap w:val="0"/>
            <w:vAlign w:val="center"/>
          </w:tcPr>
          <w:p w14:paraId="57A526C2">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626" w:type="dxa"/>
            <w:gridSpan w:val="2"/>
            <w:vMerge w:val="restart"/>
            <w:noWrap w:val="0"/>
            <w:vAlign w:val="center"/>
          </w:tcPr>
          <w:p w14:paraId="34EB716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其他损害古树名木及其生长环境的行为</w:t>
            </w:r>
          </w:p>
        </w:tc>
        <w:tc>
          <w:tcPr>
            <w:tcW w:w="2981" w:type="dxa"/>
            <w:vMerge w:val="restart"/>
            <w:noWrap w:val="0"/>
            <w:vAlign w:val="center"/>
          </w:tcPr>
          <w:p w14:paraId="390D53A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十七条第七</w:t>
            </w:r>
            <w:r>
              <w:rPr>
                <w:rFonts w:hint="eastAsia" w:ascii="宋体" w:hAnsi="宋体" w:eastAsia="宋体" w:cs="宋体"/>
                <w:color w:val="auto"/>
                <w:kern w:val="0"/>
                <w:sz w:val="15"/>
                <w:szCs w:val="15"/>
                <w:highlight w:val="none"/>
              </w:rPr>
              <w:t>项；</w:t>
            </w:r>
          </w:p>
          <w:p w14:paraId="2B85D3D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77350431">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31C1F224">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76" w:type="dxa"/>
            <w:noWrap w:val="0"/>
            <w:vAlign w:val="center"/>
          </w:tcPr>
          <w:p w14:paraId="567D80FB">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2株的，系数1;3株的，系数2；4株的，系数3；5株的，系数4；6株的，系数5；以此类推，10株及以上的，系数9。3.涉及保护设施或保护标志3处及以上的，系数1。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347010E">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0947B6D0">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1304" w:type="dxa"/>
            <w:gridSpan w:val="2"/>
            <w:noWrap w:val="0"/>
            <w:vAlign w:val="center"/>
          </w:tcPr>
          <w:p w14:paraId="3780ACF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D5237C9">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47C808C4">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C4641100</w:t>
            </w:r>
          </w:p>
        </w:tc>
      </w:tr>
      <w:tr w14:paraId="2497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73" w:hRule="atLeast"/>
        </w:trPr>
        <w:tc>
          <w:tcPr>
            <w:tcW w:w="714" w:type="dxa"/>
            <w:vMerge w:val="continue"/>
            <w:noWrap w:val="0"/>
            <w:vAlign w:val="center"/>
          </w:tcPr>
          <w:p w14:paraId="720688A6">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2B29584A">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14:paraId="136B598A">
            <w:pPr>
              <w:spacing w:line="232" w:lineRule="exact"/>
              <w:rPr>
                <w:rFonts w:ascii="宋体" w:hAnsi="宋体" w:eastAsia="宋体" w:cs="宋体"/>
                <w:color w:val="auto"/>
                <w:kern w:val="0"/>
                <w:sz w:val="15"/>
                <w:szCs w:val="15"/>
                <w:highlight w:val="none"/>
              </w:rPr>
            </w:pPr>
          </w:p>
        </w:tc>
        <w:tc>
          <w:tcPr>
            <w:tcW w:w="851" w:type="dxa"/>
            <w:noWrap w:val="0"/>
            <w:vAlign w:val="center"/>
          </w:tcPr>
          <w:p w14:paraId="5029B8A7">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251AAB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8D9C658">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E7631A9">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23D3D7EA">
            <w:pPr>
              <w:spacing w:line="232" w:lineRule="exact"/>
              <w:rPr>
                <w:rFonts w:hint="eastAsia" w:ascii="宋体" w:hAnsi="宋体" w:eastAsia="宋体" w:cs="宋体"/>
                <w:strike/>
                <w:dstrike w:val="0"/>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2982EB4B">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304" w:type="dxa"/>
            <w:gridSpan w:val="2"/>
            <w:noWrap w:val="0"/>
            <w:vAlign w:val="center"/>
          </w:tcPr>
          <w:p w14:paraId="4C81141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A7B736C">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4BD60460">
            <w:pPr>
              <w:spacing w:line="232" w:lineRule="exact"/>
              <w:jc w:val="center"/>
              <w:rPr>
                <w:rFonts w:hint="eastAsia" w:ascii="宋体" w:hAnsi="宋体" w:eastAsia="宋体"/>
                <w:color w:val="auto"/>
                <w:sz w:val="15"/>
                <w:szCs w:val="15"/>
                <w:highlight w:val="none"/>
                <w:lang w:eastAsia="zh"/>
              </w:rPr>
            </w:pPr>
          </w:p>
        </w:tc>
      </w:tr>
      <w:tr w14:paraId="6261B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93" w:hRule="atLeast"/>
        </w:trPr>
        <w:tc>
          <w:tcPr>
            <w:tcW w:w="714" w:type="dxa"/>
            <w:vMerge w:val="restart"/>
            <w:noWrap w:val="0"/>
            <w:vAlign w:val="center"/>
          </w:tcPr>
          <w:p w14:paraId="4A6CB114">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w:t>
            </w:r>
          </w:p>
        </w:tc>
        <w:tc>
          <w:tcPr>
            <w:tcW w:w="1626" w:type="dxa"/>
            <w:gridSpan w:val="2"/>
            <w:vMerge w:val="restart"/>
            <w:noWrap w:val="0"/>
            <w:vAlign w:val="center"/>
          </w:tcPr>
          <w:p w14:paraId="28D940B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损害古树名木及其生长环境，造成古树名木死亡</w:t>
            </w:r>
          </w:p>
        </w:tc>
        <w:tc>
          <w:tcPr>
            <w:tcW w:w="2981" w:type="dxa"/>
            <w:vMerge w:val="restart"/>
            <w:noWrap w:val="0"/>
            <w:vAlign w:val="center"/>
          </w:tcPr>
          <w:p w14:paraId="3AFC65B6">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违反条款：第十七条第一项、第二项、第三项、第四项、第五项、第六项、第七项</w:t>
            </w:r>
            <w:r>
              <w:rPr>
                <w:rFonts w:hint="eastAsia" w:ascii="宋体" w:hAnsi="宋体" w:cs="宋体"/>
                <w:color w:val="auto"/>
                <w:kern w:val="0"/>
                <w:sz w:val="15"/>
                <w:szCs w:val="15"/>
                <w:highlight w:val="none"/>
                <w:lang w:eastAsia="zh-CN"/>
              </w:rPr>
              <w:t>；第十八条第一款；</w:t>
            </w:r>
          </w:p>
          <w:p w14:paraId="1192C0D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28CF8DB6">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13449B8E">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7B693B92">
            <w:pPr>
              <w:spacing w:line="232" w:lineRule="exact"/>
              <w:ind w:firstLine="300" w:firstLineChars="200"/>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216F4A14">
            <w:pPr>
              <w:spacing w:line="232" w:lineRule="exact"/>
              <w:jc w:val="center"/>
              <w:rPr>
                <w:rFonts w:hint="eastAsia" w:ascii="宋体" w:hAnsi="宋体" w:cs="宋体"/>
                <w:color w:val="auto"/>
                <w:kern w:val="0"/>
                <w:sz w:val="15"/>
                <w:szCs w:val="15"/>
                <w:highlight w:val="none"/>
                <w:lang w:val="en-US" w:eastAsia="zh-CN"/>
              </w:rPr>
            </w:pPr>
            <w:r>
              <w:rPr>
                <w:rFonts w:hint="default" w:ascii="宋体" w:hAnsi="宋体" w:cs="宋体"/>
                <w:color w:val="auto"/>
                <w:kern w:val="0"/>
                <w:sz w:val="15"/>
                <w:szCs w:val="15"/>
                <w:highlight w:val="none"/>
                <w:lang w:val="en-US"/>
              </w:rPr>
              <w:t>500000</w:t>
            </w:r>
          </w:p>
        </w:tc>
        <w:tc>
          <w:tcPr>
            <w:tcW w:w="840" w:type="dxa"/>
            <w:noWrap w:val="0"/>
            <w:vAlign w:val="center"/>
          </w:tcPr>
          <w:p w14:paraId="2119F81B">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8122CB8">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1.树木生长在中心城区和城市副中心或者自然保护区、风景名胜区、森林公园等自然保护区和历史文化街区、风景保护区、历史名园、传统村落、名人故居以及其他文保单位的，系数0-0.2；</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7787A9F">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020" w:type="dxa"/>
            <w:gridSpan w:val="2"/>
            <w:noWrap w:val="0"/>
            <w:vAlign w:val="center"/>
          </w:tcPr>
          <w:p w14:paraId="74B7D0AD">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w:t>
            </w:r>
            <w:r>
              <w:rPr>
                <w:rFonts w:hint="eastAsia" w:ascii="宋体" w:hAnsi="宋体" w:cs="宋体"/>
                <w:color w:val="auto"/>
                <w:kern w:val="0"/>
                <w:sz w:val="15"/>
                <w:szCs w:val="15"/>
                <w:highlight w:val="none"/>
                <w:lang w:val="en-US" w:eastAsia="zh-CN"/>
              </w:rPr>
              <w:t>一</w:t>
            </w:r>
            <w:r>
              <w:rPr>
                <w:rFonts w:hint="eastAsia" w:ascii="宋体" w:hAnsi="宋体" w:cs="宋体"/>
                <w:color w:val="auto"/>
                <w:kern w:val="0"/>
                <w:sz w:val="15"/>
                <w:szCs w:val="15"/>
                <w:highlight w:val="none"/>
                <w:lang w:eastAsia="zh-CN"/>
              </w:rPr>
              <w:t>级保护的古树和名木死亡情形</w:t>
            </w:r>
            <w:r>
              <w:rPr>
                <w:rFonts w:hint="eastAsia" w:ascii="宋体" w:hAnsi="宋体" w:eastAsia="宋体" w:cs="宋体"/>
                <w:color w:val="auto"/>
                <w:kern w:val="0"/>
                <w:sz w:val="15"/>
                <w:szCs w:val="15"/>
                <w:highlight w:val="none"/>
                <w:lang w:eastAsia="zh-CN"/>
              </w:rPr>
              <w:t>。</w:t>
            </w:r>
          </w:p>
          <w:p w14:paraId="2FD80CF5">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1304" w:type="dxa"/>
            <w:gridSpan w:val="2"/>
            <w:noWrap w:val="0"/>
            <w:vAlign w:val="center"/>
          </w:tcPr>
          <w:p w14:paraId="5B00148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362120F">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1DA6D50D">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待新增</w:t>
            </w:r>
          </w:p>
        </w:tc>
      </w:tr>
      <w:tr w14:paraId="2F74C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83" w:hRule="atLeast"/>
        </w:trPr>
        <w:tc>
          <w:tcPr>
            <w:tcW w:w="714" w:type="dxa"/>
            <w:vMerge w:val="continue"/>
            <w:noWrap w:val="0"/>
            <w:vAlign w:val="center"/>
          </w:tcPr>
          <w:p w14:paraId="7282CAC8">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32B66356">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14:paraId="3F83951F">
            <w:pPr>
              <w:spacing w:line="232" w:lineRule="exact"/>
              <w:rPr>
                <w:rFonts w:ascii="宋体" w:hAnsi="宋体" w:eastAsia="宋体" w:cs="宋体"/>
                <w:color w:val="auto"/>
                <w:kern w:val="0"/>
                <w:sz w:val="15"/>
                <w:szCs w:val="15"/>
                <w:highlight w:val="none"/>
              </w:rPr>
            </w:pPr>
          </w:p>
        </w:tc>
        <w:tc>
          <w:tcPr>
            <w:tcW w:w="851" w:type="dxa"/>
            <w:noWrap w:val="0"/>
            <w:vAlign w:val="center"/>
          </w:tcPr>
          <w:p w14:paraId="7F1B4537">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5E8CACA4">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E5552A8">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 xml:space="preserve">1.树木生长在中心城区和城市副中心或者自然保护区、风景名胜区、森林公园等自然保护区和历史文化街区、风景保护区、历史名园、传统村落、名人故居以及其他文保单位的，系数 </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CB6D9D8">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020" w:type="dxa"/>
            <w:gridSpan w:val="2"/>
            <w:noWrap w:val="0"/>
            <w:vAlign w:val="center"/>
          </w:tcPr>
          <w:p w14:paraId="2133B15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造成二</w:t>
            </w:r>
            <w:r>
              <w:rPr>
                <w:rFonts w:hint="eastAsia" w:ascii="宋体" w:hAnsi="宋体" w:cs="宋体"/>
                <w:color w:val="auto"/>
                <w:kern w:val="0"/>
                <w:sz w:val="15"/>
                <w:szCs w:val="15"/>
                <w:highlight w:val="none"/>
                <w:lang w:eastAsia="zh-CN"/>
              </w:rPr>
              <w:t>级保护的古树死亡情形</w:t>
            </w:r>
            <w:r>
              <w:rPr>
                <w:rFonts w:hint="eastAsia" w:ascii="宋体" w:hAnsi="宋体" w:eastAsia="宋体" w:cs="宋体"/>
                <w:color w:val="auto"/>
                <w:kern w:val="0"/>
                <w:sz w:val="15"/>
                <w:szCs w:val="15"/>
                <w:highlight w:val="none"/>
                <w:lang w:eastAsia="zh-CN"/>
              </w:rPr>
              <w:t>。</w:t>
            </w:r>
          </w:p>
          <w:p w14:paraId="7F94A3A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1304" w:type="dxa"/>
            <w:gridSpan w:val="2"/>
            <w:noWrap w:val="0"/>
            <w:vAlign w:val="center"/>
          </w:tcPr>
          <w:p w14:paraId="22C8E12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40990D7">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75A099D7">
            <w:pPr>
              <w:spacing w:line="232" w:lineRule="exact"/>
              <w:jc w:val="center"/>
              <w:rPr>
                <w:rFonts w:hint="eastAsia" w:ascii="宋体" w:hAnsi="宋体" w:eastAsia="宋体"/>
                <w:color w:val="auto"/>
                <w:sz w:val="15"/>
                <w:szCs w:val="15"/>
                <w:highlight w:val="none"/>
                <w:lang w:eastAsia="zh"/>
              </w:rPr>
            </w:pPr>
          </w:p>
        </w:tc>
      </w:tr>
      <w:tr w14:paraId="102D8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39" w:hRule="atLeast"/>
        </w:trPr>
        <w:tc>
          <w:tcPr>
            <w:tcW w:w="714" w:type="dxa"/>
            <w:vMerge w:val="restart"/>
            <w:noWrap w:val="0"/>
            <w:vAlign w:val="center"/>
          </w:tcPr>
          <w:p w14:paraId="4B2C186F">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11</w:t>
            </w:r>
          </w:p>
        </w:tc>
        <w:tc>
          <w:tcPr>
            <w:tcW w:w="1626" w:type="dxa"/>
            <w:gridSpan w:val="2"/>
            <w:vMerge w:val="restart"/>
            <w:noWrap w:val="0"/>
            <w:vAlign w:val="center"/>
          </w:tcPr>
          <w:p w14:paraId="22A5245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建设施工未按规定避开古树名木保护范围或者未采取必要工程措施</w:t>
            </w:r>
          </w:p>
        </w:tc>
        <w:tc>
          <w:tcPr>
            <w:tcW w:w="2981" w:type="dxa"/>
            <w:vMerge w:val="restart"/>
            <w:noWrap w:val="0"/>
            <w:vAlign w:val="center"/>
          </w:tcPr>
          <w:p w14:paraId="7802017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八</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一款；</w:t>
            </w:r>
          </w:p>
          <w:p w14:paraId="170C53FF">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处罚条款：第二十八条</w:t>
            </w:r>
            <w:r>
              <w:rPr>
                <w:rFonts w:hint="eastAsia" w:ascii="宋体" w:hAnsi="宋体" w:cs="宋体"/>
                <w:color w:val="auto"/>
                <w:kern w:val="0"/>
                <w:sz w:val="15"/>
                <w:szCs w:val="15"/>
                <w:highlight w:val="none"/>
                <w:lang w:val="en-US" w:eastAsia="zh-CN"/>
              </w:rPr>
              <w:t xml:space="preserve">第一项、第二项 </w:t>
            </w:r>
            <w:r>
              <w:rPr>
                <w:rFonts w:hint="eastAsia" w:ascii="宋体" w:hAnsi="宋体" w:eastAsia="宋体" w:cs="宋体"/>
                <w:color w:val="auto"/>
                <w:kern w:val="0"/>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p>
          <w:p w14:paraId="0A8D8B57">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（一）涉及实行一级保护的古树和名木的，处每株20万元以上50万元以下的罚款；</w:t>
            </w:r>
          </w:p>
          <w:p w14:paraId="71345D69">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（二）涉及实行二级保护的古树的，处每株10万元以上20万元以下的罚款；</w:t>
            </w:r>
          </w:p>
        </w:tc>
        <w:tc>
          <w:tcPr>
            <w:tcW w:w="851" w:type="dxa"/>
            <w:noWrap w:val="0"/>
            <w:vAlign w:val="center"/>
          </w:tcPr>
          <w:p w14:paraId="0499072D">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5D676C2F">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D61B631">
            <w:pPr>
              <w:numPr>
                <w:ilvl w:val="0"/>
                <w:numId w:val="0"/>
              </w:numPr>
              <w:spacing w:line="232" w:lineRule="exact"/>
              <w:ind w:left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88FEB1D">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020" w:type="dxa"/>
            <w:gridSpan w:val="2"/>
            <w:noWrap w:val="0"/>
            <w:vAlign w:val="center"/>
          </w:tcPr>
          <w:p w14:paraId="1A98CACC">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一</w:t>
            </w:r>
            <w:r>
              <w:rPr>
                <w:rFonts w:hint="eastAsia" w:ascii="宋体" w:hAnsi="宋体" w:cs="宋体"/>
                <w:color w:val="auto"/>
                <w:kern w:val="0"/>
                <w:sz w:val="15"/>
                <w:szCs w:val="15"/>
                <w:highlight w:val="none"/>
                <w:lang w:eastAsia="zh-CN"/>
              </w:rPr>
              <w:t>级保护的古树和名木</w:t>
            </w:r>
            <w:r>
              <w:rPr>
                <w:rFonts w:hint="eastAsia" w:ascii="宋体" w:hAnsi="宋体" w:eastAsia="宋体" w:cs="宋体"/>
                <w:color w:val="auto"/>
                <w:kern w:val="0"/>
                <w:sz w:val="15"/>
                <w:szCs w:val="15"/>
                <w:highlight w:val="none"/>
                <w:lang w:eastAsia="zh-CN"/>
              </w:rPr>
              <w:t>。</w:t>
            </w:r>
          </w:p>
          <w:p w14:paraId="14872602">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38DC0690">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304" w:type="dxa"/>
            <w:gridSpan w:val="2"/>
            <w:noWrap w:val="0"/>
            <w:vAlign w:val="center"/>
          </w:tcPr>
          <w:p w14:paraId="15DE5E1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EBB557B">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c>
          <w:tcPr>
            <w:tcW w:w="1869" w:type="dxa"/>
            <w:vMerge w:val="restart"/>
            <w:noWrap w:val="0"/>
            <w:vAlign w:val="center"/>
          </w:tcPr>
          <w:p w14:paraId="18F58381">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待新增</w:t>
            </w:r>
          </w:p>
        </w:tc>
      </w:tr>
      <w:tr w14:paraId="2625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83" w:hRule="atLeast"/>
        </w:trPr>
        <w:tc>
          <w:tcPr>
            <w:tcW w:w="714" w:type="dxa"/>
            <w:vMerge w:val="continue"/>
            <w:noWrap w:val="0"/>
            <w:vAlign w:val="center"/>
          </w:tcPr>
          <w:p w14:paraId="0B20CA3A">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5088184B">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14:paraId="2E20A850">
            <w:pPr>
              <w:spacing w:line="232" w:lineRule="exact"/>
              <w:rPr>
                <w:rFonts w:ascii="宋体" w:hAnsi="宋体" w:eastAsia="宋体" w:cs="宋体"/>
                <w:color w:val="auto"/>
                <w:kern w:val="0"/>
                <w:sz w:val="15"/>
                <w:szCs w:val="15"/>
                <w:highlight w:val="none"/>
              </w:rPr>
            </w:pPr>
          </w:p>
        </w:tc>
        <w:tc>
          <w:tcPr>
            <w:tcW w:w="851" w:type="dxa"/>
            <w:noWrap w:val="0"/>
            <w:vAlign w:val="center"/>
          </w:tcPr>
          <w:p w14:paraId="6E543A80">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rPr>
              <w:t>00000</w:t>
            </w:r>
          </w:p>
        </w:tc>
        <w:tc>
          <w:tcPr>
            <w:tcW w:w="840" w:type="dxa"/>
            <w:noWrap w:val="0"/>
            <w:vAlign w:val="center"/>
          </w:tcPr>
          <w:p w14:paraId="3B694690">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A21DC72">
            <w:pPr>
              <w:numPr>
                <w:ilvl w:val="0"/>
                <w:numId w:val="0"/>
              </w:numPr>
              <w:spacing w:line="232" w:lineRule="exact"/>
              <w:ind w:leftChars="0"/>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.2-0.4</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0.6-0.8</w:t>
            </w:r>
            <w:r>
              <w:rPr>
                <w:rFonts w:hint="eastAsia" w:ascii="宋体" w:hAnsi="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4916CEB">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020" w:type="dxa"/>
            <w:gridSpan w:val="2"/>
            <w:noWrap w:val="0"/>
            <w:vAlign w:val="center"/>
          </w:tcPr>
          <w:p w14:paraId="5563B3DA">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p>
          <w:p w14:paraId="1FE8FE2C">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0BC6A4CB">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304" w:type="dxa"/>
            <w:gridSpan w:val="2"/>
            <w:noWrap w:val="0"/>
            <w:vAlign w:val="center"/>
          </w:tcPr>
          <w:p w14:paraId="2058751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9327D46">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c>
          <w:tcPr>
            <w:tcW w:w="1869" w:type="dxa"/>
            <w:vMerge w:val="continue"/>
            <w:noWrap w:val="0"/>
            <w:vAlign w:val="center"/>
          </w:tcPr>
          <w:p w14:paraId="7B099D6C">
            <w:pPr>
              <w:spacing w:line="232" w:lineRule="exact"/>
              <w:jc w:val="center"/>
              <w:rPr>
                <w:rFonts w:hint="eastAsia" w:ascii="宋体" w:hAnsi="宋体" w:eastAsia="宋体"/>
                <w:color w:val="auto"/>
                <w:sz w:val="15"/>
                <w:szCs w:val="15"/>
                <w:highlight w:val="none"/>
                <w:lang w:eastAsia="zh"/>
              </w:rPr>
            </w:pPr>
          </w:p>
        </w:tc>
      </w:tr>
      <w:tr w14:paraId="639E9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50" w:hRule="atLeast"/>
        </w:trPr>
        <w:tc>
          <w:tcPr>
            <w:tcW w:w="14587" w:type="dxa"/>
            <w:gridSpan w:val="13"/>
            <w:noWrap w:val="0"/>
            <w:vAlign w:val="center"/>
          </w:tcPr>
          <w:p w14:paraId="5F1FC006">
            <w:pPr>
              <w:pStyle w:val="3"/>
              <w:bidi w:val="0"/>
              <w:jc w:val="center"/>
              <w:rPr>
                <w:rFonts w:hint="eastAsia"/>
                <w:color w:val="auto"/>
                <w:highlight w:val="none"/>
                <w:lang w:val="en-US" w:eastAsia="zh-CN"/>
              </w:rPr>
            </w:pPr>
            <w:bookmarkStart w:id="103" w:name="_Toc274977827"/>
            <w:r>
              <w:rPr>
                <w:rFonts w:hint="eastAsia"/>
                <w:color w:val="auto"/>
                <w:sz w:val="21"/>
                <w:szCs w:val="21"/>
                <w:highlight w:val="none"/>
              </w:rPr>
              <w:t>《北京市古树名木保护管理条例》案由</w:t>
            </w:r>
            <w:r>
              <w:rPr>
                <w:rFonts w:hint="eastAsia"/>
                <w:color w:val="auto"/>
                <w:sz w:val="21"/>
                <w:szCs w:val="21"/>
                <w:highlight w:val="none"/>
                <w:lang w:val="en-US" w:eastAsia="zh-CN"/>
              </w:rPr>
              <w:t>3项</w:t>
            </w:r>
            <w:bookmarkEnd w:id="103"/>
          </w:p>
        </w:tc>
        <w:tc>
          <w:tcPr>
            <w:tcW w:w="1869" w:type="dxa"/>
            <w:noWrap w:val="0"/>
            <w:vAlign w:val="center"/>
          </w:tcPr>
          <w:p w14:paraId="6BA09116">
            <w:pPr>
              <w:pStyle w:val="3"/>
              <w:bidi w:val="0"/>
              <w:jc w:val="center"/>
              <w:rPr>
                <w:rFonts w:hint="eastAsia"/>
                <w:color w:val="auto"/>
                <w:sz w:val="21"/>
                <w:szCs w:val="21"/>
                <w:highlight w:val="none"/>
              </w:rPr>
            </w:pPr>
          </w:p>
        </w:tc>
      </w:tr>
      <w:tr w14:paraId="059B6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33" w:hRule="atLeast"/>
        </w:trPr>
        <w:tc>
          <w:tcPr>
            <w:tcW w:w="714" w:type="dxa"/>
            <w:vMerge w:val="restart"/>
            <w:noWrap w:val="0"/>
            <w:vAlign w:val="center"/>
          </w:tcPr>
          <w:p w14:paraId="6C887DF2">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626" w:type="dxa"/>
            <w:gridSpan w:val="2"/>
            <w:vMerge w:val="restart"/>
            <w:noWrap w:val="0"/>
            <w:vAlign w:val="center"/>
          </w:tcPr>
          <w:p w14:paraId="242D389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未按规定养护管理古树名木</w:t>
            </w:r>
          </w:p>
        </w:tc>
        <w:tc>
          <w:tcPr>
            <w:tcW w:w="2981" w:type="dxa"/>
            <w:vMerge w:val="restart"/>
            <w:noWrap w:val="0"/>
            <w:vAlign w:val="center"/>
          </w:tcPr>
          <w:p w14:paraId="171B091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违反条款：第十一条第一款；处罚条款：第十八条第一款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759BB48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6B2BDFE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7319200">
            <w:pPr>
              <w:spacing w:line="220"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损伤一级古树或者具有特殊历史价值和特别珍贵名木的，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7E98670">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2020" w:type="dxa"/>
            <w:gridSpan w:val="2"/>
            <w:noWrap w:val="0"/>
            <w:vAlign w:val="center"/>
          </w:tcPr>
          <w:p w14:paraId="49D14DB0">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70DC0E8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696AD6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35BC4612">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C4641900</w:t>
            </w:r>
          </w:p>
        </w:tc>
      </w:tr>
      <w:tr w14:paraId="6776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10" w:hRule="atLeast"/>
        </w:trPr>
        <w:tc>
          <w:tcPr>
            <w:tcW w:w="714" w:type="dxa"/>
            <w:vMerge w:val="continue"/>
            <w:noWrap w:val="0"/>
            <w:vAlign w:val="center"/>
          </w:tcPr>
          <w:p w14:paraId="51E58441">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1F186601">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14:paraId="3F29271F">
            <w:pPr>
              <w:spacing w:line="232" w:lineRule="exact"/>
              <w:rPr>
                <w:rFonts w:ascii="宋体" w:hAnsi="宋体" w:eastAsia="宋体" w:cs="宋体"/>
                <w:color w:val="auto"/>
                <w:kern w:val="0"/>
                <w:sz w:val="15"/>
                <w:szCs w:val="15"/>
                <w:highlight w:val="none"/>
              </w:rPr>
            </w:pPr>
          </w:p>
        </w:tc>
        <w:tc>
          <w:tcPr>
            <w:tcW w:w="851" w:type="dxa"/>
            <w:noWrap w:val="0"/>
            <w:vAlign w:val="center"/>
          </w:tcPr>
          <w:p w14:paraId="7B8623C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6CA8174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4AD6713">
            <w:pPr>
              <w:spacing w:line="220" w:lineRule="exact"/>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造成一级古树或者具有特殊历史价值和特别珍贵名木死亡的，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4406687">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2020" w:type="dxa"/>
            <w:gridSpan w:val="2"/>
            <w:noWrap w:val="0"/>
            <w:vAlign w:val="center"/>
          </w:tcPr>
          <w:p w14:paraId="5A3F2DCD">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2D2AA6D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E3A9718">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6122A1E2">
            <w:pPr>
              <w:spacing w:line="232" w:lineRule="exact"/>
              <w:jc w:val="center"/>
              <w:rPr>
                <w:rFonts w:hint="eastAsia" w:ascii="宋体" w:hAnsi="宋体" w:eastAsia="宋体"/>
                <w:color w:val="auto"/>
                <w:sz w:val="15"/>
                <w:szCs w:val="15"/>
                <w:highlight w:val="none"/>
                <w:lang w:eastAsia="zh"/>
              </w:rPr>
            </w:pPr>
          </w:p>
        </w:tc>
      </w:tr>
      <w:tr w14:paraId="2792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75" w:hRule="atLeast"/>
        </w:trPr>
        <w:tc>
          <w:tcPr>
            <w:tcW w:w="714" w:type="dxa"/>
            <w:vMerge w:val="restart"/>
            <w:noWrap w:val="0"/>
            <w:vAlign w:val="center"/>
          </w:tcPr>
          <w:p w14:paraId="158B407B">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2</w:t>
            </w:r>
          </w:p>
        </w:tc>
        <w:tc>
          <w:tcPr>
            <w:tcW w:w="1626" w:type="dxa"/>
            <w:gridSpan w:val="2"/>
            <w:vMerge w:val="restart"/>
            <w:noWrap w:val="0"/>
            <w:vAlign w:val="center"/>
          </w:tcPr>
          <w:p w14:paraId="346EFD9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未按要求对古树名木治理、复壮</w:t>
            </w:r>
          </w:p>
        </w:tc>
        <w:tc>
          <w:tcPr>
            <w:tcW w:w="2981" w:type="dxa"/>
            <w:vMerge w:val="restart"/>
            <w:noWrap w:val="0"/>
            <w:vAlign w:val="center"/>
          </w:tcPr>
          <w:p w14:paraId="680EEC3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违反条款：第十一条第二款；处罚条款：第十八条第一款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40CCB7E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4E8DF99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9AF2E02">
            <w:pPr>
              <w:spacing w:line="220"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损伤一级古树或者具有特殊历史价值和特别珍贵名木的，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C100AD4">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2020" w:type="dxa"/>
            <w:gridSpan w:val="2"/>
            <w:noWrap w:val="0"/>
            <w:vAlign w:val="center"/>
          </w:tcPr>
          <w:p w14:paraId="6729A470">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3A0C616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F69ACE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FB53D60">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C4641700</w:t>
            </w:r>
          </w:p>
        </w:tc>
      </w:tr>
      <w:tr w14:paraId="02CF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43" w:hRule="atLeast"/>
        </w:trPr>
        <w:tc>
          <w:tcPr>
            <w:tcW w:w="714" w:type="dxa"/>
            <w:vMerge w:val="continue"/>
            <w:noWrap w:val="0"/>
            <w:vAlign w:val="center"/>
          </w:tcPr>
          <w:p w14:paraId="540C38F4">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14:paraId="24154512">
            <w:pPr>
              <w:spacing w:line="232" w:lineRule="exact"/>
              <w:rPr>
                <w:rFonts w:ascii="宋体" w:hAnsi="宋体" w:eastAsia="宋体"/>
                <w:color w:val="auto"/>
                <w:sz w:val="15"/>
                <w:szCs w:val="15"/>
                <w:highlight w:val="none"/>
              </w:rPr>
            </w:pPr>
          </w:p>
        </w:tc>
        <w:tc>
          <w:tcPr>
            <w:tcW w:w="2981" w:type="dxa"/>
            <w:vMerge w:val="continue"/>
            <w:noWrap w:val="0"/>
            <w:vAlign w:val="center"/>
          </w:tcPr>
          <w:p w14:paraId="7E897984">
            <w:pPr>
              <w:spacing w:line="232" w:lineRule="exact"/>
              <w:rPr>
                <w:rFonts w:ascii="宋体" w:hAnsi="宋体" w:eastAsia="宋体"/>
                <w:color w:val="auto"/>
                <w:sz w:val="15"/>
                <w:szCs w:val="15"/>
                <w:highlight w:val="none"/>
              </w:rPr>
            </w:pPr>
          </w:p>
        </w:tc>
        <w:tc>
          <w:tcPr>
            <w:tcW w:w="851" w:type="dxa"/>
            <w:noWrap w:val="0"/>
            <w:vAlign w:val="center"/>
          </w:tcPr>
          <w:p w14:paraId="1AC9EDE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6440A97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4B19325">
            <w:pPr>
              <w:spacing w:line="220" w:lineRule="exact"/>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造成一级古树或者具有特殊历史价值和特别珍贵名木死亡的，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DFB54BE">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2020" w:type="dxa"/>
            <w:gridSpan w:val="2"/>
            <w:noWrap w:val="0"/>
            <w:vAlign w:val="center"/>
          </w:tcPr>
          <w:p w14:paraId="1949BDF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65B4A2F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B017CE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40457BF">
            <w:pPr>
              <w:spacing w:line="232" w:lineRule="exact"/>
              <w:jc w:val="center"/>
              <w:rPr>
                <w:rFonts w:hint="eastAsia" w:ascii="宋体" w:hAnsi="宋体" w:eastAsia="宋体"/>
                <w:color w:val="auto"/>
                <w:sz w:val="15"/>
                <w:szCs w:val="15"/>
                <w:highlight w:val="none"/>
                <w:lang w:eastAsia="zh"/>
              </w:rPr>
            </w:pPr>
          </w:p>
        </w:tc>
      </w:tr>
      <w:tr w14:paraId="703F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2" w:hRule="atLeast"/>
        </w:trPr>
        <w:tc>
          <w:tcPr>
            <w:tcW w:w="714" w:type="dxa"/>
            <w:noWrap w:val="0"/>
            <w:vAlign w:val="center"/>
          </w:tcPr>
          <w:p w14:paraId="2F65BA94">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3</w:t>
            </w:r>
          </w:p>
        </w:tc>
        <w:tc>
          <w:tcPr>
            <w:tcW w:w="1626" w:type="dxa"/>
            <w:gridSpan w:val="2"/>
            <w:noWrap w:val="0"/>
            <w:vAlign w:val="center"/>
          </w:tcPr>
          <w:p w14:paraId="48D26B8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擅自处理死亡古树名木</w:t>
            </w:r>
          </w:p>
        </w:tc>
        <w:tc>
          <w:tcPr>
            <w:tcW w:w="2981" w:type="dxa"/>
            <w:noWrap w:val="0"/>
            <w:vAlign w:val="center"/>
          </w:tcPr>
          <w:p w14:paraId="049A6BE5">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违反条款：第十一条第三款；</w:t>
            </w:r>
          </w:p>
          <w:p w14:paraId="414D1A8B">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处罚条款：第十八条第二款 每株处以2000元至1万元罚款。</w:t>
            </w:r>
          </w:p>
        </w:tc>
        <w:tc>
          <w:tcPr>
            <w:tcW w:w="851" w:type="dxa"/>
            <w:noWrap w:val="0"/>
            <w:vAlign w:val="center"/>
          </w:tcPr>
          <w:p w14:paraId="2D1E2DF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74C3AB8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55DA6A8">
            <w:pPr>
              <w:pStyle w:val="7"/>
              <w:spacing w:line="212" w:lineRule="exact"/>
              <w:jc w:val="both"/>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擅自处理死亡一级古树的，系数4；</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二级古树的，系数3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C9B2511">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系数）×N。N为株数。</w:t>
            </w:r>
          </w:p>
        </w:tc>
        <w:tc>
          <w:tcPr>
            <w:tcW w:w="2020" w:type="dxa"/>
            <w:gridSpan w:val="2"/>
            <w:noWrap w:val="0"/>
            <w:vAlign w:val="center"/>
          </w:tcPr>
          <w:p w14:paraId="0CBA7047">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2B0520D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82918B4">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733E094">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C4642500</w:t>
            </w:r>
          </w:p>
        </w:tc>
      </w:tr>
      <w:tr w14:paraId="3A1D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76" w:hRule="atLeast"/>
        </w:trPr>
        <w:tc>
          <w:tcPr>
            <w:tcW w:w="14587" w:type="dxa"/>
            <w:gridSpan w:val="13"/>
            <w:noWrap w:val="0"/>
            <w:vAlign w:val="center"/>
          </w:tcPr>
          <w:p w14:paraId="3525A1E8">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04" w:name="_Toc465734653"/>
            <w:bookmarkStart w:id="105" w:name="_Toc110851470"/>
            <w:bookmarkStart w:id="106" w:name="_Toc944187993"/>
            <w:r>
              <w:rPr>
                <w:rFonts w:hint="eastAsia" w:ascii="宋体" w:hAnsi="宋体" w:eastAsia="宋体"/>
                <w:color w:val="auto"/>
                <w:sz w:val="21"/>
                <w:szCs w:val="21"/>
                <w:highlight w:val="none"/>
              </w:rPr>
              <w:t>《北京市公园条例》案由</w:t>
            </w:r>
            <w:r>
              <w:rPr>
                <w:rFonts w:ascii="宋体" w:hAnsi="宋体" w:eastAsia="宋体"/>
                <w:color w:val="auto"/>
                <w:sz w:val="21"/>
                <w:szCs w:val="21"/>
                <w:highlight w:val="none"/>
              </w:rPr>
              <w:t xml:space="preserve"> 18</w:t>
            </w:r>
            <w:r>
              <w:rPr>
                <w:rFonts w:hint="eastAsia" w:ascii="宋体" w:hAnsi="宋体" w:eastAsia="宋体"/>
                <w:color w:val="auto"/>
                <w:sz w:val="21"/>
                <w:szCs w:val="21"/>
                <w:highlight w:val="none"/>
              </w:rPr>
              <w:t>项</w:t>
            </w:r>
            <w:bookmarkEnd w:id="104"/>
            <w:bookmarkEnd w:id="105"/>
            <w:bookmarkEnd w:id="106"/>
          </w:p>
        </w:tc>
        <w:tc>
          <w:tcPr>
            <w:tcW w:w="1869" w:type="dxa"/>
            <w:noWrap w:val="0"/>
            <w:vAlign w:val="center"/>
          </w:tcPr>
          <w:p w14:paraId="7C5A230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14:paraId="0E98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07" w:hRule="atLeast"/>
        </w:trPr>
        <w:tc>
          <w:tcPr>
            <w:tcW w:w="714" w:type="dxa"/>
            <w:noWrap w:val="0"/>
            <w:vAlign w:val="center"/>
          </w:tcPr>
          <w:p w14:paraId="5E93224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tcBorders>
              <w:bottom w:val="single" w:color="auto" w:sz="4" w:space="0"/>
            </w:tcBorders>
            <w:noWrap w:val="0"/>
            <w:vAlign w:val="center"/>
          </w:tcPr>
          <w:p w14:paraId="2B91F56E">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翻越围墙、栏杆、绿篱</w:t>
            </w:r>
          </w:p>
        </w:tc>
        <w:tc>
          <w:tcPr>
            <w:tcW w:w="2981" w:type="dxa"/>
            <w:vMerge w:val="restart"/>
            <w:noWrap w:val="0"/>
            <w:vAlign w:val="center"/>
          </w:tcPr>
          <w:p w14:paraId="707C98B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第四十六条</w:t>
            </w:r>
            <w:r>
              <w:rPr>
                <w:rFonts w:hint="eastAsia" w:ascii="宋体" w:hAnsi="宋体" w:eastAsia="宋体" w:cs="宋体"/>
                <w:color w:val="auto"/>
                <w:kern w:val="0"/>
                <w:sz w:val="15"/>
                <w:szCs w:val="15"/>
                <w:highlight w:val="none"/>
              </w:rPr>
              <w:t>第（一）项；处罚条款：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第一款第（一）项 </w:t>
            </w:r>
            <w:r>
              <w:rPr>
                <w:rFonts w:ascii="宋体" w:hAnsi="宋体" w:eastAsia="宋体" w:cs="宋体"/>
                <w:color w:val="auto"/>
                <w:kern w:val="0"/>
                <w:sz w:val="15"/>
                <w:szCs w:val="15"/>
                <w:highlight w:val="none"/>
              </w:rPr>
              <w:t>责令改正，并可以处20元以上50元以下罚款</w:t>
            </w:r>
            <w:r>
              <w:rPr>
                <w:rFonts w:hint="eastAsia" w:ascii="宋体" w:hAnsi="宋体" w:eastAsia="宋体" w:cs="宋体"/>
                <w:color w:val="auto"/>
                <w:kern w:val="0"/>
                <w:sz w:val="15"/>
                <w:szCs w:val="15"/>
                <w:highlight w:val="none"/>
              </w:rPr>
              <w:t>。</w:t>
            </w:r>
          </w:p>
        </w:tc>
        <w:tc>
          <w:tcPr>
            <w:tcW w:w="851" w:type="dxa"/>
            <w:vMerge w:val="restart"/>
            <w:noWrap w:val="0"/>
            <w:vAlign w:val="center"/>
          </w:tcPr>
          <w:p w14:paraId="2D95159F">
            <w:pPr>
              <w:spacing w:line="232" w:lineRule="exact"/>
              <w:rPr>
                <w:rFonts w:ascii="宋体" w:hAnsi="宋体" w:eastAsia="宋体" w:cs="宋体"/>
                <w:color w:val="auto"/>
                <w:kern w:val="0"/>
                <w:sz w:val="15"/>
                <w:szCs w:val="15"/>
                <w:highlight w:val="none"/>
              </w:rPr>
            </w:pPr>
          </w:p>
        </w:tc>
        <w:tc>
          <w:tcPr>
            <w:tcW w:w="840" w:type="dxa"/>
            <w:vMerge w:val="restart"/>
            <w:noWrap w:val="0"/>
            <w:vAlign w:val="center"/>
          </w:tcPr>
          <w:p w14:paraId="106D5544">
            <w:pPr>
              <w:spacing w:line="232" w:lineRule="exact"/>
              <w:ind w:firstLine="300" w:firstLineChars="200"/>
              <w:jc w:val="center"/>
              <w:rPr>
                <w:rFonts w:ascii="宋体" w:hAnsi="宋体" w:eastAsia="宋体" w:cs="宋体"/>
                <w:color w:val="auto"/>
                <w:kern w:val="0"/>
                <w:sz w:val="15"/>
                <w:szCs w:val="15"/>
                <w:highlight w:val="none"/>
              </w:rPr>
            </w:pPr>
          </w:p>
        </w:tc>
        <w:tc>
          <w:tcPr>
            <w:tcW w:w="2376" w:type="dxa"/>
            <w:vMerge w:val="restart"/>
            <w:noWrap w:val="0"/>
            <w:vAlign w:val="center"/>
          </w:tcPr>
          <w:p w14:paraId="2AF72E72">
            <w:pPr>
              <w:spacing w:line="232" w:lineRule="exact"/>
              <w:rPr>
                <w:rFonts w:ascii="宋体" w:hAnsi="宋体" w:eastAsia="宋体" w:cs="宋体"/>
                <w:color w:val="auto"/>
                <w:kern w:val="0"/>
                <w:sz w:val="15"/>
                <w:szCs w:val="15"/>
                <w:highlight w:val="none"/>
              </w:rPr>
            </w:pPr>
          </w:p>
        </w:tc>
        <w:tc>
          <w:tcPr>
            <w:tcW w:w="1875" w:type="dxa"/>
            <w:gridSpan w:val="2"/>
            <w:vMerge w:val="restart"/>
            <w:noWrap w:val="0"/>
            <w:vAlign w:val="center"/>
          </w:tcPr>
          <w:p w14:paraId="45C7DB51">
            <w:pPr>
              <w:spacing w:line="232" w:lineRule="exact"/>
              <w:rPr>
                <w:rFonts w:ascii="宋体" w:hAnsi="宋体" w:eastAsia="宋体" w:cs="宋体"/>
                <w:color w:val="auto"/>
                <w:kern w:val="0"/>
                <w:sz w:val="15"/>
                <w:szCs w:val="15"/>
                <w:highlight w:val="none"/>
              </w:rPr>
            </w:pPr>
          </w:p>
        </w:tc>
        <w:tc>
          <w:tcPr>
            <w:tcW w:w="2020" w:type="dxa"/>
            <w:gridSpan w:val="2"/>
            <w:vMerge w:val="restart"/>
            <w:noWrap w:val="0"/>
            <w:vAlign w:val="center"/>
          </w:tcPr>
          <w:p w14:paraId="69B1376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15DC8AB4">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46909E7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6F2824A4">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C4642900</w:t>
            </w:r>
          </w:p>
        </w:tc>
      </w:tr>
      <w:tr w14:paraId="65D8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72A8C98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tcBorders>
              <w:bottom w:val="single" w:color="auto" w:sz="4" w:space="0"/>
            </w:tcBorders>
            <w:noWrap w:val="0"/>
            <w:vAlign w:val="center"/>
          </w:tcPr>
          <w:p w14:paraId="7160D97B">
            <w:pPr>
              <w:spacing w:line="19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在禁烟区吸烟</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在非游泳区游泳，在非滑冰区滑冰，在非钓鱼区钓鱼，在非体育运动场所踢球、滑旱冰</w:t>
            </w:r>
            <w:r>
              <w:rPr>
                <w:rFonts w:hint="eastAsia" w:ascii="宋体" w:hAnsi="宋体" w:eastAsia="宋体" w:cs="宋体"/>
                <w:color w:val="auto"/>
                <w:kern w:val="0"/>
                <w:sz w:val="15"/>
                <w:szCs w:val="15"/>
                <w:highlight w:val="none"/>
              </w:rPr>
              <w:t>）</w:t>
            </w:r>
          </w:p>
        </w:tc>
        <w:tc>
          <w:tcPr>
            <w:tcW w:w="2981" w:type="dxa"/>
            <w:vMerge w:val="continue"/>
            <w:noWrap w:val="0"/>
            <w:vAlign w:val="center"/>
          </w:tcPr>
          <w:p w14:paraId="5C83E949">
            <w:pPr>
              <w:spacing w:line="232" w:lineRule="exact"/>
              <w:rPr>
                <w:rFonts w:ascii="宋体" w:hAnsi="宋体" w:eastAsia="宋体" w:cs="宋体"/>
                <w:color w:val="auto"/>
                <w:kern w:val="0"/>
                <w:sz w:val="15"/>
                <w:szCs w:val="15"/>
                <w:highlight w:val="none"/>
              </w:rPr>
            </w:pPr>
          </w:p>
        </w:tc>
        <w:tc>
          <w:tcPr>
            <w:tcW w:w="851" w:type="dxa"/>
            <w:vMerge w:val="continue"/>
            <w:noWrap w:val="0"/>
            <w:vAlign w:val="center"/>
          </w:tcPr>
          <w:p w14:paraId="01FE1038">
            <w:pPr>
              <w:spacing w:line="232" w:lineRule="exact"/>
              <w:jc w:val="center"/>
              <w:rPr>
                <w:rFonts w:ascii="宋体" w:hAnsi="宋体" w:eastAsia="宋体" w:cs="宋体"/>
                <w:color w:val="auto"/>
                <w:kern w:val="0"/>
                <w:sz w:val="15"/>
                <w:szCs w:val="15"/>
                <w:highlight w:val="none"/>
              </w:rPr>
            </w:pPr>
          </w:p>
        </w:tc>
        <w:tc>
          <w:tcPr>
            <w:tcW w:w="840" w:type="dxa"/>
            <w:vMerge w:val="continue"/>
            <w:noWrap w:val="0"/>
            <w:vAlign w:val="center"/>
          </w:tcPr>
          <w:p w14:paraId="07246F55">
            <w:pPr>
              <w:spacing w:line="232" w:lineRule="exact"/>
              <w:ind w:firstLine="300" w:firstLineChars="200"/>
              <w:jc w:val="center"/>
              <w:rPr>
                <w:rFonts w:ascii="宋体" w:hAnsi="宋体" w:eastAsia="宋体" w:cs="宋体"/>
                <w:color w:val="auto"/>
                <w:kern w:val="0"/>
                <w:sz w:val="15"/>
                <w:szCs w:val="15"/>
                <w:highlight w:val="none"/>
              </w:rPr>
            </w:pPr>
          </w:p>
        </w:tc>
        <w:tc>
          <w:tcPr>
            <w:tcW w:w="2376" w:type="dxa"/>
            <w:vMerge w:val="continue"/>
            <w:noWrap w:val="0"/>
            <w:vAlign w:val="center"/>
          </w:tcPr>
          <w:p w14:paraId="4597797C">
            <w:pPr>
              <w:spacing w:line="232" w:lineRule="exact"/>
              <w:rPr>
                <w:rFonts w:ascii="宋体" w:hAnsi="宋体" w:eastAsia="宋体" w:cs="宋体"/>
                <w:color w:val="auto"/>
                <w:kern w:val="0"/>
                <w:sz w:val="15"/>
                <w:szCs w:val="15"/>
                <w:highlight w:val="none"/>
              </w:rPr>
            </w:pPr>
          </w:p>
        </w:tc>
        <w:tc>
          <w:tcPr>
            <w:tcW w:w="1875" w:type="dxa"/>
            <w:gridSpan w:val="2"/>
            <w:vMerge w:val="continue"/>
            <w:noWrap w:val="0"/>
            <w:vAlign w:val="center"/>
          </w:tcPr>
          <w:p w14:paraId="1B7FFAA9">
            <w:pPr>
              <w:spacing w:line="232" w:lineRule="exact"/>
              <w:rPr>
                <w:rFonts w:ascii="宋体" w:hAnsi="宋体" w:eastAsia="宋体" w:cs="宋体"/>
                <w:color w:val="auto"/>
                <w:kern w:val="0"/>
                <w:sz w:val="15"/>
                <w:szCs w:val="15"/>
                <w:highlight w:val="none"/>
              </w:rPr>
            </w:pPr>
          </w:p>
        </w:tc>
        <w:tc>
          <w:tcPr>
            <w:tcW w:w="2020" w:type="dxa"/>
            <w:gridSpan w:val="2"/>
            <w:vMerge w:val="continue"/>
            <w:noWrap w:val="0"/>
            <w:vAlign w:val="center"/>
          </w:tcPr>
          <w:p w14:paraId="608F1797">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050742E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694ABE2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0F674CC0">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C4642900</w:t>
            </w:r>
          </w:p>
        </w:tc>
      </w:tr>
      <w:tr w14:paraId="0034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558FE09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tcBorders>
              <w:bottom w:val="single" w:color="auto" w:sz="4" w:space="0"/>
            </w:tcBorders>
            <w:noWrap w:val="0"/>
            <w:vAlign w:val="center"/>
          </w:tcPr>
          <w:p w14:paraId="7A694802">
            <w:pPr>
              <w:spacing w:line="19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随地吐痰、便溺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乱丢果皮等废弃物</w:t>
            </w:r>
            <w:r>
              <w:rPr>
                <w:rFonts w:hint="eastAsia" w:ascii="宋体" w:hAnsi="宋体" w:eastAsia="宋体" w:cs="宋体"/>
                <w:color w:val="auto"/>
                <w:kern w:val="0"/>
                <w:sz w:val="15"/>
                <w:szCs w:val="15"/>
                <w:highlight w:val="none"/>
              </w:rPr>
              <w:t>）</w:t>
            </w:r>
          </w:p>
        </w:tc>
        <w:tc>
          <w:tcPr>
            <w:tcW w:w="2981" w:type="dxa"/>
            <w:vMerge w:val="continue"/>
            <w:tcBorders>
              <w:bottom w:val="single" w:color="auto" w:sz="4" w:space="0"/>
            </w:tcBorders>
            <w:noWrap w:val="0"/>
            <w:vAlign w:val="center"/>
          </w:tcPr>
          <w:p w14:paraId="13CF8068">
            <w:pPr>
              <w:spacing w:line="212"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noWrap w:val="0"/>
            <w:vAlign w:val="center"/>
          </w:tcPr>
          <w:p w14:paraId="726B7AB1">
            <w:pPr>
              <w:spacing w:line="212"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noWrap w:val="0"/>
            <w:vAlign w:val="center"/>
          </w:tcPr>
          <w:p w14:paraId="03410C2E">
            <w:pPr>
              <w:spacing w:line="212" w:lineRule="exact"/>
              <w:ind w:firstLine="300" w:firstLineChars="200"/>
              <w:jc w:val="center"/>
              <w:rPr>
                <w:rFonts w:ascii="宋体" w:hAnsi="宋体" w:eastAsia="宋体" w:cs="宋体"/>
                <w:color w:val="auto"/>
                <w:kern w:val="0"/>
                <w:sz w:val="15"/>
                <w:szCs w:val="15"/>
                <w:highlight w:val="none"/>
              </w:rPr>
            </w:pPr>
          </w:p>
        </w:tc>
        <w:tc>
          <w:tcPr>
            <w:tcW w:w="2376" w:type="dxa"/>
            <w:vMerge w:val="continue"/>
            <w:tcBorders>
              <w:bottom w:val="single" w:color="auto" w:sz="4" w:space="0"/>
            </w:tcBorders>
            <w:noWrap w:val="0"/>
            <w:vAlign w:val="center"/>
          </w:tcPr>
          <w:p w14:paraId="552B9C6E">
            <w:pPr>
              <w:spacing w:line="212"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noWrap w:val="0"/>
            <w:vAlign w:val="center"/>
          </w:tcPr>
          <w:p w14:paraId="2739C86A">
            <w:pPr>
              <w:spacing w:line="212" w:lineRule="exact"/>
              <w:rPr>
                <w:rFonts w:ascii="宋体" w:hAnsi="宋体" w:eastAsia="宋体" w:cs="宋体"/>
                <w:color w:val="auto"/>
                <w:kern w:val="0"/>
                <w:sz w:val="15"/>
                <w:szCs w:val="15"/>
                <w:highlight w:val="none"/>
              </w:rPr>
            </w:pPr>
          </w:p>
        </w:tc>
        <w:tc>
          <w:tcPr>
            <w:tcW w:w="2020" w:type="dxa"/>
            <w:gridSpan w:val="2"/>
            <w:vMerge w:val="continue"/>
            <w:tcBorders>
              <w:bottom w:val="single" w:color="auto" w:sz="4" w:space="0"/>
            </w:tcBorders>
            <w:noWrap w:val="0"/>
            <w:vAlign w:val="center"/>
          </w:tcPr>
          <w:p w14:paraId="7C3066D1">
            <w:pPr>
              <w:spacing w:line="212" w:lineRule="exact"/>
              <w:rPr>
                <w:rFonts w:ascii="宋体" w:hAnsi="宋体" w:eastAsia="宋体" w:cs="宋体"/>
                <w:color w:val="auto"/>
                <w:kern w:val="0"/>
                <w:sz w:val="15"/>
                <w:szCs w:val="15"/>
                <w:highlight w:val="none"/>
              </w:rPr>
            </w:pPr>
          </w:p>
        </w:tc>
        <w:tc>
          <w:tcPr>
            <w:tcW w:w="1304" w:type="dxa"/>
            <w:gridSpan w:val="2"/>
            <w:tcBorders>
              <w:bottom w:val="single" w:color="auto" w:sz="4" w:space="0"/>
            </w:tcBorders>
            <w:noWrap w:val="0"/>
            <w:vAlign w:val="center"/>
          </w:tcPr>
          <w:p w14:paraId="1F229C1F">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6606C50B">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tcBorders>
              <w:bottom w:val="single" w:color="auto" w:sz="4" w:space="0"/>
            </w:tcBorders>
            <w:noWrap w:val="0"/>
            <w:vAlign w:val="center"/>
          </w:tcPr>
          <w:p w14:paraId="2C06C7F4">
            <w:pPr>
              <w:spacing w:line="21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C4642900</w:t>
            </w:r>
          </w:p>
        </w:tc>
      </w:tr>
      <w:tr w14:paraId="7ED0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86" w:hRule="atLeast"/>
        </w:trPr>
        <w:tc>
          <w:tcPr>
            <w:tcW w:w="714" w:type="dxa"/>
            <w:noWrap w:val="0"/>
            <w:vAlign w:val="center"/>
          </w:tcPr>
          <w:p w14:paraId="68379B9B">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tcBorders>
              <w:bottom w:val="single" w:color="auto" w:sz="4" w:space="0"/>
            </w:tcBorders>
            <w:noWrap w:val="0"/>
            <w:vAlign w:val="center"/>
          </w:tcPr>
          <w:p w14:paraId="3D313589">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营火、烧烤</w:t>
            </w:r>
          </w:p>
        </w:tc>
        <w:tc>
          <w:tcPr>
            <w:tcW w:w="2981" w:type="dxa"/>
            <w:vMerge w:val="restart"/>
            <w:noWrap w:val="0"/>
            <w:vAlign w:val="center"/>
          </w:tcPr>
          <w:p w14:paraId="289FEF18">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第四十六条</w:t>
            </w:r>
            <w:r>
              <w:rPr>
                <w:rFonts w:hint="eastAsia" w:ascii="宋体" w:hAnsi="宋体" w:eastAsia="宋体" w:cs="宋体"/>
                <w:color w:val="auto"/>
                <w:kern w:val="0"/>
                <w:sz w:val="15"/>
                <w:szCs w:val="15"/>
                <w:highlight w:val="none"/>
              </w:rPr>
              <w:t>第（二）项；处罚条款：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第一款第（二）项 </w:t>
            </w:r>
            <w:r>
              <w:rPr>
                <w:rFonts w:ascii="宋体" w:hAnsi="宋体" w:eastAsia="宋体" w:cs="宋体"/>
                <w:color w:val="auto"/>
                <w:kern w:val="0"/>
                <w:sz w:val="15"/>
                <w:szCs w:val="15"/>
                <w:highlight w:val="none"/>
              </w:rPr>
              <w:t>责令改正，并可以处50元以上100元以下罚款</w:t>
            </w:r>
            <w:r>
              <w:rPr>
                <w:rFonts w:hint="eastAsia" w:ascii="宋体" w:hAnsi="宋体" w:eastAsia="宋体" w:cs="宋体"/>
                <w:color w:val="auto"/>
                <w:kern w:val="0"/>
                <w:sz w:val="15"/>
                <w:szCs w:val="15"/>
                <w:highlight w:val="none"/>
              </w:rPr>
              <w:t>。</w:t>
            </w:r>
          </w:p>
        </w:tc>
        <w:tc>
          <w:tcPr>
            <w:tcW w:w="851" w:type="dxa"/>
            <w:vMerge w:val="restart"/>
            <w:noWrap w:val="0"/>
            <w:vAlign w:val="center"/>
          </w:tcPr>
          <w:p w14:paraId="7DFA027D">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vMerge w:val="restart"/>
            <w:noWrap w:val="0"/>
            <w:vAlign w:val="center"/>
          </w:tcPr>
          <w:p w14:paraId="120A72CB">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noWrap w:val="0"/>
            <w:vAlign w:val="center"/>
          </w:tcPr>
          <w:p w14:paraId="1C97769D">
            <w:pPr>
              <w:spacing w:line="20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Merge w:val="restart"/>
            <w:noWrap w:val="0"/>
            <w:vAlign w:val="center"/>
          </w:tcPr>
          <w:p w14:paraId="799AB55F">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vMerge w:val="restart"/>
            <w:noWrap w:val="0"/>
            <w:vAlign w:val="center"/>
          </w:tcPr>
          <w:p w14:paraId="26774225">
            <w:pPr>
              <w:spacing w:line="200" w:lineRule="exact"/>
              <w:rPr>
                <w:rFonts w:ascii="宋体" w:hAnsi="宋体" w:eastAsia="宋体" w:cs="宋体"/>
                <w:color w:val="auto"/>
                <w:kern w:val="0"/>
                <w:sz w:val="15"/>
                <w:szCs w:val="15"/>
                <w:highlight w:val="none"/>
              </w:rPr>
            </w:pPr>
          </w:p>
        </w:tc>
        <w:tc>
          <w:tcPr>
            <w:tcW w:w="1304" w:type="dxa"/>
            <w:gridSpan w:val="2"/>
            <w:noWrap w:val="0"/>
            <w:vAlign w:val="center"/>
          </w:tcPr>
          <w:p w14:paraId="0B324705">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03A56DA6">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101494C0">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C4641500</w:t>
            </w:r>
          </w:p>
        </w:tc>
      </w:tr>
      <w:tr w14:paraId="0EBC0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29" w:hRule="atLeast"/>
        </w:trPr>
        <w:tc>
          <w:tcPr>
            <w:tcW w:w="714" w:type="dxa"/>
            <w:noWrap w:val="0"/>
            <w:vAlign w:val="center"/>
          </w:tcPr>
          <w:p w14:paraId="35924203">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tcBorders>
              <w:bottom w:val="single" w:color="auto" w:sz="4" w:space="0"/>
            </w:tcBorders>
            <w:noWrap w:val="0"/>
            <w:vAlign w:val="center"/>
          </w:tcPr>
          <w:p w14:paraId="0DE126CD">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捕捞、捕捉动物</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采挖植物，恐吓、投打、伤害动物</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在非投喂区投喂动物</w:t>
            </w:r>
            <w:r>
              <w:rPr>
                <w:rFonts w:hint="eastAsia" w:ascii="宋体" w:hAnsi="宋体" w:eastAsia="宋体" w:cs="宋体"/>
                <w:color w:val="auto"/>
                <w:kern w:val="0"/>
                <w:sz w:val="15"/>
                <w:szCs w:val="15"/>
                <w:highlight w:val="none"/>
              </w:rPr>
              <w:t>）</w:t>
            </w:r>
          </w:p>
        </w:tc>
        <w:tc>
          <w:tcPr>
            <w:tcW w:w="2981" w:type="dxa"/>
            <w:vMerge w:val="continue"/>
            <w:tcBorders>
              <w:bottom w:val="single" w:color="auto" w:sz="4" w:space="0"/>
            </w:tcBorders>
            <w:noWrap w:val="0"/>
            <w:vAlign w:val="center"/>
          </w:tcPr>
          <w:p w14:paraId="67A7AA5B">
            <w:pPr>
              <w:spacing w:line="200"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noWrap w:val="0"/>
            <w:vAlign w:val="center"/>
          </w:tcPr>
          <w:p w14:paraId="02822738">
            <w:pPr>
              <w:spacing w:line="200"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noWrap w:val="0"/>
            <w:vAlign w:val="center"/>
          </w:tcPr>
          <w:p w14:paraId="031417B4">
            <w:pPr>
              <w:spacing w:line="200" w:lineRule="exact"/>
              <w:ind w:firstLine="300" w:firstLineChars="200"/>
              <w:jc w:val="center"/>
              <w:rPr>
                <w:rFonts w:ascii="宋体" w:hAnsi="宋体" w:eastAsia="宋体" w:cs="宋体"/>
                <w:color w:val="auto"/>
                <w:kern w:val="0"/>
                <w:sz w:val="15"/>
                <w:szCs w:val="15"/>
                <w:highlight w:val="none"/>
              </w:rPr>
            </w:pPr>
          </w:p>
        </w:tc>
        <w:tc>
          <w:tcPr>
            <w:tcW w:w="2376" w:type="dxa"/>
            <w:vMerge w:val="continue"/>
            <w:tcBorders>
              <w:bottom w:val="single" w:color="auto" w:sz="4" w:space="0"/>
            </w:tcBorders>
            <w:noWrap w:val="0"/>
            <w:vAlign w:val="center"/>
          </w:tcPr>
          <w:p w14:paraId="6EF0B819">
            <w:pPr>
              <w:spacing w:line="200"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noWrap w:val="0"/>
            <w:vAlign w:val="center"/>
          </w:tcPr>
          <w:p w14:paraId="3CBCAE4D">
            <w:pPr>
              <w:spacing w:line="200" w:lineRule="exact"/>
              <w:rPr>
                <w:rFonts w:ascii="宋体" w:hAnsi="宋体" w:eastAsia="宋体" w:cs="宋体"/>
                <w:color w:val="auto"/>
                <w:kern w:val="0"/>
                <w:sz w:val="15"/>
                <w:szCs w:val="15"/>
                <w:highlight w:val="none"/>
              </w:rPr>
            </w:pPr>
          </w:p>
        </w:tc>
        <w:tc>
          <w:tcPr>
            <w:tcW w:w="2020" w:type="dxa"/>
            <w:gridSpan w:val="2"/>
            <w:vMerge w:val="continue"/>
            <w:tcBorders>
              <w:bottom w:val="single" w:color="auto" w:sz="4" w:space="0"/>
            </w:tcBorders>
            <w:noWrap w:val="0"/>
            <w:vAlign w:val="center"/>
          </w:tcPr>
          <w:p w14:paraId="28144E84">
            <w:pPr>
              <w:spacing w:line="200" w:lineRule="exact"/>
              <w:rPr>
                <w:rFonts w:ascii="宋体" w:hAnsi="宋体" w:eastAsia="宋体" w:cs="宋体"/>
                <w:color w:val="auto"/>
                <w:kern w:val="0"/>
                <w:sz w:val="15"/>
                <w:szCs w:val="15"/>
                <w:highlight w:val="none"/>
              </w:rPr>
            </w:pPr>
          </w:p>
        </w:tc>
        <w:tc>
          <w:tcPr>
            <w:tcW w:w="1304" w:type="dxa"/>
            <w:gridSpan w:val="2"/>
            <w:tcBorders>
              <w:bottom w:val="single" w:color="auto" w:sz="4" w:space="0"/>
            </w:tcBorders>
            <w:noWrap w:val="0"/>
            <w:vAlign w:val="center"/>
          </w:tcPr>
          <w:p w14:paraId="47F0CBB5">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2DF0FEFB">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tcBorders>
              <w:bottom w:val="single" w:color="auto" w:sz="4" w:space="0"/>
            </w:tcBorders>
            <w:noWrap w:val="0"/>
            <w:vAlign w:val="center"/>
          </w:tcPr>
          <w:p w14:paraId="4A67EEE2">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C4641500</w:t>
            </w:r>
          </w:p>
        </w:tc>
      </w:tr>
      <w:tr w14:paraId="38D6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61" w:hRule="atLeast"/>
        </w:trPr>
        <w:tc>
          <w:tcPr>
            <w:tcW w:w="714" w:type="dxa"/>
            <w:noWrap w:val="0"/>
            <w:vAlign w:val="center"/>
          </w:tcPr>
          <w:p w14:paraId="198543A6">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tcBorders>
              <w:bottom w:val="single" w:color="auto" w:sz="4" w:space="0"/>
            </w:tcBorders>
            <w:noWrap w:val="0"/>
            <w:vAlign w:val="center"/>
          </w:tcPr>
          <w:p w14:paraId="402A9A1F">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在建筑物、构筑物、设施、树木上涂写、刻划</w:t>
            </w:r>
            <w:r>
              <w:rPr>
                <w:rFonts w:hint="eastAsia" w:ascii="宋体" w:hAnsi="宋体" w:eastAsia="宋体" w:cs="宋体"/>
                <w:color w:val="auto"/>
                <w:kern w:val="0"/>
                <w:sz w:val="15"/>
                <w:szCs w:val="15"/>
                <w:highlight w:val="none"/>
              </w:rPr>
              <w:t xml:space="preserve"> </w:t>
            </w:r>
          </w:p>
        </w:tc>
        <w:tc>
          <w:tcPr>
            <w:tcW w:w="2981" w:type="dxa"/>
            <w:vMerge w:val="restart"/>
            <w:noWrap w:val="0"/>
            <w:vAlign w:val="center"/>
          </w:tcPr>
          <w:p w14:paraId="2B44B0E6">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第（三）项；处罚条款：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第一款第（三）项 </w:t>
            </w:r>
            <w:r>
              <w:rPr>
                <w:rFonts w:ascii="宋体" w:hAnsi="宋体" w:eastAsia="宋体" w:cs="宋体"/>
                <w:color w:val="auto"/>
                <w:kern w:val="0"/>
                <w:sz w:val="15"/>
                <w:szCs w:val="15"/>
                <w:highlight w:val="none"/>
              </w:rPr>
              <w:t>给予警告，并处5元以上50元以下罚款</w:t>
            </w:r>
          </w:p>
        </w:tc>
        <w:tc>
          <w:tcPr>
            <w:tcW w:w="851" w:type="dxa"/>
            <w:vMerge w:val="restart"/>
            <w:noWrap w:val="0"/>
            <w:vAlign w:val="center"/>
          </w:tcPr>
          <w:p w14:paraId="0BD74094">
            <w:pPr>
              <w:spacing w:line="200" w:lineRule="exact"/>
              <w:rPr>
                <w:rFonts w:ascii="宋体" w:hAnsi="宋体" w:eastAsia="宋体" w:cs="宋体"/>
                <w:color w:val="auto"/>
                <w:kern w:val="0"/>
                <w:sz w:val="15"/>
                <w:szCs w:val="15"/>
                <w:highlight w:val="none"/>
              </w:rPr>
            </w:pPr>
          </w:p>
        </w:tc>
        <w:tc>
          <w:tcPr>
            <w:tcW w:w="840" w:type="dxa"/>
            <w:vMerge w:val="restart"/>
            <w:noWrap w:val="0"/>
            <w:vAlign w:val="center"/>
          </w:tcPr>
          <w:p w14:paraId="437D420D">
            <w:pPr>
              <w:spacing w:line="200" w:lineRule="exact"/>
              <w:ind w:firstLine="300" w:firstLineChars="200"/>
              <w:jc w:val="center"/>
              <w:rPr>
                <w:rFonts w:ascii="宋体" w:hAnsi="宋体" w:eastAsia="宋体" w:cs="宋体"/>
                <w:color w:val="auto"/>
                <w:kern w:val="0"/>
                <w:sz w:val="15"/>
                <w:szCs w:val="15"/>
                <w:highlight w:val="none"/>
              </w:rPr>
            </w:pPr>
          </w:p>
        </w:tc>
        <w:tc>
          <w:tcPr>
            <w:tcW w:w="2376" w:type="dxa"/>
            <w:vMerge w:val="restart"/>
            <w:noWrap w:val="0"/>
            <w:vAlign w:val="center"/>
          </w:tcPr>
          <w:p w14:paraId="2718E1F4">
            <w:pPr>
              <w:spacing w:line="20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 </w:t>
            </w:r>
          </w:p>
        </w:tc>
        <w:tc>
          <w:tcPr>
            <w:tcW w:w="1875" w:type="dxa"/>
            <w:gridSpan w:val="2"/>
            <w:vMerge w:val="restart"/>
            <w:noWrap w:val="0"/>
            <w:vAlign w:val="center"/>
          </w:tcPr>
          <w:p w14:paraId="6CD66D85">
            <w:pPr>
              <w:spacing w:line="200" w:lineRule="exact"/>
              <w:rPr>
                <w:rFonts w:ascii="宋体" w:hAnsi="宋体" w:eastAsia="宋体" w:cs="宋体"/>
                <w:color w:val="auto"/>
                <w:kern w:val="0"/>
                <w:sz w:val="15"/>
                <w:szCs w:val="15"/>
                <w:highlight w:val="none"/>
              </w:rPr>
            </w:pPr>
          </w:p>
        </w:tc>
        <w:tc>
          <w:tcPr>
            <w:tcW w:w="2020" w:type="dxa"/>
            <w:gridSpan w:val="2"/>
            <w:vMerge w:val="restart"/>
            <w:noWrap w:val="0"/>
            <w:vAlign w:val="center"/>
          </w:tcPr>
          <w:p w14:paraId="49B6BCB5">
            <w:pPr>
              <w:spacing w:line="20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76218D2D">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509E7BF0">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23D1EA09">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C4641500</w:t>
            </w:r>
          </w:p>
        </w:tc>
      </w:tr>
      <w:tr w14:paraId="4224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26" w:hRule="atLeast"/>
        </w:trPr>
        <w:tc>
          <w:tcPr>
            <w:tcW w:w="714" w:type="dxa"/>
            <w:noWrap w:val="0"/>
            <w:vAlign w:val="center"/>
          </w:tcPr>
          <w:p w14:paraId="2FC790A6">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tcBorders>
              <w:bottom w:val="single" w:color="auto" w:sz="4" w:space="0"/>
            </w:tcBorders>
            <w:noWrap w:val="0"/>
            <w:vAlign w:val="center"/>
          </w:tcPr>
          <w:p w14:paraId="726FA2B4">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攀折花木</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损坏草坪、树木</w:t>
            </w:r>
            <w:r>
              <w:rPr>
                <w:rFonts w:hint="eastAsia" w:ascii="宋体" w:hAnsi="宋体" w:eastAsia="宋体" w:cs="宋体"/>
                <w:color w:val="auto"/>
                <w:kern w:val="0"/>
                <w:sz w:val="15"/>
                <w:szCs w:val="15"/>
                <w:highlight w:val="none"/>
              </w:rPr>
              <w:t>）</w:t>
            </w:r>
          </w:p>
        </w:tc>
        <w:tc>
          <w:tcPr>
            <w:tcW w:w="2981" w:type="dxa"/>
            <w:vMerge w:val="continue"/>
            <w:tcBorders>
              <w:bottom w:val="single" w:color="auto" w:sz="4" w:space="0"/>
            </w:tcBorders>
            <w:noWrap w:val="0"/>
            <w:vAlign w:val="center"/>
          </w:tcPr>
          <w:p w14:paraId="00226602">
            <w:pPr>
              <w:spacing w:line="200"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noWrap w:val="0"/>
            <w:vAlign w:val="center"/>
          </w:tcPr>
          <w:p w14:paraId="06FAB733">
            <w:pPr>
              <w:spacing w:line="200"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noWrap w:val="0"/>
            <w:vAlign w:val="center"/>
          </w:tcPr>
          <w:p w14:paraId="35C1B119">
            <w:pPr>
              <w:spacing w:line="200" w:lineRule="exact"/>
              <w:ind w:firstLine="300" w:firstLineChars="200"/>
              <w:jc w:val="center"/>
              <w:rPr>
                <w:rFonts w:ascii="宋体" w:hAnsi="宋体" w:eastAsia="宋体" w:cs="宋体"/>
                <w:color w:val="auto"/>
                <w:kern w:val="0"/>
                <w:sz w:val="15"/>
                <w:szCs w:val="15"/>
                <w:highlight w:val="none"/>
              </w:rPr>
            </w:pPr>
          </w:p>
        </w:tc>
        <w:tc>
          <w:tcPr>
            <w:tcW w:w="2376" w:type="dxa"/>
            <w:vMerge w:val="continue"/>
            <w:tcBorders>
              <w:bottom w:val="single" w:color="auto" w:sz="4" w:space="0"/>
            </w:tcBorders>
            <w:noWrap w:val="0"/>
            <w:vAlign w:val="center"/>
          </w:tcPr>
          <w:p w14:paraId="4C9632A3">
            <w:pPr>
              <w:spacing w:line="200"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noWrap w:val="0"/>
            <w:vAlign w:val="center"/>
          </w:tcPr>
          <w:p w14:paraId="3625E0E0">
            <w:pPr>
              <w:spacing w:line="200" w:lineRule="exact"/>
              <w:rPr>
                <w:rFonts w:ascii="宋体" w:hAnsi="宋体" w:eastAsia="宋体" w:cs="宋体"/>
                <w:color w:val="auto"/>
                <w:kern w:val="0"/>
                <w:sz w:val="15"/>
                <w:szCs w:val="15"/>
                <w:highlight w:val="none"/>
              </w:rPr>
            </w:pPr>
          </w:p>
        </w:tc>
        <w:tc>
          <w:tcPr>
            <w:tcW w:w="2020" w:type="dxa"/>
            <w:gridSpan w:val="2"/>
            <w:vMerge w:val="continue"/>
            <w:tcBorders>
              <w:bottom w:val="single" w:color="auto" w:sz="4" w:space="0"/>
            </w:tcBorders>
            <w:noWrap w:val="0"/>
            <w:vAlign w:val="center"/>
          </w:tcPr>
          <w:p w14:paraId="30016F23">
            <w:pPr>
              <w:spacing w:line="200" w:lineRule="exact"/>
              <w:rPr>
                <w:rFonts w:ascii="宋体" w:hAnsi="宋体" w:eastAsia="宋体" w:cs="宋体"/>
                <w:color w:val="auto"/>
                <w:kern w:val="0"/>
                <w:sz w:val="15"/>
                <w:szCs w:val="15"/>
                <w:highlight w:val="none"/>
              </w:rPr>
            </w:pPr>
          </w:p>
        </w:tc>
        <w:tc>
          <w:tcPr>
            <w:tcW w:w="1304" w:type="dxa"/>
            <w:gridSpan w:val="2"/>
            <w:tcBorders>
              <w:bottom w:val="single" w:color="auto" w:sz="4" w:space="0"/>
            </w:tcBorders>
            <w:noWrap w:val="0"/>
            <w:vAlign w:val="center"/>
          </w:tcPr>
          <w:p w14:paraId="308401B8">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11020DC6">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tcBorders>
              <w:bottom w:val="single" w:color="auto" w:sz="4" w:space="0"/>
            </w:tcBorders>
            <w:noWrap w:val="0"/>
            <w:vAlign w:val="center"/>
          </w:tcPr>
          <w:p w14:paraId="2C865251">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C4641500</w:t>
            </w:r>
          </w:p>
        </w:tc>
      </w:tr>
      <w:tr w14:paraId="29F0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62" w:hRule="atLeast"/>
        </w:trPr>
        <w:tc>
          <w:tcPr>
            <w:tcW w:w="714" w:type="dxa"/>
            <w:noWrap w:val="0"/>
            <w:vAlign w:val="center"/>
          </w:tcPr>
          <w:p w14:paraId="736696EB">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14:paraId="4562D95C">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擅自改变公园的功能</w:t>
            </w:r>
          </w:p>
        </w:tc>
        <w:tc>
          <w:tcPr>
            <w:tcW w:w="2981" w:type="dxa"/>
            <w:noWrap w:val="0"/>
            <w:vAlign w:val="center"/>
          </w:tcPr>
          <w:p w14:paraId="6BEBA14A">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第（一）项 责令限期改正，恢复原功能，并可以处1万元以上10万元以下罚款。</w:t>
            </w:r>
          </w:p>
        </w:tc>
        <w:tc>
          <w:tcPr>
            <w:tcW w:w="851" w:type="dxa"/>
            <w:noWrap w:val="0"/>
            <w:vAlign w:val="center"/>
          </w:tcPr>
          <w:p w14:paraId="084581D9">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6C795D91">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F810AA9">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改变</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lang w:val="en-US" w:eastAsia="zh-CN"/>
              </w:rPr>
              <w:t>功能的，</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改变</w:t>
            </w:r>
            <w:r>
              <w:rPr>
                <w:rFonts w:hint="eastAsia" w:ascii="宋体" w:hAnsi="宋体" w:cs="宋体"/>
                <w:color w:val="auto"/>
                <w:kern w:val="0"/>
                <w:sz w:val="15"/>
                <w:szCs w:val="15"/>
                <w:highlight w:val="none"/>
                <w:lang w:eastAsia="zh-CN"/>
              </w:rPr>
              <w:t>级别为二级的公园功能</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改变</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lang w:eastAsia="zh-CN"/>
              </w:rPr>
              <w:t>功</w:t>
            </w:r>
            <w:r>
              <w:rPr>
                <w:rFonts w:hint="eastAsia" w:ascii="宋体" w:hAnsi="宋体" w:eastAsia="宋体" w:cs="宋体"/>
                <w:color w:val="auto"/>
                <w:kern w:val="0"/>
                <w:sz w:val="15"/>
                <w:szCs w:val="15"/>
                <w:highlight w:val="none"/>
              </w:rPr>
              <w:t>能</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F35FFF1">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4D7D030F">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14:paraId="71367C8C">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1304" w:type="dxa"/>
            <w:gridSpan w:val="2"/>
            <w:noWrap w:val="0"/>
            <w:vAlign w:val="center"/>
          </w:tcPr>
          <w:p w14:paraId="3917F6E7">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24CF0A83">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20923397">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C4316100</w:t>
            </w:r>
          </w:p>
        </w:tc>
      </w:tr>
      <w:tr w14:paraId="36EF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72" w:hRule="atLeast"/>
        </w:trPr>
        <w:tc>
          <w:tcPr>
            <w:tcW w:w="714" w:type="dxa"/>
            <w:noWrap w:val="0"/>
            <w:vAlign w:val="center"/>
          </w:tcPr>
          <w:p w14:paraId="5574B57D">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14:paraId="47D34646">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侵占公园用地</w:t>
            </w:r>
          </w:p>
        </w:tc>
        <w:tc>
          <w:tcPr>
            <w:tcW w:w="2981" w:type="dxa"/>
            <w:noWrap w:val="0"/>
            <w:vAlign w:val="center"/>
          </w:tcPr>
          <w:p w14:paraId="144413B0">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第（二）项 责令立即腾退，恢复原状，并可以按照侵占面积每平方米处300元罚款。</w:t>
            </w:r>
          </w:p>
        </w:tc>
        <w:tc>
          <w:tcPr>
            <w:tcW w:w="851" w:type="dxa"/>
            <w:noWrap w:val="0"/>
            <w:vAlign w:val="center"/>
          </w:tcPr>
          <w:p w14:paraId="42B74CEB">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14:paraId="66828851">
            <w:pPr>
              <w:spacing w:line="200" w:lineRule="exact"/>
              <w:jc w:val="center"/>
              <w:rPr>
                <w:rFonts w:ascii="宋体" w:hAnsi="宋体" w:eastAsia="宋体" w:cs="宋体"/>
                <w:color w:val="auto"/>
                <w:kern w:val="0"/>
                <w:sz w:val="15"/>
                <w:szCs w:val="15"/>
                <w:highlight w:val="none"/>
              </w:rPr>
            </w:pPr>
          </w:p>
        </w:tc>
        <w:tc>
          <w:tcPr>
            <w:tcW w:w="2376" w:type="dxa"/>
            <w:noWrap w:val="0"/>
            <w:vAlign w:val="center"/>
          </w:tcPr>
          <w:p w14:paraId="6CEA2A00">
            <w:pPr>
              <w:spacing w:line="200" w:lineRule="exact"/>
              <w:rPr>
                <w:rFonts w:ascii="宋体" w:hAnsi="宋体" w:eastAsia="宋体" w:cs="宋体"/>
                <w:color w:val="auto"/>
                <w:kern w:val="0"/>
                <w:sz w:val="15"/>
                <w:szCs w:val="15"/>
                <w:highlight w:val="none"/>
              </w:rPr>
            </w:pPr>
          </w:p>
        </w:tc>
        <w:tc>
          <w:tcPr>
            <w:tcW w:w="1875" w:type="dxa"/>
            <w:gridSpan w:val="2"/>
            <w:noWrap w:val="0"/>
            <w:vAlign w:val="center"/>
          </w:tcPr>
          <w:p w14:paraId="5296056D">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罚款数额＝侵占面积×300元。</w:t>
            </w:r>
          </w:p>
        </w:tc>
        <w:tc>
          <w:tcPr>
            <w:tcW w:w="2020" w:type="dxa"/>
            <w:gridSpan w:val="2"/>
            <w:noWrap w:val="0"/>
            <w:vAlign w:val="center"/>
          </w:tcPr>
          <w:p w14:paraId="121AEB05">
            <w:pPr>
              <w:spacing w:line="200" w:lineRule="exact"/>
              <w:rPr>
                <w:rFonts w:ascii="宋体" w:hAnsi="宋体" w:eastAsia="宋体" w:cs="宋体"/>
                <w:color w:val="auto"/>
                <w:kern w:val="0"/>
                <w:sz w:val="15"/>
                <w:szCs w:val="15"/>
                <w:highlight w:val="none"/>
              </w:rPr>
            </w:pPr>
          </w:p>
        </w:tc>
        <w:tc>
          <w:tcPr>
            <w:tcW w:w="1304" w:type="dxa"/>
            <w:gridSpan w:val="2"/>
            <w:noWrap w:val="0"/>
            <w:vAlign w:val="center"/>
          </w:tcPr>
          <w:p w14:paraId="5F4BAE9C">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2F7A9B09">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721CEBD4">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C4316200</w:t>
            </w:r>
          </w:p>
        </w:tc>
      </w:tr>
      <w:tr w14:paraId="72AB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50" w:hRule="atLeast"/>
        </w:trPr>
        <w:tc>
          <w:tcPr>
            <w:tcW w:w="714" w:type="dxa"/>
            <w:noWrap w:val="0"/>
            <w:vAlign w:val="center"/>
          </w:tcPr>
          <w:p w14:paraId="233C15B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14:paraId="4A1A1988">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公园未经验收交付使用</w:t>
            </w:r>
          </w:p>
        </w:tc>
        <w:tc>
          <w:tcPr>
            <w:tcW w:w="2981" w:type="dxa"/>
            <w:noWrap w:val="0"/>
            <w:vAlign w:val="center"/>
          </w:tcPr>
          <w:p w14:paraId="4C52AB6B">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十八</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二</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，责令改正，并可以处1万元以上10万元以下罚款。</w:t>
            </w:r>
          </w:p>
        </w:tc>
        <w:tc>
          <w:tcPr>
            <w:tcW w:w="851" w:type="dxa"/>
            <w:noWrap w:val="0"/>
            <w:vAlign w:val="center"/>
          </w:tcPr>
          <w:p w14:paraId="224A038F">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4455A334">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7DF2762">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1.公园建设工程已经完工，具备开园条件，但未经验收交付使用的，系数</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-4；2.公园建设工程尚未完全完工，且未经验收交付使用的，系数5-9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8A0BC72">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23678B91">
            <w:pPr>
              <w:spacing w:line="224" w:lineRule="exact"/>
              <w:rPr>
                <w:rFonts w:ascii="宋体" w:hAnsi="宋体" w:eastAsia="宋体" w:cs="宋体"/>
                <w:color w:val="auto"/>
                <w:kern w:val="0"/>
                <w:sz w:val="15"/>
                <w:szCs w:val="15"/>
                <w:highlight w:val="none"/>
              </w:rPr>
            </w:pPr>
          </w:p>
        </w:tc>
        <w:tc>
          <w:tcPr>
            <w:tcW w:w="1304" w:type="dxa"/>
            <w:gridSpan w:val="2"/>
            <w:noWrap w:val="0"/>
            <w:vAlign w:val="center"/>
          </w:tcPr>
          <w:p w14:paraId="03AE037A">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0014208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29B780B3">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C4316300</w:t>
            </w:r>
          </w:p>
        </w:tc>
      </w:tr>
      <w:tr w14:paraId="505C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18DAFC0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14:paraId="62EEB36F">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在历史名园保护区内建设影响原有风貌和格局的建筑物、构建物</w:t>
            </w:r>
          </w:p>
        </w:tc>
        <w:tc>
          <w:tcPr>
            <w:tcW w:w="2981" w:type="dxa"/>
            <w:noWrap w:val="0"/>
            <w:vAlign w:val="center"/>
          </w:tcPr>
          <w:p w14:paraId="59A596EA">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二十九</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三</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noWrap w:val="0"/>
            <w:vAlign w:val="center"/>
          </w:tcPr>
          <w:p w14:paraId="4FE5B7B3">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14:paraId="198F0C54">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B19B091">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1.面积500平方米以下（不含</w:t>
            </w:r>
            <w:r>
              <w:rPr>
                <w:rFonts w:ascii="宋体" w:hAnsi="宋体" w:eastAsia="宋体" w:cs="宋体"/>
                <w:color w:val="auto"/>
                <w:kern w:val="0"/>
                <w:sz w:val="15"/>
                <w:szCs w:val="15"/>
                <w:highlight w:val="none"/>
              </w:rPr>
              <w:t>本数</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0</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.违法建筑物、构筑物的面积500平方米以上不足1000平方米（不含</w:t>
            </w:r>
            <w:r>
              <w:rPr>
                <w:rFonts w:ascii="宋体" w:hAnsi="宋体" w:eastAsia="宋体" w:cs="宋体"/>
                <w:color w:val="auto"/>
                <w:kern w:val="0"/>
                <w:sz w:val="15"/>
                <w:szCs w:val="15"/>
                <w:highlight w:val="none"/>
              </w:rPr>
              <w:t>本数</w:t>
            </w:r>
            <w:r>
              <w:rPr>
                <w:rFonts w:hint="eastAsia" w:ascii="宋体" w:hAnsi="宋体" w:eastAsia="宋体" w:cs="宋体"/>
                <w:color w:val="auto"/>
                <w:kern w:val="0"/>
                <w:sz w:val="15"/>
                <w:szCs w:val="15"/>
                <w:highlight w:val="none"/>
              </w:rPr>
              <w:t>）的，系数4</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.违法建筑物、构筑物的面积1000平方米以上的，系数7-9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1C958C7">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系数）×面积。</w:t>
            </w:r>
          </w:p>
        </w:tc>
        <w:tc>
          <w:tcPr>
            <w:tcW w:w="2020" w:type="dxa"/>
            <w:gridSpan w:val="2"/>
            <w:noWrap w:val="0"/>
            <w:vAlign w:val="center"/>
          </w:tcPr>
          <w:p w14:paraId="05667BBE">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对原有文物建筑及其附属物损毁、改建、拆除的，按照文物保护的法律、法规规定予以处罚和赔偿。</w:t>
            </w:r>
          </w:p>
        </w:tc>
        <w:tc>
          <w:tcPr>
            <w:tcW w:w="1304" w:type="dxa"/>
            <w:gridSpan w:val="2"/>
            <w:noWrap w:val="0"/>
            <w:vAlign w:val="center"/>
          </w:tcPr>
          <w:p w14:paraId="182CFF98">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5D547E5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54FB1BC2">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C4316400</w:t>
            </w:r>
          </w:p>
        </w:tc>
      </w:tr>
      <w:tr w14:paraId="23EB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56" w:hRule="atLeast"/>
        </w:trPr>
        <w:tc>
          <w:tcPr>
            <w:tcW w:w="714" w:type="dxa"/>
            <w:noWrap w:val="0"/>
            <w:vAlign w:val="center"/>
          </w:tcPr>
          <w:p w14:paraId="698A95F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14:paraId="2829B84B">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擅自改变无法以人力再造和无法再生的自然景观</w:t>
            </w:r>
          </w:p>
        </w:tc>
        <w:tc>
          <w:tcPr>
            <w:tcW w:w="2981" w:type="dxa"/>
            <w:noWrap w:val="0"/>
            <w:vAlign w:val="center"/>
          </w:tcPr>
          <w:p w14:paraId="54ECA7AE">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 责令停止违法行为，并处1万元以上10万元以下罚款。</w:t>
            </w:r>
          </w:p>
        </w:tc>
        <w:tc>
          <w:tcPr>
            <w:tcW w:w="851" w:type="dxa"/>
            <w:noWrap w:val="0"/>
            <w:vAlign w:val="center"/>
          </w:tcPr>
          <w:p w14:paraId="22216C05">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w:t>
            </w:r>
          </w:p>
        </w:tc>
        <w:tc>
          <w:tcPr>
            <w:tcW w:w="840" w:type="dxa"/>
            <w:noWrap w:val="0"/>
            <w:vAlign w:val="center"/>
          </w:tcPr>
          <w:p w14:paraId="568DB5BC">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C6BB058">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3C03837">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4F69E9AE">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14:paraId="5CE354AA">
            <w:pPr>
              <w:spacing w:line="240" w:lineRule="exact"/>
              <w:rPr>
                <w:rFonts w:ascii="宋体" w:hAnsi="宋体" w:eastAsia="宋体" w:cs="宋体"/>
                <w:color w:val="auto"/>
                <w:kern w:val="0"/>
                <w:sz w:val="15"/>
                <w:szCs w:val="15"/>
                <w:highlight w:val="none"/>
              </w:rPr>
            </w:pPr>
          </w:p>
          <w:p w14:paraId="6E41CDAB">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造成损失的，依法承担赔偿责任；构成犯罪的，依法追究刑事责任。</w:t>
            </w:r>
          </w:p>
        </w:tc>
        <w:tc>
          <w:tcPr>
            <w:tcW w:w="1304" w:type="dxa"/>
            <w:gridSpan w:val="2"/>
            <w:noWrap w:val="0"/>
            <w:vAlign w:val="center"/>
          </w:tcPr>
          <w:p w14:paraId="7175D4DC">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46E8A1B7">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7F04340A">
            <w:pPr>
              <w:spacing w:line="24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C4316500</w:t>
            </w:r>
          </w:p>
        </w:tc>
      </w:tr>
      <w:tr w14:paraId="6150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25" w:hRule="atLeast"/>
        </w:trPr>
        <w:tc>
          <w:tcPr>
            <w:tcW w:w="714" w:type="dxa"/>
            <w:noWrap w:val="0"/>
            <w:vAlign w:val="center"/>
          </w:tcPr>
          <w:p w14:paraId="07945DF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14:paraId="4B629A4D">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擅自改变具有特殊历史文化价值的人文景观原有风貌和格局</w:t>
            </w:r>
          </w:p>
        </w:tc>
        <w:tc>
          <w:tcPr>
            <w:tcW w:w="2981" w:type="dxa"/>
            <w:noWrap w:val="0"/>
            <w:vAlign w:val="center"/>
          </w:tcPr>
          <w:p w14:paraId="0402EDBA">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，责令停止违法行为，并处1万元以上10万元以下罚款。</w:t>
            </w:r>
          </w:p>
        </w:tc>
        <w:tc>
          <w:tcPr>
            <w:tcW w:w="851" w:type="dxa"/>
            <w:noWrap w:val="0"/>
            <w:vAlign w:val="center"/>
          </w:tcPr>
          <w:p w14:paraId="08B0C58C">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w:t>
            </w:r>
          </w:p>
        </w:tc>
        <w:tc>
          <w:tcPr>
            <w:tcW w:w="840" w:type="dxa"/>
            <w:noWrap w:val="0"/>
            <w:vAlign w:val="center"/>
          </w:tcPr>
          <w:p w14:paraId="4FFD331C">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1150B66">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DCA29AD">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5432DA6C">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14:paraId="61A167D4">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14:paraId="2FF42546">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00029236">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2491A8A1">
            <w:pPr>
              <w:spacing w:line="24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C4316600</w:t>
            </w:r>
          </w:p>
        </w:tc>
      </w:tr>
      <w:tr w14:paraId="4254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58" w:hRule="atLeast"/>
        </w:trPr>
        <w:tc>
          <w:tcPr>
            <w:tcW w:w="714" w:type="dxa"/>
            <w:noWrap w:val="0"/>
            <w:vAlign w:val="center"/>
          </w:tcPr>
          <w:p w14:paraId="5BAAC05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14:paraId="7DE09A5A">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公园管理机构未按照标准做好清扫保洁</w:t>
            </w:r>
          </w:p>
        </w:tc>
        <w:tc>
          <w:tcPr>
            <w:tcW w:w="2981" w:type="dxa"/>
            <w:noWrap w:val="0"/>
            <w:vAlign w:val="center"/>
          </w:tcPr>
          <w:p w14:paraId="4F24BAA8">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三十六</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第一款第</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六</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noWrap w:val="0"/>
            <w:vAlign w:val="center"/>
          </w:tcPr>
          <w:p w14:paraId="5556F8B0">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14:paraId="0B76512A">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9537999">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2C4E488">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4672C14E">
            <w:pPr>
              <w:spacing w:line="24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14:paraId="2B7534B3">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1304" w:type="dxa"/>
            <w:gridSpan w:val="2"/>
            <w:noWrap w:val="0"/>
            <w:vAlign w:val="center"/>
          </w:tcPr>
          <w:p w14:paraId="65CFFB1A">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1954F8A8">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34F314BE">
            <w:pPr>
              <w:spacing w:line="24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C4316700</w:t>
            </w:r>
          </w:p>
        </w:tc>
      </w:tr>
      <w:tr w14:paraId="6DB5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10" w:hRule="atLeast"/>
        </w:trPr>
        <w:tc>
          <w:tcPr>
            <w:tcW w:w="714" w:type="dxa"/>
            <w:noWrap w:val="0"/>
            <w:vAlign w:val="center"/>
          </w:tcPr>
          <w:p w14:paraId="447F85F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6" w:type="dxa"/>
            <w:gridSpan w:val="2"/>
            <w:noWrap w:val="0"/>
            <w:vAlign w:val="center"/>
          </w:tcPr>
          <w:p w14:paraId="56A0E14F">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在公园内搭建棚舍、擅自摆摊设点</w:t>
            </w:r>
          </w:p>
        </w:tc>
        <w:tc>
          <w:tcPr>
            <w:tcW w:w="2981" w:type="dxa"/>
            <w:noWrap w:val="0"/>
            <w:vAlign w:val="center"/>
          </w:tcPr>
          <w:p w14:paraId="50971186">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三十七</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二</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noWrap w:val="0"/>
            <w:vAlign w:val="center"/>
          </w:tcPr>
          <w:p w14:paraId="161E4886">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14:paraId="72345DAD">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D7F5444">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A8D3187">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3027E045">
            <w:pPr>
              <w:spacing w:line="24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14:paraId="1083EC65">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1304" w:type="dxa"/>
            <w:gridSpan w:val="2"/>
            <w:noWrap w:val="0"/>
            <w:vAlign w:val="center"/>
          </w:tcPr>
          <w:p w14:paraId="4D929B9D">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27C483A9">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52AD23DC">
            <w:pPr>
              <w:spacing w:line="24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C4316800</w:t>
            </w:r>
          </w:p>
        </w:tc>
      </w:tr>
      <w:tr w14:paraId="7F7A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50" w:hRule="atLeast"/>
        </w:trPr>
        <w:tc>
          <w:tcPr>
            <w:tcW w:w="714" w:type="dxa"/>
            <w:noWrap w:val="0"/>
            <w:vAlign w:val="center"/>
          </w:tcPr>
          <w:p w14:paraId="5312E9E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noWrap w:val="0"/>
            <w:vAlign w:val="center"/>
          </w:tcPr>
          <w:p w14:paraId="21BF018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在公园内随意堆放物料、拉绳挂物</w:t>
            </w:r>
          </w:p>
        </w:tc>
        <w:tc>
          <w:tcPr>
            <w:tcW w:w="2981" w:type="dxa"/>
            <w:noWrap w:val="0"/>
            <w:vAlign w:val="center"/>
          </w:tcPr>
          <w:p w14:paraId="7E3A882F">
            <w:pPr>
              <w:spacing w:line="20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w:t>
            </w:r>
            <w:r>
              <w:rPr>
                <w:rFonts w:ascii="宋体" w:hAnsi="宋体" w:eastAsia="宋体" w:cs="宋体"/>
                <w:color w:val="auto"/>
                <w:spacing w:val="-4"/>
                <w:kern w:val="0"/>
                <w:sz w:val="15"/>
                <w:szCs w:val="15"/>
                <w:highlight w:val="none"/>
              </w:rPr>
              <w:t>第</w:t>
            </w:r>
            <w:r>
              <w:rPr>
                <w:rFonts w:hint="eastAsia" w:ascii="宋体" w:hAnsi="宋体" w:eastAsia="宋体" w:cs="宋体"/>
                <w:color w:val="auto"/>
                <w:spacing w:val="-4"/>
                <w:kern w:val="0"/>
                <w:sz w:val="15"/>
                <w:szCs w:val="15"/>
                <w:highlight w:val="none"/>
              </w:rPr>
              <w:t>三十七</w:t>
            </w:r>
            <w:r>
              <w:rPr>
                <w:rFonts w:ascii="宋体" w:hAnsi="宋体" w:eastAsia="宋体" w:cs="宋体"/>
                <w:color w:val="auto"/>
                <w:spacing w:val="-4"/>
                <w:kern w:val="0"/>
                <w:sz w:val="15"/>
                <w:szCs w:val="15"/>
                <w:highlight w:val="none"/>
              </w:rPr>
              <w:t>条</w:t>
            </w:r>
            <w:r>
              <w:rPr>
                <w:rFonts w:hint="eastAsia" w:ascii="宋体" w:hAnsi="宋体" w:eastAsia="宋体" w:cs="宋体"/>
                <w:color w:val="auto"/>
                <w:spacing w:val="-4"/>
                <w:kern w:val="0"/>
                <w:sz w:val="15"/>
                <w:szCs w:val="15"/>
                <w:highlight w:val="none"/>
              </w:rPr>
              <w:t>；处罚条款：</w:t>
            </w:r>
            <w:r>
              <w:rPr>
                <w:rFonts w:ascii="宋体" w:hAnsi="宋体" w:eastAsia="宋体" w:cs="宋体"/>
                <w:color w:val="auto"/>
                <w:spacing w:val="-4"/>
                <w:kern w:val="0"/>
                <w:sz w:val="15"/>
                <w:szCs w:val="15"/>
                <w:highlight w:val="none"/>
              </w:rPr>
              <w:t>第五十</w:t>
            </w:r>
            <w:r>
              <w:rPr>
                <w:rFonts w:hint="eastAsia" w:ascii="宋体" w:hAnsi="宋体" w:eastAsia="宋体" w:cs="宋体"/>
                <w:color w:val="auto"/>
                <w:spacing w:val="-4"/>
                <w:kern w:val="0"/>
                <w:sz w:val="15"/>
                <w:szCs w:val="15"/>
                <w:highlight w:val="none"/>
              </w:rPr>
              <w:t>五</w:t>
            </w:r>
            <w:r>
              <w:rPr>
                <w:rFonts w:ascii="宋体" w:hAnsi="宋体" w:eastAsia="宋体" w:cs="宋体"/>
                <w:color w:val="auto"/>
                <w:spacing w:val="-4"/>
                <w:kern w:val="0"/>
                <w:sz w:val="15"/>
                <w:szCs w:val="15"/>
                <w:highlight w:val="none"/>
              </w:rPr>
              <w:t>条第（</w:t>
            </w:r>
            <w:r>
              <w:rPr>
                <w:rFonts w:hint="eastAsia" w:ascii="宋体" w:hAnsi="宋体" w:eastAsia="宋体" w:cs="宋体"/>
                <w:color w:val="auto"/>
                <w:spacing w:val="-4"/>
                <w:kern w:val="0"/>
                <w:sz w:val="15"/>
                <w:szCs w:val="15"/>
                <w:highlight w:val="none"/>
              </w:rPr>
              <w:t>三</w:t>
            </w:r>
            <w:r>
              <w:rPr>
                <w:rFonts w:ascii="宋体" w:hAnsi="宋体" w:eastAsia="宋体" w:cs="宋体"/>
                <w:color w:val="auto"/>
                <w:spacing w:val="-4"/>
                <w:kern w:val="0"/>
                <w:sz w:val="15"/>
                <w:szCs w:val="15"/>
                <w:highlight w:val="none"/>
              </w:rPr>
              <w:t>）</w:t>
            </w:r>
            <w:r>
              <w:rPr>
                <w:rFonts w:hint="eastAsia" w:ascii="宋体" w:hAnsi="宋体" w:eastAsia="宋体" w:cs="宋体"/>
                <w:color w:val="auto"/>
                <w:spacing w:val="-4"/>
                <w:kern w:val="0"/>
                <w:sz w:val="15"/>
                <w:szCs w:val="15"/>
                <w:highlight w:val="none"/>
              </w:rPr>
              <w:t>项，责令改正，并可以处100元以上1000元以下罚款。</w:t>
            </w:r>
          </w:p>
        </w:tc>
        <w:tc>
          <w:tcPr>
            <w:tcW w:w="851" w:type="dxa"/>
            <w:noWrap w:val="0"/>
            <w:vAlign w:val="center"/>
          </w:tcPr>
          <w:p w14:paraId="1A9691D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14:paraId="24F7EC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F84D52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E23F576">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0D19EE98">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14:paraId="5A8BAD1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1304" w:type="dxa"/>
            <w:gridSpan w:val="2"/>
            <w:noWrap w:val="0"/>
            <w:vAlign w:val="center"/>
          </w:tcPr>
          <w:p w14:paraId="04B951FF">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5F0FFE0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7F3C67B8">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C4316900</w:t>
            </w:r>
          </w:p>
        </w:tc>
      </w:tr>
      <w:tr w14:paraId="4198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11" w:hRule="atLeast"/>
        </w:trPr>
        <w:tc>
          <w:tcPr>
            <w:tcW w:w="714" w:type="dxa"/>
            <w:noWrap w:val="0"/>
            <w:vAlign w:val="center"/>
          </w:tcPr>
          <w:p w14:paraId="1056A6A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6" w:type="dxa"/>
            <w:gridSpan w:val="2"/>
            <w:noWrap w:val="0"/>
            <w:vAlign w:val="center"/>
          </w:tcPr>
          <w:p w14:paraId="6E25AB4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公园内牌示污损、丢失不及时更换或者补设</w:t>
            </w:r>
          </w:p>
        </w:tc>
        <w:tc>
          <w:tcPr>
            <w:tcW w:w="2981" w:type="dxa"/>
            <w:noWrap w:val="0"/>
            <w:vAlign w:val="center"/>
          </w:tcPr>
          <w:p w14:paraId="7CC29863">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三十八</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noWrap w:val="0"/>
            <w:vAlign w:val="center"/>
          </w:tcPr>
          <w:p w14:paraId="4231439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14:paraId="528472C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2C86CD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7C13136">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22D8A44B">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14:paraId="5E9C67A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1304" w:type="dxa"/>
            <w:gridSpan w:val="2"/>
            <w:noWrap w:val="0"/>
            <w:vAlign w:val="center"/>
          </w:tcPr>
          <w:p w14:paraId="582B70E6">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031216E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206F466F">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C4317000</w:t>
            </w:r>
          </w:p>
        </w:tc>
      </w:tr>
      <w:tr w14:paraId="7CEE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16" w:hRule="atLeast"/>
        </w:trPr>
        <w:tc>
          <w:tcPr>
            <w:tcW w:w="714" w:type="dxa"/>
            <w:noWrap w:val="0"/>
            <w:vAlign w:val="center"/>
          </w:tcPr>
          <w:p w14:paraId="7B1CA21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6" w:type="dxa"/>
            <w:gridSpan w:val="2"/>
            <w:noWrap w:val="0"/>
            <w:vAlign w:val="center"/>
          </w:tcPr>
          <w:p w14:paraId="58A006B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在公园内追逐游客强行兜售物品</w:t>
            </w:r>
          </w:p>
        </w:tc>
        <w:tc>
          <w:tcPr>
            <w:tcW w:w="2981" w:type="dxa"/>
            <w:noWrap w:val="0"/>
            <w:vAlign w:val="center"/>
          </w:tcPr>
          <w:p w14:paraId="172C22BD">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w:t>
            </w:r>
            <w:r>
              <w:rPr>
                <w:rFonts w:hint="eastAsia" w:ascii="宋体" w:hAnsi="宋体" w:eastAsia="宋体" w:cs="宋体"/>
                <w:color w:val="auto"/>
                <w:kern w:val="0"/>
                <w:sz w:val="15"/>
                <w:szCs w:val="15"/>
                <w:highlight w:val="none"/>
              </w:rPr>
              <w:t>七条；处罚条款：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七</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，责令改正，没收违法所得，并处50元以上500元以下罚款。</w:t>
            </w:r>
          </w:p>
        </w:tc>
        <w:tc>
          <w:tcPr>
            <w:tcW w:w="851" w:type="dxa"/>
            <w:noWrap w:val="0"/>
            <w:vAlign w:val="center"/>
          </w:tcPr>
          <w:p w14:paraId="3B6E32A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060737C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E36A62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996224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1F688C72">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14:paraId="012D67A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1304" w:type="dxa"/>
            <w:gridSpan w:val="2"/>
            <w:noWrap w:val="0"/>
            <w:vAlign w:val="center"/>
          </w:tcPr>
          <w:p w14:paraId="5B45246F">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4C4E9A0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6845235A">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C4317400</w:t>
            </w:r>
          </w:p>
        </w:tc>
      </w:tr>
      <w:tr w14:paraId="4102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81" w:hRule="atLeast"/>
        </w:trPr>
        <w:tc>
          <w:tcPr>
            <w:tcW w:w="14587" w:type="dxa"/>
            <w:gridSpan w:val="13"/>
            <w:noWrap w:val="0"/>
            <w:vAlign w:val="center"/>
          </w:tcPr>
          <w:p w14:paraId="521BCE94">
            <w:pPr>
              <w:pStyle w:val="2"/>
              <w:bidi w:val="0"/>
              <w:rPr>
                <w:rFonts w:ascii="黑体" w:hAnsi="黑体" w:eastAsia="黑体" w:cs="宋体"/>
                <w:color w:val="auto"/>
                <w:kern w:val="0"/>
                <w:highlight w:val="none"/>
              </w:rPr>
            </w:pPr>
            <w:bookmarkStart w:id="107" w:name="_Toc287673253"/>
            <w:r>
              <w:rPr>
                <w:rFonts w:hint="eastAsia" w:ascii="黑体" w:hAnsi="黑体" w:eastAsia="黑体" w:cs="黑体"/>
                <w:b w:val="0"/>
                <w:bCs w:val="0"/>
                <w:color w:val="auto"/>
                <w:sz w:val="28"/>
                <w:szCs w:val="28"/>
                <w:highlight w:val="none"/>
              </w:rPr>
              <w:t>环境保护管理方面</w:t>
            </w:r>
            <w:bookmarkEnd w:id="107"/>
          </w:p>
        </w:tc>
        <w:tc>
          <w:tcPr>
            <w:tcW w:w="1869" w:type="dxa"/>
            <w:noWrap w:val="0"/>
            <w:vAlign w:val="center"/>
          </w:tcPr>
          <w:p w14:paraId="5D947E9C">
            <w:pPr>
              <w:pStyle w:val="2"/>
              <w:bidi w:val="0"/>
              <w:rPr>
                <w:rFonts w:hint="eastAsia" w:ascii="黑体" w:hAnsi="黑体" w:eastAsia="黑体" w:cs="黑体"/>
                <w:b w:val="0"/>
                <w:bCs w:val="0"/>
                <w:color w:val="auto"/>
                <w:sz w:val="28"/>
                <w:szCs w:val="28"/>
                <w:highlight w:val="none"/>
              </w:rPr>
            </w:pPr>
          </w:p>
        </w:tc>
      </w:tr>
      <w:tr w14:paraId="159CF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87" w:hRule="atLeast"/>
        </w:trPr>
        <w:tc>
          <w:tcPr>
            <w:tcW w:w="14587" w:type="dxa"/>
            <w:gridSpan w:val="13"/>
            <w:noWrap w:val="0"/>
            <w:vAlign w:val="center"/>
          </w:tcPr>
          <w:p w14:paraId="65D8FFEB">
            <w:pPr>
              <w:pStyle w:val="3"/>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s="宋体"/>
                <w:color w:val="auto"/>
                <w:kern w:val="0"/>
                <w:szCs w:val="15"/>
                <w:highlight w:val="none"/>
              </w:rPr>
            </w:pPr>
            <w:bookmarkStart w:id="108" w:name="_Toc852683409"/>
            <w:r>
              <w:rPr>
                <w:rFonts w:hint="eastAsia"/>
                <w:color w:val="auto"/>
                <w:sz w:val="21"/>
                <w:szCs w:val="21"/>
                <w:highlight w:val="none"/>
              </w:rPr>
              <w:t>《中华人民共和国大气污染防治法》案由18项</w:t>
            </w:r>
            <w:bookmarkEnd w:id="108"/>
          </w:p>
        </w:tc>
        <w:tc>
          <w:tcPr>
            <w:tcW w:w="1869" w:type="dxa"/>
            <w:noWrap w:val="0"/>
            <w:vAlign w:val="center"/>
          </w:tcPr>
          <w:p w14:paraId="39CB68CB">
            <w:pPr>
              <w:pStyle w:val="3"/>
              <w:keepNext w:val="0"/>
              <w:keepLines w:val="0"/>
              <w:pageBreakBefore w:val="0"/>
              <w:widowControl/>
              <w:kinsoku/>
              <w:wordWrap/>
              <w:overflowPunct/>
              <w:topLinePunct w:val="0"/>
              <w:autoSpaceDE/>
              <w:autoSpaceDN/>
              <w:bidi w:val="0"/>
              <w:adjustRightInd/>
              <w:snapToGrid/>
              <w:jc w:val="center"/>
              <w:textAlignment w:val="auto"/>
              <w:rPr>
                <w:rFonts w:hint="eastAsia"/>
                <w:color w:val="auto"/>
                <w:sz w:val="21"/>
                <w:szCs w:val="21"/>
                <w:highlight w:val="none"/>
              </w:rPr>
            </w:pPr>
          </w:p>
        </w:tc>
      </w:tr>
      <w:tr w14:paraId="1E3D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68AC318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7252C59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施工单位未设置硬质围挡</w:t>
            </w:r>
          </w:p>
        </w:tc>
        <w:tc>
          <w:tcPr>
            <w:tcW w:w="2981" w:type="dxa"/>
            <w:noWrap w:val="0"/>
            <w:vAlign w:val="center"/>
          </w:tcPr>
          <w:p w14:paraId="7C7CA1B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noWrap w:val="0"/>
            <w:vAlign w:val="center"/>
          </w:tcPr>
          <w:p w14:paraId="20E3630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51ECE34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DE10B67">
            <w:pPr>
              <w:widowControl w:val="0"/>
              <w:numPr>
                <w:ilvl w:val="0"/>
                <w:numId w:val="0"/>
              </w:numPr>
              <w:jc w:val="both"/>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1.未按标准设置围挡长度16-30米的，系数1；31-45米的，系数2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A7467C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536C8D65">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1304" w:type="dxa"/>
            <w:gridSpan w:val="2"/>
            <w:noWrap w:val="0"/>
            <w:vAlign w:val="center"/>
          </w:tcPr>
          <w:p w14:paraId="4B6B30F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869" w:type="dxa"/>
            <w:noWrap w:val="0"/>
            <w:vAlign w:val="center"/>
          </w:tcPr>
          <w:p w14:paraId="75DB9CB4">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C4640300</w:t>
            </w:r>
          </w:p>
        </w:tc>
      </w:tr>
      <w:tr w14:paraId="290E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7C43CA2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14:paraId="3A0179ED">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施工单位未采取有效防尘降尘措施</w:t>
            </w:r>
          </w:p>
        </w:tc>
        <w:tc>
          <w:tcPr>
            <w:tcW w:w="2981" w:type="dxa"/>
            <w:noWrap w:val="0"/>
            <w:vAlign w:val="center"/>
          </w:tcPr>
          <w:p w14:paraId="4312DA60">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noWrap w:val="0"/>
            <w:vAlign w:val="center"/>
          </w:tcPr>
          <w:p w14:paraId="13EA408C">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40594613">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7CA38FE">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4DA7990">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4DC7E455">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1304" w:type="dxa"/>
            <w:gridSpan w:val="2"/>
            <w:noWrap w:val="0"/>
            <w:vAlign w:val="center"/>
          </w:tcPr>
          <w:p w14:paraId="0C468D25">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79184E2">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4367783">
            <w:pPr>
              <w:spacing w:line="22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C4640300</w:t>
            </w:r>
          </w:p>
        </w:tc>
      </w:tr>
      <w:tr w14:paraId="2612B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262" w:hRule="atLeast"/>
        </w:trPr>
        <w:tc>
          <w:tcPr>
            <w:tcW w:w="714" w:type="dxa"/>
            <w:noWrap w:val="0"/>
            <w:vAlign w:val="center"/>
          </w:tcPr>
          <w:p w14:paraId="38FCDEE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14:paraId="0F0AEB1C">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施工单位未及时清运建筑土方（工程渣土、建筑垃圾）</w:t>
            </w:r>
          </w:p>
        </w:tc>
        <w:tc>
          <w:tcPr>
            <w:tcW w:w="2981" w:type="dxa"/>
            <w:noWrap w:val="0"/>
            <w:vAlign w:val="center"/>
          </w:tcPr>
          <w:p w14:paraId="0914FA87">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noWrap w:val="0"/>
            <w:vAlign w:val="center"/>
          </w:tcPr>
          <w:p w14:paraId="0DDE0559">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39520D52">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327838A">
            <w:pPr>
              <w:numPr>
                <w:ilvl w:val="0"/>
                <w:numId w:val="0"/>
              </w:numPr>
              <w:spacing w:line="210" w:lineRule="exact"/>
              <w:rPr>
                <w:rFonts w:hint="eastAsia" w:ascii="宋体" w:hAnsi="宋体" w:eastAsia="宋体"/>
                <w:color w:val="auto"/>
                <w:sz w:val="15"/>
                <w:szCs w:val="15"/>
                <w:highlight w:val="none"/>
                <w:lang w:eastAsia="zh-CN"/>
              </w:rPr>
            </w:pP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rPr>
              <w:t>垃圾占地面积10㎡以下的，系数0；11－15㎡的，系数1；16－20㎡系数2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w:t>
            </w:r>
            <w:r>
              <w:rPr>
                <w:rFonts w:hint="eastAsia" w:ascii="宋体" w:hAnsi="宋体" w:eastAsia="宋体" w:cs="宋体"/>
                <w:color w:val="auto"/>
                <w:sz w:val="15"/>
                <w:szCs w:val="15"/>
                <w:highlight w:val="none"/>
                <w:lang w:eastAsia="zh-CN"/>
              </w:rPr>
              <w:t>逾期达2天的，系数</w:t>
            </w: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lang w:eastAsia="zh-CN"/>
              </w:rPr>
              <w:t>；逾期达4天的，系数2；逾期达6天的，系数3；逾期达8天的，系数4；逾期达10天的，系数5；以此类推，逾期达18天及以上的，系数9</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strike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9966580">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77FE3D26">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1304" w:type="dxa"/>
            <w:gridSpan w:val="2"/>
            <w:noWrap w:val="0"/>
            <w:vAlign w:val="center"/>
          </w:tcPr>
          <w:p w14:paraId="70D41792">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7B635FC">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2837573">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C4640000</w:t>
            </w:r>
          </w:p>
        </w:tc>
      </w:tr>
      <w:tr w14:paraId="005C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85" w:hRule="atLeast"/>
        </w:trPr>
        <w:tc>
          <w:tcPr>
            <w:tcW w:w="714" w:type="dxa"/>
            <w:noWrap w:val="0"/>
            <w:vAlign w:val="center"/>
          </w:tcPr>
          <w:p w14:paraId="053A52D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14:paraId="16A58AB6">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施工单位未采用密闭式防尘网遮盖建筑土方（工程渣土、建筑垃圾）</w:t>
            </w:r>
          </w:p>
        </w:tc>
        <w:tc>
          <w:tcPr>
            <w:tcW w:w="2981" w:type="dxa"/>
            <w:noWrap w:val="0"/>
            <w:vAlign w:val="center"/>
          </w:tcPr>
          <w:p w14:paraId="121EE580">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noWrap w:val="0"/>
            <w:vAlign w:val="center"/>
          </w:tcPr>
          <w:p w14:paraId="52E199C4">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620C5EAB">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2AA833B">
            <w:pPr>
              <w:spacing w:line="21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s="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s="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。2.造成尘土飞扬，严重污染环境的，</w:t>
            </w:r>
            <w:r>
              <w:rPr>
                <w:rFonts w:hint="eastAsia" w:ascii="宋体" w:hAnsi="宋体" w:eastAsia="宋体" w:cs="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DBC8C47">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71EFAAC0">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1304" w:type="dxa"/>
            <w:gridSpan w:val="2"/>
            <w:noWrap w:val="0"/>
            <w:vAlign w:val="center"/>
          </w:tcPr>
          <w:p w14:paraId="6C146E1E">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65FBFA7">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7DF6DF4">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C4640000</w:t>
            </w:r>
          </w:p>
        </w:tc>
      </w:tr>
      <w:tr w14:paraId="7965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425032C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14:paraId="3446590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建设单位未对暂不开工的建设用地裸露地面进行覆盖</w:t>
            </w:r>
          </w:p>
        </w:tc>
        <w:tc>
          <w:tcPr>
            <w:tcW w:w="2981" w:type="dxa"/>
            <w:noWrap w:val="0"/>
            <w:vAlign w:val="center"/>
          </w:tcPr>
          <w:p w14:paraId="72D87AB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noWrap w:val="0"/>
            <w:vAlign w:val="center"/>
          </w:tcPr>
          <w:p w14:paraId="692A93E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5D87900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2B2A8C0">
            <w:pPr>
              <w:spacing w:line="21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F3E484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07C25204">
            <w:pPr>
              <w:spacing w:line="232" w:lineRule="exact"/>
              <w:rPr>
                <w:rFonts w:hint="eastAsia" w:ascii="宋体" w:hAnsi="宋体" w:eastAsia="宋体" w:cs="宋体"/>
                <w:strike/>
                <w:dstrike w:val="0"/>
                <w:color w:val="auto"/>
                <w:kern w:val="0"/>
                <w:sz w:val="15"/>
                <w:szCs w:val="15"/>
                <w:highlight w:val="none"/>
                <w:lang w:eastAsia="zh-CN"/>
              </w:rPr>
            </w:pPr>
          </w:p>
        </w:tc>
        <w:tc>
          <w:tcPr>
            <w:tcW w:w="1304" w:type="dxa"/>
            <w:gridSpan w:val="2"/>
            <w:noWrap w:val="0"/>
            <w:vAlign w:val="center"/>
          </w:tcPr>
          <w:p w14:paraId="5653678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055DCFE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116AFB38">
            <w:pPr>
              <w:keepNext w:val="0"/>
              <w:keepLines w:val="0"/>
              <w:widowControl/>
              <w:suppressLineNumbers w:val="0"/>
              <w:jc w:val="center"/>
              <w:textAlignment w:val="center"/>
              <w:rPr>
                <w:rFonts w:hint="eastAsia" w:ascii="宋体" w:hAnsi="宋体" w:eastAsia="宋体" w:cs="宋体"/>
                <w:color w:val="000000"/>
                <w:kern w:val="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C4639900</w:t>
            </w:r>
          </w:p>
        </w:tc>
      </w:tr>
      <w:tr w14:paraId="158E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6714C42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14:paraId="7331B38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建设单位未对超过三个月不能开工的建设用地裸露地面进行绿化、铺装或者遮盖</w:t>
            </w:r>
          </w:p>
        </w:tc>
        <w:tc>
          <w:tcPr>
            <w:tcW w:w="2981" w:type="dxa"/>
            <w:noWrap w:val="0"/>
            <w:vAlign w:val="center"/>
          </w:tcPr>
          <w:p w14:paraId="421F8E2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noWrap w:val="0"/>
            <w:vAlign w:val="center"/>
          </w:tcPr>
          <w:p w14:paraId="6867B59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30CA4F0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41651CC">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CEF47B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414851D5">
            <w:pPr>
              <w:spacing w:line="232" w:lineRule="exact"/>
              <w:rPr>
                <w:rFonts w:hint="eastAsia" w:ascii="宋体" w:hAnsi="宋体" w:eastAsia="宋体" w:cs="宋体"/>
                <w:strike/>
                <w:dstrike w:val="0"/>
                <w:color w:val="auto"/>
                <w:kern w:val="0"/>
                <w:sz w:val="15"/>
                <w:szCs w:val="15"/>
                <w:highlight w:val="none"/>
                <w:lang w:eastAsia="zh-CN"/>
              </w:rPr>
            </w:pPr>
          </w:p>
        </w:tc>
        <w:tc>
          <w:tcPr>
            <w:tcW w:w="1304" w:type="dxa"/>
            <w:gridSpan w:val="2"/>
            <w:noWrap w:val="0"/>
            <w:vAlign w:val="center"/>
          </w:tcPr>
          <w:p w14:paraId="749478F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1521CDB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14:paraId="13D11071">
            <w:pPr>
              <w:keepNext w:val="0"/>
              <w:keepLines w:val="0"/>
              <w:widowControl/>
              <w:suppressLineNumbers w:val="0"/>
              <w:jc w:val="center"/>
              <w:textAlignment w:val="center"/>
              <w:rPr>
                <w:rFonts w:hint="eastAsia" w:ascii="宋体" w:hAnsi="宋体" w:eastAsia="宋体" w:cs="宋体"/>
                <w:color w:val="000000"/>
                <w:kern w:val="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C4639900</w:t>
            </w:r>
          </w:p>
        </w:tc>
      </w:tr>
      <w:tr w14:paraId="05411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0F5EA1E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14:paraId="58993D9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运输散装、流体物料车辆未采取密闭或者</w:t>
            </w:r>
            <w:r>
              <w:rPr>
                <w:rFonts w:hint="eastAsia" w:ascii="宋体" w:hAnsi="宋体" w:eastAsia="宋体"/>
                <w:color w:val="auto"/>
                <w:sz w:val="15"/>
                <w:szCs w:val="15"/>
                <w:highlight w:val="none"/>
                <w:shd w:val="clear" w:color="auto" w:fill="auto"/>
              </w:rPr>
              <w:t>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措施防</w:t>
            </w:r>
            <w:r>
              <w:rPr>
                <w:rFonts w:hint="eastAsia" w:ascii="宋体" w:hAnsi="宋体" w:eastAsia="宋体"/>
                <w:color w:val="auto"/>
                <w:sz w:val="15"/>
                <w:szCs w:val="15"/>
                <w:highlight w:val="none"/>
              </w:rPr>
              <w:t>止物料遗撒</w:t>
            </w:r>
          </w:p>
        </w:tc>
        <w:tc>
          <w:tcPr>
            <w:tcW w:w="2981" w:type="dxa"/>
            <w:noWrap w:val="0"/>
            <w:vAlign w:val="center"/>
          </w:tcPr>
          <w:p w14:paraId="0016815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违反条款：第七十条第一款；处罚条款：第一百一十六条：责令改正，处二千元以上二万元以下的罚款；拒不改正的，车辆不得上道路行驶。</w:t>
            </w:r>
          </w:p>
        </w:tc>
        <w:tc>
          <w:tcPr>
            <w:tcW w:w="851" w:type="dxa"/>
            <w:noWrap w:val="0"/>
            <w:vAlign w:val="center"/>
          </w:tcPr>
          <w:p w14:paraId="6DCC3DB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76888C3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C89511C">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泄漏</w:t>
            </w:r>
            <w:r>
              <w:rPr>
                <w:rFonts w:hint="eastAsia" w:ascii="宋体" w:hAnsi="宋体" w:eastAsia="宋体"/>
                <w:color w:val="auto"/>
                <w:sz w:val="15"/>
                <w:szCs w:val="15"/>
                <w:highlight w:val="none"/>
              </w:rPr>
              <w:t>遗撒的，系数4-9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6100739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1885DA47">
            <w:pPr>
              <w:spacing w:line="232" w:lineRule="exact"/>
              <w:rPr>
                <w:rFonts w:ascii="宋体" w:hAnsi="宋体" w:eastAsia="宋体"/>
                <w:color w:val="auto"/>
                <w:sz w:val="15"/>
                <w:szCs w:val="15"/>
                <w:highlight w:val="none"/>
              </w:rPr>
            </w:pPr>
          </w:p>
        </w:tc>
        <w:tc>
          <w:tcPr>
            <w:tcW w:w="1304" w:type="dxa"/>
            <w:gridSpan w:val="2"/>
            <w:noWrap w:val="0"/>
            <w:vAlign w:val="center"/>
          </w:tcPr>
          <w:p w14:paraId="34D325A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EC7CB8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C515F00">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C4639800</w:t>
            </w:r>
          </w:p>
        </w:tc>
      </w:tr>
      <w:tr w14:paraId="0C78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81" w:hRule="atLeast"/>
        </w:trPr>
        <w:tc>
          <w:tcPr>
            <w:tcW w:w="714" w:type="dxa"/>
            <w:noWrap w:val="0"/>
            <w:vAlign w:val="center"/>
          </w:tcPr>
          <w:p w14:paraId="23F5BB9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14:paraId="58873E1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易产生扬尘的物料未密闭贮存</w:t>
            </w:r>
          </w:p>
        </w:tc>
        <w:tc>
          <w:tcPr>
            <w:tcW w:w="2981" w:type="dxa"/>
            <w:noWrap w:val="0"/>
            <w:vAlign w:val="center"/>
          </w:tcPr>
          <w:p w14:paraId="7766FE4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noWrap w:val="0"/>
            <w:vAlign w:val="center"/>
          </w:tcPr>
          <w:p w14:paraId="681A770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0AAB72F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CB5C2D7">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6BD0E71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71CA23A4">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1304" w:type="dxa"/>
            <w:gridSpan w:val="2"/>
            <w:noWrap w:val="0"/>
            <w:vAlign w:val="center"/>
          </w:tcPr>
          <w:p w14:paraId="0DF249B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31501E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166FD6F">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C4640200</w:t>
            </w:r>
          </w:p>
        </w:tc>
      </w:tr>
      <w:tr w14:paraId="2658D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841" w:hRule="atLeast"/>
        </w:trPr>
        <w:tc>
          <w:tcPr>
            <w:tcW w:w="714" w:type="dxa"/>
            <w:noWrap w:val="0"/>
            <w:vAlign w:val="center"/>
          </w:tcPr>
          <w:p w14:paraId="02CC69B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14:paraId="287DD2B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易产生扬尘的物料不能密闭贮存的，未按规定设置围挡或者未采取有效覆盖措施</w:t>
            </w:r>
          </w:p>
        </w:tc>
        <w:tc>
          <w:tcPr>
            <w:tcW w:w="2981" w:type="dxa"/>
            <w:noWrap w:val="0"/>
            <w:vAlign w:val="center"/>
          </w:tcPr>
          <w:p w14:paraId="1B92619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noWrap w:val="0"/>
            <w:vAlign w:val="center"/>
          </w:tcPr>
          <w:p w14:paraId="31B404F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5E04DDC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4084D06">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22B3CF3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324B59CE">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1304" w:type="dxa"/>
            <w:gridSpan w:val="2"/>
            <w:noWrap w:val="0"/>
            <w:vAlign w:val="center"/>
          </w:tcPr>
          <w:p w14:paraId="6C41855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4C0BD6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D51754A">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C4639600</w:t>
            </w:r>
          </w:p>
        </w:tc>
      </w:tr>
      <w:tr w14:paraId="19E11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14:paraId="5C7DDF2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14:paraId="26052A3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装卸物料未采取密闭或者喷淋等方式控制扬尘</w:t>
            </w:r>
          </w:p>
        </w:tc>
        <w:tc>
          <w:tcPr>
            <w:tcW w:w="2981" w:type="dxa"/>
            <w:noWrap w:val="0"/>
            <w:vAlign w:val="center"/>
          </w:tcPr>
          <w:p w14:paraId="144745C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noWrap w:val="0"/>
            <w:vAlign w:val="center"/>
          </w:tcPr>
          <w:p w14:paraId="7E825F1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020869E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32AB438">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36925DF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0DB568EE">
            <w:pPr>
              <w:spacing w:line="232" w:lineRule="exact"/>
              <w:rPr>
                <w:rFonts w:hint="eastAsia" w:ascii="宋体" w:hAnsi="宋体" w:eastAsia="宋体" w:cs="宋体"/>
                <w:strike/>
                <w:dstrike w:val="0"/>
                <w:color w:val="auto"/>
                <w:kern w:val="0"/>
                <w:sz w:val="15"/>
                <w:szCs w:val="15"/>
                <w:highlight w:val="none"/>
                <w:lang w:eastAsia="zh-CN"/>
              </w:rPr>
            </w:pPr>
          </w:p>
        </w:tc>
        <w:tc>
          <w:tcPr>
            <w:tcW w:w="1304" w:type="dxa"/>
            <w:gridSpan w:val="2"/>
            <w:noWrap w:val="0"/>
            <w:vAlign w:val="center"/>
          </w:tcPr>
          <w:p w14:paraId="614BE11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F8DB2B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9555485">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C4640500</w:t>
            </w:r>
          </w:p>
        </w:tc>
      </w:tr>
      <w:tr w14:paraId="5496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39" w:hRule="atLeast"/>
        </w:trPr>
        <w:tc>
          <w:tcPr>
            <w:tcW w:w="714" w:type="dxa"/>
            <w:noWrap w:val="0"/>
            <w:vAlign w:val="center"/>
          </w:tcPr>
          <w:p w14:paraId="519BD40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14:paraId="43E0CB9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填埋场（消纳场）未采取有效措施防治扬尘污染</w:t>
            </w:r>
          </w:p>
        </w:tc>
        <w:tc>
          <w:tcPr>
            <w:tcW w:w="2981" w:type="dxa"/>
            <w:noWrap w:val="0"/>
            <w:vAlign w:val="center"/>
          </w:tcPr>
          <w:p w14:paraId="386C01B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noWrap w:val="0"/>
            <w:vAlign w:val="center"/>
          </w:tcPr>
          <w:p w14:paraId="12C21D7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3B621DD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BFEEB5B">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s="宋体"/>
                <w:b w:val="0"/>
                <w:bCs w:val="0"/>
                <w:color w:val="auto"/>
                <w:sz w:val="15"/>
                <w:szCs w:val="15"/>
                <w:highlight w:val="none"/>
                <w:lang w:eastAsia="zh-CN"/>
              </w:rPr>
              <w:t>未苫盖</w:t>
            </w:r>
            <w:r>
              <w:rPr>
                <w:rFonts w:hint="eastAsia" w:ascii="宋体" w:hAnsi="宋体" w:eastAsia="宋体" w:cs="宋体"/>
                <w:b w:val="0"/>
                <w:bCs w:val="0"/>
                <w:color w:val="auto"/>
                <w:sz w:val="15"/>
                <w:szCs w:val="15"/>
                <w:highlight w:val="none"/>
              </w:rPr>
              <w:t>面积10</w:t>
            </w:r>
            <w:r>
              <w:rPr>
                <w:rFonts w:hint="eastAsia" w:ascii="宋体" w:hAnsi="宋体" w:eastAsia="宋体" w:cs="宋体"/>
                <w:b w:val="0"/>
                <w:bCs w:val="0"/>
                <w:color w:val="auto"/>
                <w:sz w:val="15"/>
                <w:szCs w:val="15"/>
                <w:highlight w:val="none"/>
                <w:lang w:val="en-US" w:eastAsia="zh-CN"/>
              </w:rPr>
              <w:t>0</w:t>
            </w:r>
            <w:r>
              <w:rPr>
                <w:rFonts w:hint="eastAsia" w:ascii="宋体" w:hAnsi="宋体" w:eastAsia="宋体" w:cs="宋体"/>
                <w:b w:val="0"/>
                <w:bCs w:val="0"/>
                <w:color w:val="auto"/>
                <w:sz w:val="15"/>
                <w:szCs w:val="15"/>
                <w:highlight w:val="none"/>
              </w:rPr>
              <w:t>㎡以下的，系数0；1</w:t>
            </w:r>
            <w:r>
              <w:rPr>
                <w:rFonts w:hint="eastAsia" w:ascii="宋体" w:hAnsi="宋体" w:eastAsia="宋体" w:cs="宋体"/>
                <w:b w:val="0"/>
                <w:bCs w:val="0"/>
                <w:color w:val="auto"/>
                <w:sz w:val="15"/>
                <w:szCs w:val="15"/>
                <w:highlight w:val="none"/>
                <w:lang w:val="en-US" w:eastAsia="zh-CN"/>
              </w:rPr>
              <w:t>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300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cs="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300-400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3；</w:t>
            </w:r>
            <w:r>
              <w:rPr>
                <w:rFonts w:hint="eastAsia" w:ascii="宋体" w:hAnsi="宋体" w:cs="宋体"/>
                <w:b w:val="0"/>
                <w:bCs w:val="0"/>
                <w:color w:val="auto"/>
                <w:sz w:val="15"/>
                <w:szCs w:val="15"/>
                <w:highlight w:val="none"/>
                <w:lang w:val="en-US" w:eastAsia="zh-CN"/>
              </w:rPr>
              <w:t>400-500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4；</w:t>
            </w:r>
            <w:r>
              <w:rPr>
                <w:rFonts w:hint="eastAsia" w:ascii="宋体" w:hAnsi="宋体" w:cs="宋体"/>
                <w:b w:val="0"/>
                <w:bCs w:val="0"/>
                <w:color w:val="auto"/>
                <w:sz w:val="15"/>
                <w:szCs w:val="15"/>
                <w:highlight w:val="none"/>
                <w:lang w:val="en-US" w:eastAsia="zh-CN"/>
              </w:rPr>
              <w:t>500-600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lang w:eastAsia="zh-CN"/>
              </w:rPr>
              <w:t>每增加</w:t>
            </w:r>
            <w:r>
              <w:rPr>
                <w:rFonts w:hint="eastAsia" w:ascii="宋体" w:hAnsi="宋体" w:eastAsia="宋体" w:cs="宋体"/>
                <w:b w:val="0"/>
                <w:bCs w:val="0"/>
                <w:color w:val="auto"/>
                <w:sz w:val="15"/>
                <w:szCs w:val="15"/>
                <w:highlight w:val="none"/>
                <w:lang w:val="en-US" w:eastAsia="zh-CN"/>
              </w:rPr>
              <w:t>100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，系数加1</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900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产生较大环境污染或者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严重后果的，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cs="宋体"/>
                <w:b/>
                <w:bCs/>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4B858CF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1523013B">
            <w:pPr>
              <w:spacing w:line="232" w:lineRule="exact"/>
              <w:rPr>
                <w:rFonts w:hint="eastAsia" w:ascii="宋体" w:hAnsi="宋体" w:eastAsia="宋体" w:cs="宋体"/>
                <w:strike/>
                <w:dstrike w:val="0"/>
                <w:color w:val="auto"/>
                <w:kern w:val="0"/>
                <w:sz w:val="15"/>
                <w:szCs w:val="15"/>
                <w:highlight w:val="none"/>
                <w:lang w:eastAsia="zh-CN"/>
              </w:rPr>
            </w:pPr>
          </w:p>
        </w:tc>
        <w:tc>
          <w:tcPr>
            <w:tcW w:w="1304" w:type="dxa"/>
            <w:gridSpan w:val="2"/>
            <w:noWrap w:val="0"/>
            <w:vAlign w:val="center"/>
          </w:tcPr>
          <w:p w14:paraId="6E556D3E">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c>
          <w:tcPr>
            <w:tcW w:w="1869" w:type="dxa"/>
            <w:noWrap w:val="0"/>
            <w:vAlign w:val="center"/>
          </w:tcPr>
          <w:p w14:paraId="69043B64">
            <w:pPr>
              <w:keepNext w:val="0"/>
              <w:keepLines w:val="0"/>
              <w:widowControl/>
              <w:suppressLineNumbers w:val="0"/>
              <w:jc w:val="center"/>
              <w:textAlignment w:val="center"/>
              <w:rPr>
                <w:rFonts w:hint="eastAsia" w:ascii="宋体" w:hAnsi="宋体" w:eastAsia="宋体" w:cs="宋体"/>
                <w:color w:val="auto"/>
                <w:sz w:val="15"/>
                <w:szCs w:val="15"/>
                <w:highlight w:val="none"/>
                <w:lang w:eastAsia="zh-CN"/>
              </w:rPr>
            </w:pPr>
            <w:r>
              <w:rPr>
                <w:rFonts w:hint="eastAsia" w:ascii="宋体" w:hAnsi="宋体" w:eastAsia="宋体" w:cs="宋体"/>
                <w:i w:val="0"/>
                <w:iCs w:val="0"/>
                <w:caps w:val="0"/>
                <w:color w:val="000000"/>
                <w:spacing w:val="0"/>
                <w:kern w:val="0"/>
                <w:sz w:val="15"/>
                <w:szCs w:val="15"/>
                <w:highlight w:val="none"/>
                <w:u w:val="none"/>
                <w:lang w:val="en-US" w:eastAsia="zh-CN" w:bidi="ar"/>
              </w:rPr>
              <w:t>C4639700</w:t>
            </w:r>
          </w:p>
        </w:tc>
      </w:tr>
      <w:tr w14:paraId="2749C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34" w:hRule="atLeast"/>
        </w:trPr>
        <w:tc>
          <w:tcPr>
            <w:tcW w:w="714" w:type="dxa"/>
            <w:noWrap w:val="0"/>
            <w:vAlign w:val="center"/>
          </w:tcPr>
          <w:p w14:paraId="598DAA5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14:paraId="463441B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露天焚烧秸秆（落叶）等产生烟尘污染的物质</w:t>
            </w:r>
          </w:p>
        </w:tc>
        <w:tc>
          <w:tcPr>
            <w:tcW w:w="2981" w:type="dxa"/>
            <w:noWrap w:val="0"/>
            <w:vAlign w:val="center"/>
          </w:tcPr>
          <w:p w14:paraId="702A073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违反条款：第七十七条；处罚条款：第一百一十九条第一款：责令改正，并可以处五百元以上二千元以下的罚款。</w:t>
            </w:r>
          </w:p>
        </w:tc>
        <w:tc>
          <w:tcPr>
            <w:tcW w:w="851" w:type="dxa"/>
            <w:noWrap w:val="0"/>
            <w:vAlign w:val="center"/>
          </w:tcPr>
          <w:p w14:paraId="7C09013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3ED0C3D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5A279CB">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6E28883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315EECFE">
            <w:pPr>
              <w:spacing w:line="232" w:lineRule="exact"/>
              <w:rPr>
                <w:rFonts w:hint="eastAsia" w:ascii="宋体" w:hAnsi="宋体" w:eastAsia="宋体" w:cs="宋体"/>
                <w:strike/>
                <w:dstrike w:val="0"/>
                <w:color w:val="auto"/>
                <w:kern w:val="0"/>
                <w:sz w:val="15"/>
                <w:szCs w:val="15"/>
                <w:highlight w:val="none"/>
                <w:lang w:eastAsia="zh-CN"/>
              </w:rPr>
            </w:pPr>
          </w:p>
        </w:tc>
        <w:tc>
          <w:tcPr>
            <w:tcW w:w="1304" w:type="dxa"/>
            <w:gridSpan w:val="2"/>
            <w:noWrap w:val="0"/>
            <w:vAlign w:val="center"/>
          </w:tcPr>
          <w:p w14:paraId="0CE78BC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7BDB0B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9972001">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C4640400</w:t>
            </w:r>
          </w:p>
        </w:tc>
      </w:tr>
      <w:tr w14:paraId="4FD8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9" w:hRule="atLeast"/>
        </w:trPr>
        <w:tc>
          <w:tcPr>
            <w:tcW w:w="714" w:type="dxa"/>
            <w:vMerge w:val="restart"/>
            <w:noWrap w:val="0"/>
            <w:vAlign w:val="center"/>
          </w:tcPr>
          <w:p w14:paraId="04F817A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vMerge w:val="restart"/>
            <w:noWrap w:val="0"/>
            <w:vAlign w:val="center"/>
          </w:tcPr>
          <w:p w14:paraId="2091F2A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焚烧沥青（油毡、橡胶、塑料、皮革、垃圾）等产生有毒有害烟尘和恶臭气体的物质</w:t>
            </w:r>
          </w:p>
        </w:tc>
        <w:tc>
          <w:tcPr>
            <w:tcW w:w="2981" w:type="dxa"/>
            <w:vMerge w:val="restart"/>
            <w:noWrap w:val="0"/>
            <w:vAlign w:val="center"/>
          </w:tcPr>
          <w:p w14:paraId="57312F5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noWrap w:val="0"/>
            <w:vAlign w:val="center"/>
          </w:tcPr>
          <w:p w14:paraId="5ED39D2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1F52CBE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w:t>
            </w:r>
          </w:p>
        </w:tc>
        <w:tc>
          <w:tcPr>
            <w:tcW w:w="840" w:type="dxa"/>
            <w:noWrap w:val="0"/>
            <w:vAlign w:val="center"/>
          </w:tcPr>
          <w:p w14:paraId="6764B97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7DF26B1">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30A4DEBD">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57F9ADD9">
            <w:pPr>
              <w:spacing w:line="232" w:lineRule="exact"/>
              <w:rPr>
                <w:rFonts w:hint="eastAsia" w:ascii="宋体" w:hAnsi="宋体" w:eastAsia="宋体" w:cs="宋体"/>
                <w:strike/>
                <w:dstrike w:val="0"/>
                <w:color w:val="auto"/>
                <w:kern w:val="0"/>
                <w:sz w:val="15"/>
                <w:szCs w:val="15"/>
                <w:highlight w:val="none"/>
                <w:lang w:eastAsia="zh-CN"/>
              </w:rPr>
            </w:pPr>
          </w:p>
        </w:tc>
        <w:tc>
          <w:tcPr>
            <w:tcW w:w="1304" w:type="dxa"/>
            <w:gridSpan w:val="2"/>
            <w:noWrap w:val="0"/>
            <w:vAlign w:val="center"/>
          </w:tcPr>
          <w:p w14:paraId="131F898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BCD143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08A527AD">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C4639300</w:t>
            </w:r>
          </w:p>
        </w:tc>
      </w:tr>
      <w:tr w14:paraId="67147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25" w:hRule="atLeast"/>
        </w:trPr>
        <w:tc>
          <w:tcPr>
            <w:tcW w:w="714" w:type="dxa"/>
            <w:vMerge w:val="continue"/>
            <w:noWrap w:val="0"/>
            <w:vAlign w:val="center"/>
          </w:tcPr>
          <w:p w14:paraId="2844DC87">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57CD3E59">
            <w:pPr>
              <w:spacing w:line="232" w:lineRule="exact"/>
              <w:rPr>
                <w:rFonts w:ascii="宋体" w:hAnsi="宋体" w:eastAsia="宋体"/>
                <w:color w:val="auto"/>
                <w:sz w:val="15"/>
                <w:szCs w:val="15"/>
                <w:highlight w:val="none"/>
              </w:rPr>
            </w:pPr>
          </w:p>
        </w:tc>
        <w:tc>
          <w:tcPr>
            <w:tcW w:w="2981" w:type="dxa"/>
            <w:vMerge w:val="continue"/>
            <w:noWrap w:val="0"/>
            <w:vAlign w:val="center"/>
          </w:tcPr>
          <w:p w14:paraId="602A16F6">
            <w:pPr>
              <w:spacing w:line="232" w:lineRule="exact"/>
              <w:rPr>
                <w:rFonts w:ascii="宋体" w:hAnsi="宋体" w:eastAsia="宋体"/>
                <w:color w:val="auto"/>
                <w:sz w:val="15"/>
                <w:szCs w:val="15"/>
                <w:highlight w:val="none"/>
              </w:rPr>
            </w:pPr>
          </w:p>
        </w:tc>
        <w:tc>
          <w:tcPr>
            <w:tcW w:w="851" w:type="dxa"/>
            <w:noWrap w:val="0"/>
            <w:vAlign w:val="center"/>
          </w:tcPr>
          <w:p w14:paraId="0381A0F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p w14:paraId="26EBD84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w:t>
            </w:r>
          </w:p>
        </w:tc>
        <w:tc>
          <w:tcPr>
            <w:tcW w:w="840" w:type="dxa"/>
            <w:noWrap w:val="0"/>
            <w:vAlign w:val="center"/>
          </w:tcPr>
          <w:p w14:paraId="31F3F92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6C058A8">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7DC72C9A">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6AAD83A0">
            <w:pPr>
              <w:spacing w:line="232" w:lineRule="exact"/>
              <w:rPr>
                <w:rFonts w:hint="eastAsia" w:ascii="宋体" w:hAnsi="宋体" w:eastAsia="宋体" w:cs="宋体"/>
                <w:strike/>
                <w:dstrike w:val="0"/>
                <w:color w:val="auto"/>
                <w:kern w:val="0"/>
                <w:sz w:val="15"/>
                <w:szCs w:val="15"/>
                <w:highlight w:val="none"/>
                <w:lang w:eastAsia="zh-CN"/>
              </w:rPr>
            </w:pPr>
          </w:p>
        </w:tc>
        <w:tc>
          <w:tcPr>
            <w:tcW w:w="1304" w:type="dxa"/>
            <w:gridSpan w:val="2"/>
            <w:noWrap w:val="0"/>
            <w:vAlign w:val="center"/>
          </w:tcPr>
          <w:p w14:paraId="10655A9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A6C2CB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461B567E">
            <w:pPr>
              <w:keepNext w:val="0"/>
              <w:keepLines w:val="0"/>
              <w:widowControl/>
              <w:suppressLineNumbers w:val="0"/>
              <w:jc w:val="center"/>
              <w:textAlignment w:val="center"/>
              <w:rPr>
                <w:rFonts w:hint="eastAsia" w:ascii="宋体" w:hAnsi="宋体" w:eastAsia="宋体" w:cs="宋体"/>
                <w:color w:val="000000"/>
                <w:sz w:val="15"/>
                <w:szCs w:val="15"/>
                <w:highlight w:val="none"/>
              </w:rPr>
            </w:pPr>
          </w:p>
        </w:tc>
      </w:tr>
      <w:tr w14:paraId="4FC5D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76" w:hRule="atLeast"/>
        </w:trPr>
        <w:tc>
          <w:tcPr>
            <w:tcW w:w="714" w:type="dxa"/>
            <w:noWrap w:val="0"/>
            <w:vAlign w:val="center"/>
          </w:tcPr>
          <w:p w14:paraId="14DA762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14:paraId="224C211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违反规定露天烧烤食品</w:t>
            </w:r>
          </w:p>
        </w:tc>
        <w:tc>
          <w:tcPr>
            <w:tcW w:w="2981" w:type="dxa"/>
            <w:noWrap w:val="0"/>
            <w:vAlign w:val="center"/>
          </w:tcPr>
          <w:p w14:paraId="5B33A54B">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noWrap w:val="0"/>
            <w:vAlign w:val="center"/>
          </w:tcPr>
          <w:p w14:paraId="6EB7325F">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4242B86E">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E73E93F">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1.占用无障碍设施或者机动车道、绿地的，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公共场地面积较大，或者造成通行秩序、市容环境秩序较为混乱的，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34A69EE5">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14:paraId="43E7B588">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p>
        </w:tc>
        <w:tc>
          <w:tcPr>
            <w:tcW w:w="2020" w:type="dxa"/>
            <w:gridSpan w:val="2"/>
            <w:noWrap w:val="0"/>
            <w:vAlign w:val="center"/>
          </w:tcPr>
          <w:p w14:paraId="75395AFE">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需要做出其他处罚决定的，报请案审会决定。</w:t>
            </w:r>
          </w:p>
        </w:tc>
        <w:tc>
          <w:tcPr>
            <w:tcW w:w="1304" w:type="dxa"/>
            <w:gridSpan w:val="2"/>
            <w:noWrap w:val="0"/>
            <w:vAlign w:val="center"/>
          </w:tcPr>
          <w:p w14:paraId="208BC3C7">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325C4624">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14:paraId="686F82C0">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C4639500</w:t>
            </w:r>
          </w:p>
        </w:tc>
      </w:tr>
      <w:tr w14:paraId="0270D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90" w:hRule="atLeast"/>
        </w:trPr>
        <w:tc>
          <w:tcPr>
            <w:tcW w:w="714" w:type="dxa"/>
            <w:noWrap w:val="0"/>
            <w:vAlign w:val="center"/>
          </w:tcPr>
          <w:p w14:paraId="21448FC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6" w:type="dxa"/>
            <w:gridSpan w:val="2"/>
            <w:noWrap w:val="0"/>
            <w:vAlign w:val="center"/>
          </w:tcPr>
          <w:p w14:paraId="1BEEE7A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违反规定为露天烧烤食品提供场地</w:t>
            </w:r>
          </w:p>
        </w:tc>
        <w:tc>
          <w:tcPr>
            <w:tcW w:w="2981" w:type="dxa"/>
            <w:noWrap w:val="0"/>
            <w:vAlign w:val="center"/>
          </w:tcPr>
          <w:p w14:paraId="799E4777">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noWrap w:val="0"/>
            <w:vAlign w:val="center"/>
          </w:tcPr>
          <w:p w14:paraId="14C553B0">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2000</w:t>
            </w:r>
          </w:p>
          <w:p w14:paraId="6ACFA629">
            <w:pPr>
              <w:spacing w:line="190" w:lineRule="exact"/>
              <w:jc w:val="both"/>
              <w:rPr>
                <w:rFonts w:hint="default" w:ascii="宋体" w:hAnsi="宋体" w:eastAsia="宋体" w:cs="宋体"/>
                <w:strike/>
                <w:dstrike w:val="0"/>
                <w:color w:val="auto"/>
                <w:kern w:val="0"/>
                <w:sz w:val="15"/>
                <w:szCs w:val="15"/>
                <w:highlight w:val="none"/>
                <w:lang w:val="en-US" w:eastAsia="zh-CN"/>
              </w:rPr>
            </w:pPr>
          </w:p>
        </w:tc>
        <w:tc>
          <w:tcPr>
            <w:tcW w:w="840" w:type="dxa"/>
            <w:noWrap w:val="0"/>
            <w:vAlign w:val="center"/>
          </w:tcPr>
          <w:p w14:paraId="185CA08B">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BBF9947">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违法行为持续时间较长、占用场地规模较大、群众多次举报（3次以上，含3次），或者造成通行秩序、市容环境秩序较为混乱等情形之一的，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508F6274">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7C5CC50C">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需酌情给予2000以下罚款的，说明理由，报案审会决定。</w:t>
            </w:r>
          </w:p>
        </w:tc>
        <w:tc>
          <w:tcPr>
            <w:tcW w:w="1304" w:type="dxa"/>
            <w:gridSpan w:val="2"/>
            <w:noWrap w:val="0"/>
            <w:vAlign w:val="center"/>
          </w:tcPr>
          <w:p w14:paraId="725C25C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469861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E7FB0EF">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C4639500</w:t>
            </w:r>
          </w:p>
        </w:tc>
      </w:tr>
      <w:tr w14:paraId="0A84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30" w:hRule="atLeast"/>
        </w:trPr>
        <w:tc>
          <w:tcPr>
            <w:tcW w:w="714" w:type="dxa"/>
            <w:noWrap w:val="0"/>
            <w:vAlign w:val="center"/>
          </w:tcPr>
          <w:p w14:paraId="7823735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noWrap w:val="0"/>
            <w:vAlign w:val="center"/>
          </w:tcPr>
          <w:p w14:paraId="43CFBDC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拒不执行停止工地土石方作业（建筑物拆除施工）等重污染天气应急措施</w:t>
            </w:r>
          </w:p>
        </w:tc>
        <w:tc>
          <w:tcPr>
            <w:tcW w:w="2981" w:type="dxa"/>
            <w:noWrap w:val="0"/>
            <w:vAlign w:val="center"/>
          </w:tcPr>
          <w:p w14:paraId="29405696">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违反条款：第九十六条第一款、第一百二十一条第二款；处罚条款：第一百二十一条第二款：处一万元以上十万元以下的罚款。</w:t>
            </w:r>
          </w:p>
          <w:p w14:paraId="1EEF5C45">
            <w:pPr>
              <w:spacing w:line="190" w:lineRule="exact"/>
              <w:rPr>
                <w:rFonts w:ascii="宋体" w:hAnsi="宋体" w:eastAsia="宋体"/>
                <w:color w:val="auto"/>
                <w:sz w:val="15"/>
                <w:szCs w:val="15"/>
                <w:highlight w:val="none"/>
              </w:rPr>
            </w:pPr>
          </w:p>
        </w:tc>
        <w:tc>
          <w:tcPr>
            <w:tcW w:w="851" w:type="dxa"/>
            <w:noWrap w:val="0"/>
            <w:vAlign w:val="center"/>
          </w:tcPr>
          <w:p w14:paraId="1EC69B4D">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7B0D87AB">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04D6BF6">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5C68872C">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48A33117">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市政府的预警级别和应对措施请参照《北京市空气重污染应急预案（试行）》。</w:t>
            </w:r>
          </w:p>
          <w:p w14:paraId="07C5F41D">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p>
        </w:tc>
        <w:tc>
          <w:tcPr>
            <w:tcW w:w="1304" w:type="dxa"/>
            <w:gridSpan w:val="2"/>
            <w:noWrap w:val="0"/>
            <w:vAlign w:val="center"/>
          </w:tcPr>
          <w:p w14:paraId="5BEEAA8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AFECFB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BE220DE">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C4639400</w:t>
            </w:r>
          </w:p>
        </w:tc>
      </w:tr>
      <w:tr w14:paraId="763E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14:paraId="7A1974B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6" w:type="dxa"/>
            <w:gridSpan w:val="2"/>
            <w:noWrap w:val="0"/>
            <w:vAlign w:val="center"/>
          </w:tcPr>
          <w:p w14:paraId="743F43B1">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拒不接受大气环境保护监督检查</w:t>
            </w:r>
          </w:p>
        </w:tc>
        <w:tc>
          <w:tcPr>
            <w:tcW w:w="2981" w:type="dxa"/>
            <w:noWrap w:val="0"/>
            <w:vAlign w:val="center"/>
          </w:tcPr>
          <w:p w14:paraId="266717AE">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noWrap w:val="0"/>
            <w:vAlign w:val="center"/>
          </w:tcPr>
          <w:p w14:paraId="29DBED01">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14:paraId="1C405C9C">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EF66BE2">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1.经责令改正，仍拒不接受监督检查的，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4；2.空气重污染预警期间，拒不接受监督检查的，系数4；3.造成大气污染或者不良社会影响等较为严重情形之一的，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48E429D2">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59E767DE">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s="宋体"/>
                <w:strike w:val="0"/>
                <w:dstrike w:val="0"/>
                <w:color w:val="auto"/>
                <w:kern w:val="0"/>
                <w:sz w:val="15"/>
                <w:szCs w:val="15"/>
                <w:highlight w:val="none"/>
                <w:lang w:eastAsia="zh-CN"/>
              </w:rPr>
              <w:t>“拒不配合”的情形，不纳入本案由情节系数。</w:t>
            </w:r>
          </w:p>
        </w:tc>
        <w:tc>
          <w:tcPr>
            <w:tcW w:w="1304" w:type="dxa"/>
            <w:gridSpan w:val="2"/>
            <w:noWrap w:val="0"/>
            <w:vAlign w:val="center"/>
          </w:tcPr>
          <w:p w14:paraId="4146441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1AE8E5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30F76C7">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C4640600</w:t>
            </w:r>
          </w:p>
        </w:tc>
      </w:tr>
      <w:tr w14:paraId="0C86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80" w:hRule="atLeast"/>
        </w:trPr>
        <w:tc>
          <w:tcPr>
            <w:tcW w:w="714" w:type="dxa"/>
            <w:tcBorders>
              <w:bottom w:val="single" w:color="auto" w:sz="4" w:space="0"/>
            </w:tcBorders>
            <w:noWrap w:val="0"/>
            <w:vAlign w:val="center"/>
          </w:tcPr>
          <w:p w14:paraId="0CA09B9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6" w:type="dxa"/>
            <w:gridSpan w:val="2"/>
            <w:tcBorders>
              <w:bottom w:val="single" w:color="auto" w:sz="4" w:space="0"/>
            </w:tcBorders>
            <w:noWrap w:val="0"/>
            <w:vAlign w:val="center"/>
          </w:tcPr>
          <w:p w14:paraId="530A1B5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接受大气环境保护监督检查时弄虚作假</w:t>
            </w:r>
          </w:p>
        </w:tc>
        <w:tc>
          <w:tcPr>
            <w:tcW w:w="2981" w:type="dxa"/>
            <w:tcBorders>
              <w:bottom w:val="single" w:color="auto" w:sz="4" w:space="0"/>
            </w:tcBorders>
            <w:noWrap w:val="0"/>
            <w:vAlign w:val="center"/>
          </w:tcPr>
          <w:p w14:paraId="1FE51A0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noWrap w:val="0"/>
            <w:vAlign w:val="center"/>
          </w:tcPr>
          <w:p w14:paraId="2436333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tcBorders>
              <w:bottom w:val="single" w:color="auto" w:sz="4" w:space="0"/>
            </w:tcBorders>
            <w:noWrap w:val="0"/>
            <w:vAlign w:val="center"/>
          </w:tcPr>
          <w:p w14:paraId="4CA4C7A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bottom w:val="single" w:color="auto" w:sz="4" w:space="0"/>
            </w:tcBorders>
            <w:noWrap w:val="0"/>
            <w:vAlign w:val="center"/>
          </w:tcPr>
          <w:p w14:paraId="488B71E7">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1.经责令改正，仍弄虚作假的，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4；2.空气重污染预警期间，弄虚作假的，系数4；3.造成大气污染或者不良社会影响等较为严重情形之一的，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tcBorders>
              <w:bottom w:val="single" w:color="auto" w:sz="4" w:space="0"/>
            </w:tcBorders>
            <w:noWrap w:val="0"/>
            <w:vAlign w:val="center"/>
          </w:tcPr>
          <w:p w14:paraId="0ECBF72F">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bottom w:val="single" w:color="auto" w:sz="4" w:space="0"/>
            </w:tcBorders>
            <w:noWrap w:val="0"/>
            <w:vAlign w:val="center"/>
          </w:tcPr>
          <w:p w14:paraId="50561F3E">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s="宋体"/>
                <w:strike w:val="0"/>
                <w:dstrike w:val="0"/>
                <w:color w:val="auto"/>
                <w:kern w:val="0"/>
                <w:sz w:val="15"/>
                <w:szCs w:val="15"/>
                <w:highlight w:val="none"/>
                <w:lang w:eastAsia="zh-CN"/>
              </w:rPr>
              <w:t>“虚假陈述”的情形，不纳入本案由情节系数。</w:t>
            </w:r>
          </w:p>
        </w:tc>
        <w:tc>
          <w:tcPr>
            <w:tcW w:w="1304" w:type="dxa"/>
            <w:gridSpan w:val="2"/>
            <w:noWrap w:val="0"/>
            <w:vAlign w:val="center"/>
          </w:tcPr>
          <w:p w14:paraId="269F51C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045345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0CA9D90">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C4640100</w:t>
            </w:r>
          </w:p>
        </w:tc>
      </w:tr>
      <w:tr w14:paraId="51409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69" w:hRule="atLeast"/>
        </w:trPr>
        <w:tc>
          <w:tcPr>
            <w:tcW w:w="14587" w:type="dxa"/>
            <w:gridSpan w:val="13"/>
            <w:tcBorders>
              <w:bottom w:val="single" w:color="auto" w:sz="4" w:space="0"/>
            </w:tcBorders>
            <w:noWrap w:val="0"/>
            <w:vAlign w:val="center"/>
          </w:tcPr>
          <w:p w14:paraId="3AE14378">
            <w:pPr>
              <w:pStyle w:val="3"/>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olor w:val="auto"/>
                <w:szCs w:val="15"/>
                <w:highlight w:val="none"/>
              </w:rPr>
            </w:pPr>
            <w:bookmarkStart w:id="109" w:name="_Toc285647581"/>
            <w:r>
              <w:rPr>
                <w:rFonts w:hint="eastAsia"/>
                <w:color w:val="auto"/>
                <w:sz w:val="21"/>
                <w:szCs w:val="21"/>
                <w:highlight w:val="none"/>
              </w:rPr>
              <w:t>《北京市大气污染防治条例》案由8项</w:t>
            </w:r>
            <w:bookmarkEnd w:id="109"/>
          </w:p>
        </w:tc>
        <w:tc>
          <w:tcPr>
            <w:tcW w:w="1869" w:type="dxa"/>
            <w:tcBorders>
              <w:bottom w:val="single" w:color="auto" w:sz="4" w:space="0"/>
            </w:tcBorders>
            <w:noWrap w:val="0"/>
            <w:vAlign w:val="center"/>
          </w:tcPr>
          <w:p w14:paraId="049F5146">
            <w:pPr>
              <w:pStyle w:val="3"/>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15"/>
                <w:szCs w:val="15"/>
                <w:highlight w:val="none"/>
              </w:rPr>
            </w:pPr>
          </w:p>
        </w:tc>
      </w:tr>
      <w:tr w14:paraId="2991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tcBorders>
              <w:top w:val="single" w:color="auto" w:sz="4" w:space="0"/>
            </w:tcBorders>
            <w:noWrap w:val="0"/>
            <w:vAlign w:val="center"/>
          </w:tcPr>
          <w:p w14:paraId="7DDCBF8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tcBorders>
              <w:top w:val="single" w:color="auto" w:sz="4" w:space="0"/>
            </w:tcBorders>
            <w:noWrap w:val="0"/>
            <w:vAlign w:val="center"/>
          </w:tcPr>
          <w:p w14:paraId="62118155">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拒不执行空气重污染应急措施</w:t>
            </w:r>
          </w:p>
        </w:tc>
        <w:tc>
          <w:tcPr>
            <w:tcW w:w="2981" w:type="dxa"/>
            <w:tcBorders>
              <w:top w:val="single" w:color="auto" w:sz="4" w:space="0"/>
            </w:tcBorders>
            <w:noWrap w:val="0"/>
            <w:vAlign w:val="center"/>
          </w:tcPr>
          <w:p w14:paraId="77EF24FD">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noWrap w:val="0"/>
            <w:vAlign w:val="center"/>
          </w:tcPr>
          <w:p w14:paraId="73863D67">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tcBorders>
              <w:top w:val="single" w:color="auto" w:sz="4" w:space="0"/>
            </w:tcBorders>
            <w:noWrap w:val="0"/>
            <w:vAlign w:val="center"/>
          </w:tcPr>
          <w:p w14:paraId="2AE9882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tcBorders>
              <w:top w:val="single" w:color="auto" w:sz="4" w:space="0"/>
            </w:tcBorders>
            <w:noWrap w:val="0"/>
            <w:vAlign w:val="center"/>
          </w:tcPr>
          <w:p w14:paraId="75652782">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tcBorders>
              <w:top w:val="single" w:color="auto" w:sz="4" w:space="0"/>
            </w:tcBorders>
            <w:noWrap w:val="0"/>
            <w:vAlign w:val="center"/>
          </w:tcPr>
          <w:p w14:paraId="66848DB9">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tcBorders>
              <w:top w:val="single" w:color="auto" w:sz="4" w:space="0"/>
            </w:tcBorders>
            <w:noWrap w:val="0"/>
            <w:vAlign w:val="center"/>
          </w:tcPr>
          <w:p w14:paraId="5ED719A4">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strike/>
                <w:dstrike w:val="0"/>
                <w:color w:val="auto"/>
                <w:kern w:val="0"/>
                <w:sz w:val="15"/>
                <w:szCs w:val="15"/>
                <w:highlight w:val="none"/>
                <w:lang w:eastAsia="zh-CN"/>
              </w:rPr>
            </w:pPr>
          </w:p>
        </w:tc>
        <w:tc>
          <w:tcPr>
            <w:tcW w:w="1304" w:type="dxa"/>
            <w:gridSpan w:val="2"/>
            <w:noWrap w:val="0"/>
            <w:vAlign w:val="center"/>
          </w:tcPr>
          <w:p w14:paraId="587BFAF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C4CE38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22969F7">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C4629400</w:t>
            </w:r>
          </w:p>
        </w:tc>
      </w:tr>
      <w:tr w14:paraId="047B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972" w:hRule="atLeast"/>
        </w:trPr>
        <w:tc>
          <w:tcPr>
            <w:tcW w:w="714" w:type="dxa"/>
            <w:noWrap w:val="0"/>
            <w:vAlign w:val="center"/>
          </w:tcPr>
          <w:p w14:paraId="07DD569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626" w:type="dxa"/>
            <w:gridSpan w:val="2"/>
            <w:noWrap w:val="0"/>
            <w:vAlign w:val="center"/>
          </w:tcPr>
          <w:p w14:paraId="056F4A3D">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981" w:type="dxa"/>
            <w:noWrap w:val="0"/>
            <w:vAlign w:val="center"/>
          </w:tcPr>
          <w:p w14:paraId="01089BD2">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违反条款：第五十九条第二款；处罚条款：第一百零八条第二款，责令改正；拒不改正的，予以关闭，并处一万元以上十万元以下罚款。</w:t>
            </w:r>
          </w:p>
        </w:tc>
        <w:tc>
          <w:tcPr>
            <w:tcW w:w="851" w:type="dxa"/>
            <w:noWrap w:val="0"/>
            <w:vAlign w:val="center"/>
          </w:tcPr>
          <w:p w14:paraId="118FA96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3D7AC6C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4A1375CC">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产生较大环境污染或者社会影响的，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5-8；</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造成事故或者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社会恶劣影响的，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532FC48D">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0CFBD4EB">
            <w:pPr>
              <w:keepNext w:val="0"/>
              <w:keepLines w:val="0"/>
              <w:pageBreakBefore w:val="0"/>
              <w:widowControl w:val="0"/>
              <w:kinsoku/>
              <w:wordWrap/>
              <w:overflowPunct/>
              <w:topLinePunct w:val="0"/>
              <w:autoSpaceDE/>
              <w:autoSpaceDN/>
              <w:bidi w:val="0"/>
              <w:adjustRightInd/>
              <w:snapToGrid/>
              <w:spacing w:line="212" w:lineRule="exact"/>
              <w:textAlignment w:val="auto"/>
              <w:rPr>
                <w:rFonts w:hint="default" w:ascii="宋体" w:hAnsi="宋体" w:eastAsia="宋体" w:cs="宋体"/>
                <w:strike/>
                <w:dstrike w:val="0"/>
                <w:color w:val="auto"/>
                <w:kern w:val="0"/>
                <w:sz w:val="15"/>
                <w:szCs w:val="15"/>
                <w:highlight w:val="none"/>
                <w:lang w:val="en-US" w:eastAsia="zh-CN"/>
              </w:rPr>
            </w:pPr>
            <w:r>
              <w:rPr>
                <w:rFonts w:hint="eastAsia" w:ascii="宋体" w:hAnsi="宋体" w:eastAsia="宋体"/>
                <w:strike w:val="0"/>
                <w:dstrike w:val="0"/>
                <w:color w:val="auto"/>
                <w:sz w:val="15"/>
                <w:szCs w:val="15"/>
                <w:highlight w:val="none"/>
                <w:lang w:eastAsia="zh-CN"/>
              </w:rPr>
              <w:t>拒</w:t>
            </w:r>
            <w:r>
              <w:rPr>
                <w:rFonts w:hint="eastAsia" w:ascii="宋体" w:hAnsi="宋体" w:eastAsia="宋体"/>
                <w:strike w:val="0"/>
                <w:dstrike w:val="0"/>
                <w:color w:val="auto"/>
                <w:sz w:val="15"/>
                <w:szCs w:val="15"/>
                <w:highlight w:val="none"/>
              </w:rPr>
              <w:t>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noWrap w:val="0"/>
            <w:vAlign w:val="center"/>
          </w:tcPr>
          <w:p w14:paraId="1F3972A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FA023C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76BA6F0">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C4644500</w:t>
            </w:r>
          </w:p>
        </w:tc>
      </w:tr>
      <w:tr w14:paraId="0C291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12" w:hRule="atLeast"/>
        </w:trPr>
        <w:tc>
          <w:tcPr>
            <w:tcW w:w="714" w:type="dxa"/>
            <w:noWrap w:val="0"/>
            <w:vAlign w:val="center"/>
          </w:tcPr>
          <w:p w14:paraId="3507FFC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626" w:type="dxa"/>
            <w:gridSpan w:val="2"/>
            <w:noWrap w:val="0"/>
            <w:vAlign w:val="center"/>
          </w:tcPr>
          <w:p w14:paraId="3B7B0662">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露天焚烧秸秆（树叶、枯草）</w:t>
            </w:r>
          </w:p>
        </w:tc>
        <w:tc>
          <w:tcPr>
            <w:tcW w:w="2981" w:type="dxa"/>
            <w:noWrap w:val="0"/>
            <w:vAlign w:val="center"/>
          </w:tcPr>
          <w:p w14:paraId="323D082C">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违反条款：第六十一条第一款；处罚条款：第一百一十条第一款：责令改正，可以处五百元以上二千元以下罚款。</w:t>
            </w:r>
          </w:p>
        </w:tc>
        <w:tc>
          <w:tcPr>
            <w:tcW w:w="851" w:type="dxa"/>
            <w:noWrap w:val="0"/>
            <w:vAlign w:val="center"/>
          </w:tcPr>
          <w:p w14:paraId="4C4BE3BD">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14:paraId="6F22888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53AA5103">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0E298232">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5CCED81D">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strike/>
                <w:dstrike w:val="0"/>
                <w:color w:val="auto"/>
                <w:sz w:val="15"/>
                <w:szCs w:val="15"/>
                <w:highlight w:val="none"/>
              </w:rPr>
            </w:pPr>
          </w:p>
        </w:tc>
        <w:tc>
          <w:tcPr>
            <w:tcW w:w="1304" w:type="dxa"/>
            <w:gridSpan w:val="2"/>
            <w:noWrap w:val="0"/>
            <w:vAlign w:val="center"/>
          </w:tcPr>
          <w:p w14:paraId="5748920C">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C2CB5D0">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4E2DE06">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C4629500</w:t>
            </w:r>
          </w:p>
        </w:tc>
      </w:tr>
      <w:tr w14:paraId="3BD8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60" w:hRule="atLeast"/>
        </w:trPr>
        <w:tc>
          <w:tcPr>
            <w:tcW w:w="714" w:type="dxa"/>
            <w:vMerge w:val="restart"/>
            <w:noWrap w:val="0"/>
            <w:vAlign w:val="center"/>
          </w:tcPr>
          <w:p w14:paraId="5969E217">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4</w:t>
            </w:r>
          </w:p>
        </w:tc>
        <w:tc>
          <w:tcPr>
            <w:tcW w:w="1626" w:type="dxa"/>
            <w:gridSpan w:val="2"/>
            <w:vMerge w:val="restart"/>
            <w:noWrap w:val="0"/>
            <w:vAlign w:val="center"/>
          </w:tcPr>
          <w:p w14:paraId="05E19EA6">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color w:val="auto"/>
                <w:sz w:val="15"/>
                <w:szCs w:val="15"/>
                <w:highlight w:val="none"/>
              </w:rPr>
            </w:pPr>
            <w:r>
              <w:rPr>
                <w:rFonts w:hint="eastAsia" w:ascii="宋体" w:hAnsi="宋体" w:eastAsia="宋体" w:cs="Times New Roman"/>
                <w:kern w:val="2"/>
                <w:sz w:val="15"/>
                <w:szCs w:val="15"/>
                <w:highlight w:val="none"/>
                <w:lang w:val="en-US" w:eastAsia="zh-CN" w:bidi="ar"/>
              </w:rPr>
              <w:t>露天焚烧垃圾（电子废物、油毡、橡胶、塑料、皮革、沥青）</w:t>
            </w:r>
          </w:p>
        </w:tc>
        <w:tc>
          <w:tcPr>
            <w:tcW w:w="2981" w:type="dxa"/>
            <w:vMerge w:val="restart"/>
            <w:noWrap w:val="0"/>
            <w:vAlign w:val="center"/>
          </w:tcPr>
          <w:p w14:paraId="5ADFE2CA">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color w:val="auto"/>
                <w:sz w:val="15"/>
                <w:szCs w:val="15"/>
                <w:highlight w:val="none"/>
              </w:rPr>
            </w:pPr>
            <w:r>
              <w:rPr>
                <w:rFonts w:hint="eastAsia" w:ascii="宋体" w:hAnsi="宋体" w:eastAsia="宋体" w:cs="Times New Roman"/>
                <w:kern w:val="2"/>
                <w:sz w:val="15"/>
                <w:szCs w:val="15"/>
                <w:highlight w:val="none"/>
                <w:lang w:val="en-US" w:eastAsia="zh-CN" w:bidi="ar"/>
              </w:rPr>
              <w:t>违反条款：第六十一条第一款；处罚条款：第一百一十条第一款：责令改正，对单位处以一万元以上十万元以下罚款，对个人处五百元以上二千元以下罚款。</w:t>
            </w:r>
          </w:p>
        </w:tc>
        <w:tc>
          <w:tcPr>
            <w:tcW w:w="851" w:type="dxa"/>
            <w:noWrap w:val="0"/>
            <w:vAlign w:val="center"/>
          </w:tcPr>
          <w:p w14:paraId="485D8878">
            <w:pPr>
              <w:keepNext w:val="0"/>
              <w:keepLines w:val="0"/>
              <w:widowControl w:val="0"/>
              <w:suppressLineNumbers w:val="0"/>
              <w:autoSpaceDE w:val="0"/>
              <w:autoSpaceDN/>
              <w:spacing w:before="0" w:beforeAutospacing="0" w:after="0" w:afterAutospacing="0" w:line="232" w:lineRule="exact"/>
              <w:ind w:left="0" w:right="0"/>
              <w:jc w:val="center"/>
              <w:rPr>
                <w:rFonts w:hint="eastAsia" w:ascii="宋体" w:hAnsi="宋体" w:eastAsia="宋体" w:cs="Times New Roman"/>
                <w:kern w:val="2"/>
                <w:sz w:val="15"/>
                <w:szCs w:val="15"/>
                <w:highlight w:val="none"/>
              </w:rPr>
            </w:pPr>
            <w:r>
              <w:rPr>
                <w:rFonts w:hint="eastAsia" w:ascii="宋体" w:hAnsi="宋体" w:eastAsia="宋体" w:cs="宋体"/>
                <w:kern w:val="2"/>
                <w:sz w:val="15"/>
                <w:szCs w:val="15"/>
                <w:highlight w:val="none"/>
                <w:lang w:val="en-US" w:eastAsia="zh-CN" w:bidi="ar"/>
              </w:rPr>
              <w:t>10000</w:t>
            </w:r>
          </w:p>
          <w:p w14:paraId="73DE84B5">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Times New Roman"/>
                <w:kern w:val="2"/>
                <w:sz w:val="15"/>
                <w:szCs w:val="15"/>
                <w:highlight w:val="none"/>
                <w:lang w:val="en-US" w:eastAsia="zh-CN" w:bidi="ar"/>
              </w:rPr>
              <w:t>（对单位）</w:t>
            </w:r>
          </w:p>
        </w:tc>
        <w:tc>
          <w:tcPr>
            <w:tcW w:w="840" w:type="dxa"/>
            <w:noWrap w:val="0"/>
            <w:vAlign w:val="center"/>
          </w:tcPr>
          <w:p w14:paraId="29826652">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1</w:t>
            </w:r>
          </w:p>
        </w:tc>
        <w:tc>
          <w:tcPr>
            <w:tcW w:w="2376" w:type="dxa"/>
            <w:noWrap w:val="0"/>
            <w:vAlign w:val="center"/>
          </w:tcPr>
          <w:p w14:paraId="55F9D7F1">
            <w:pPr>
              <w:keepNext w:val="0"/>
              <w:keepLines w:val="0"/>
              <w:widowControl w:val="0"/>
              <w:suppressLineNumbers w:val="0"/>
              <w:autoSpaceDE w:val="0"/>
              <w:autoSpaceDN/>
              <w:spacing w:before="0" w:beforeAutospacing="0" w:after="0" w:afterAutospacing="0" w:line="232" w:lineRule="exact"/>
              <w:ind w:left="0" w:leftChars="0" w:right="0" w:rightChars="0"/>
              <w:jc w:val="left"/>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1.对大气环境或者生产生活造成较大影响的，系数5-6</w:t>
            </w:r>
            <w:r>
              <w:rPr>
                <w:rFonts w:hint="eastAsia" w:ascii="宋体" w:hAnsi="宋体" w:eastAsia="宋体" w:cs="Times New Roman"/>
                <w:kern w:val="2"/>
                <w:sz w:val="15"/>
                <w:szCs w:val="15"/>
                <w:highlight w:val="none"/>
                <w:lang w:val="en-US" w:eastAsia="zh-CN" w:bidi="ar"/>
              </w:rPr>
              <w:t>；2.导致其他事故发生的，系数9；</w:t>
            </w:r>
            <w:r>
              <w:rPr>
                <w:rFonts w:hint="eastAsia" w:ascii="宋体" w:hAnsi="宋体" w:eastAsia="宋体" w:cs="宋体"/>
                <w:kern w:val="2"/>
                <w:sz w:val="15"/>
                <w:szCs w:val="15"/>
                <w:highlight w:val="none"/>
                <w:lang w:val="en-US" w:eastAsia="zh-CN" w:bidi="ar"/>
              </w:rPr>
              <w:t>3.</w:t>
            </w:r>
            <w:r>
              <w:rPr>
                <w:rFonts w:hint="eastAsia" w:ascii="宋体" w:hAnsi="宋体" w:eastAsia="宋体" w:cs="Times New Roman"/>
                <w:kern w:val="2"/>
                <w:sz w:val="15"/>
                <w:szCs w:val="15"/>
                <w:highlight w:val="none"/>
                <w:lang w:val="en-US" w:eastAsia="zh-CN" w:bidi="ar"/>
              </w:rPr>
              <w:t>存在基准2.1.3规定情形的，系数按照相关规定确定。</w:t>
            </w:r>
          </w:p>
        </w:tc>
        <w:tc>
          <w:tcPr>
            <w:tcW w:w="1875" w:type="dxa"/>
            <w:gridSpan w:val="2"/>
            <w:noWrap w:val="0"/>
            <w:vAlign w:val="center"/>
          </w:tcPr>
          <w:p w14:paraId="64680D76">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color w:val="auto"/>
                <w:sz w:val="15"/>
                <w:szCs w:val="15"/>
                <w:highlight w:val="none"/>
              </w:rPr>
            </w:pPr>
            <w:r>
              <w:rPr>
                <w:rFonts w:hint="eastAsia" w:ascii="宋体" w:hAnsi="宋体" w:eastAsia="宋体" w:cs="Times New Roman"/>
                <w:kern w:val="2"/>
                <w:sz w:val="15"/>
                <w:szCs w:val="15"/>
                <w:highlight w:val="none"/>
                <w:lang w:val="en-US" w:eastAsia="zh-CN" w:bidi="ar"/>
              </w:rPr>
              <w:t>罚款数额</w:t>
            </w:r>
            <w:r>
              <w:rPr>
                <w:rFonts w:hint="eastAsia" w:ascii="宋体" w:hAnsi="宋体" w:eastAsia="宋体" w:cs="宋体"/>
                <w:kern w:val="0"/>
                <w:sz w:val="15"/>
                <w:szCs w:val="15"/>
                <w:highlight w:val="none"/>
                <w:lang w:val="en-US" w:eastAsia="zh-CN" w:bidi="ar"/>
              </w:rPr>
              <w:t>＝</w:t>
            </w:r>
            <w:r>
              <w:rPr>
                <w:rFonts w:hint="eastAsia" w:ascii="宋体" w:hAnsi="宋体" w:eastAsia="宋体" w:cs="宋体"/>
                <w:kern w:val="2"/>
                <w:sz w:val="15"/>
                <w:szCs w:val="15"/>
                <w:highlight w:val="none"/>
                <w:lang w:val="en-US" w:eastAsia="zh-CN" w:bidi="ar"/>
              </w:rPr>
              <w:t>10000×（1+</w:t>
            </w:r>
            <w:r>
              <w:rPr>
                <w:rFonts w:hint="eastAsia" w:ascii="宋体" w:hAnsi="宋体" w:eastAsia="宋体" w:cs="Times New Roman"/>
                <w:kern w:val="2"/>
                <w:sz w:val="15"/>
                <w:szCs w:val="15"/>
                <w:highlight w:val="none"/>
                <w:lang w:val="en-US" w:eastAsia="zh-CN" w:bidi="ar"/>
              </w:rPr>
              <w:t>情节系数）</w:t>
            </w:r>
          </w:p>
        </w:tc>
        <w:tc>
          <w:tcPr>
            <w:tcW w:w="2020" w:type="dxa"/>
            <w:gridSpan w:val="2"/>
            <w:noWrap w:val="0"/>
            <w:vAlign w:val="center"/>
          </w:tcPr>
          <w:p w14:paraId="418B7D80">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strike/>
                <w:dstrike w:val="0"/>
                <w:color w:val="auto"/>
                <w:sz w:val="15"/>
                <w:szCs w:val="15"/>
                <w:highlight w:val="none"/>
              </w:rPr>
            </w:pPr>
          </w:p>
        </w:tc>
        <w:tc>
          <w:tcPr>
            <w:tcW w:w="1304" w:type="dxa"/>
            <w:gridSpan w:val="2"/>
            <w:vMerge w:val="restart"/>
            <w:noWrap w:val="0"/>
            <w:vAlign w:val="center"/>
          </w:tcPr>
          <w:p w14:paraId="4E1D607D">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Times New Roman"/>
                <w:kern w:val="2"/>
                <w:sz w:val="15"/>
                <w:szCs w:val="15"/>
                <w:highlight w:val="none"/>
              </w:rPr>
            </w:pPr>
            <w:r>
              <w:rPr>
                <w:rFonts w:hint="eastAsia" w:ascii="宋体" w:hAnsi="宋体" w:eastAsia="宋体" w:cs="Times New Roman"/>
                <w:kern w:val="2"/>
                <w:sz w:val="15"/>
                <w:szCs w:val="15"/>
                <w:highlight w:val="none"/>
                <w:lang w:val="en-US" w:eastAsia="zh-CN" w:bidi="ar"/>
              </w:rPr>
              <w:t>街道</w:t>
            </w:r>
          </w:p>
          <w:p w14:paraId="04026C7B">
            <w:pPr>
              <w:keepNext w:val="0"/>
              <w:keepLines w:val="0"/>
              <w:widowControl w:val="0"/>
              <w:suppressLineNumbers w:val="0"/>
              <w:spacing w:before="0" w:beforeAutospacing="0" w:after="0" w:afterAutospacing="0" w:line="200"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Times New Roman"/>
                <w:kern w:val="2"/>
                <w:sz w:val="15"/>
                <w:szCs w:val="15"/>
                <w:highlight w:val="none"/>
                <w:lang w:val="en-US" w:eastAsia="zh-CN" w:bidi="ar"/>
              </w:rPr>
              <w:t>乡镇</w:t>
            </w:r>
          </w:p>
        </w:tc>
        <w:tc>
          <w:tcPr>
            <w:tcW w:w="1869" w:type="dxa"/>
            <w:vMerge w:val="restart"/>
            <w:noWrap w:val="0"/>
            <w:vAlign w:val="center"/>
          </w:tcPr>
          <w:p w14:paraId="7C939371">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15"/>
                <w:szCs w:val="15"/>
                <w:highlight w:val="none"/>
                <w:u w:val="none"/>
                <w:lang w:val="en-US" w:eastAsia="zh-CN" w:bidi="ar"/>
              </w:rPr>
            </w:pPr>
            <w:r>
              <w:rPr>
                <w:rFonts w:hint="eastAsia" w:ascii="宋体" w:hAnsi="宋体" w:eastAsia="宋体" w:cs="宋体"/>
                <w:i w:val="0"/>
                <w:iCs w:val="0"/>
                <w:caps w:val="0"/>
                <w:color w:val="000000"/>
                <w:spacing w:val="0"/>
                <w:kern w:val="0"/>
                <w:sz w:val="15"/>
                <w:szCs w:val="15"/>
                <w:highlight w:val="none"/>
                <w:u w:val="none"/>
                <w:lang w:val="en-US" w:eastAsia="zh" w:bidi="ar"/>
              </w:rPr>
              <w:t>C4629600</w:t>
            </w:r>
          </w:p>
        </w:tc>
      </w:tr>
      <w:tr w14:paraId="30AD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60" w:hRule="atLeast"/>
        </w:trPr>
        <w:tc>
          <w:tcPr>
            <w:tcW w:w="714" w:type="dxa"/>
            <w:vMerge w:val="continue"/>
            <w:noWrap w:val="0"/>
            <w:vAlign w:val="center"/>
          </w:tcPr>
          <w:p w14:paraId="0208D0AD">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p>
        </w:tc>
        <w:tc>
          <w:tcPr>
            <w:tcW w:w="1626" w:type="dxa"/>
            <w:gridSpan w:val="2"/>
            <w:vMerge w:val="continue"/>
            <w:noWrap w:val="0"/>
            <w:vAlign w:val="center"/>
          </w:tcPr>
          <w:p w14:paraId="036D15BB">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color w:val="auto"/>
                <w:sz w:val="15"/>
                <w:szCs w:val="15"/>
                <w:highlight w:val="none"/>
              </w:rPr>
            </w:pPr>
          </w:p>
        </w:tc>
        <w:tc>
          <w:tcPr>
            <w:tcW w:w="2981" w:type="dxa"/>
            <w:vMerge w:val="continue"/>
            <w:noWrap w:val="0"/>
            <w:vAlign w:val="center"/>
          </w:tcPr>
          <w:p w14:paraId="3E717A9F">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color w:val="auto"/>
                <w:sz w:val="15"/>
                <w:szCs w:val="15"/>
                <w:highlight w:val="none"/>
              </w:rPr>
            </w:pPr>
          </w:p>
        </w:tc>
        <w:tc>
          <w:tcPr>
            <w:tcW w:w="851" w:type="dxa"/>
            <w:noWrap w:val="0"/>
            <w:vAlign w:val="center"/>
          </w:tcPr>
          <w:p w14:paraId="494AB3FC">
            <w:pPr>
              <w:keepNext w:val="0"/>
              <w:keepLines w:val="0"/>
              <w:widowControl w:val="0"/>
              <w:suppressLineNumbers w:val="0"/>
              <w:autoSpaceDE w:val="0"/>
              <w:autoSpaceDN/>
              <w:spacing w:before="0" w:beforeAutospacing="0" w:after="0" w:afterAutospacing="0" w:line="232" w:lineRule="exact"/>
              <w:ind w:left="0" w:right="0"/>
              <w:jc w:val="center"/>
              <w:rPr>
                <w:rFonts w:hint="eastAsia" w:ascii="宋体" w:hAnsi="宋体" w:eastAsia="宋体" w:cs="Times New Roman"/>
                <w:kern w:val="2"/>
                <w:sz w:val="15"/>
                <w:szCs w:val="15"/>
                <w:highlight w:val="none"/>
              </w:rPr>
            </w:pPr>
            <w:r>
              <w:rPr>
                <w:rFonts w:hint="eastAsia" w:ascii="宋体" w:hAnsi="宋体" w:eastAsia="宋体" w:cs="宋体"/>
                <w:kern w:val="2"/>
                <w:sz w:val="15"/>
                <w:szCs w:val="15"/>
                <w:highlight w:val="none"/>
                <w:lang w:val="en-US" w:eastAsia="zh-CN" w:bidi="ar"/>
              </w:rPr>
              <w:t>500</w:t>
            </w:r>
          </w:p>
          <w:p w14:paraId="4B470D85">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Times New Roman"/>
                <w:kern w:val="2"/>
                <w:sz w:val="15"/>
                <w:szCs w:val="15"/>
                <w:highlight w:val="none"/>
                <w:lang w:val="en-US" w:eastAsia="zh-CN" w:bidi="ar"/>
              </w:rPr>
              <w:t>（对个人）</w:t>
            </w:r>
          </w:p>
        </w:tc>
        <w:tc>
          <w:tcPr>
            <w:tcW w:w="840" w:type="dxa"/>
            <w:noWrap w:val="0"/>
            <w:vAlign w:val="center"/>
          </w:tcPr>
          <w:p w14:paraId="7B4DC968">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1</w:t>
            </w:r>
          </w:p>
        </w:tc>
        <w:tc>
          <w:tcPr>
            <w:tcW w:w="2376" w:type="dxa"/>
            <w:noWrap w:val="0"/>
            <w:vAlign w:val="center"/>
          </w:tcPr>
          <w:p w14:paraId="25A1D064">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1.对大气环境或者生产生活造成较大影响的，系数2-3；2.导致事故发生或者</w:t>
            </w:r>
            <w:r>
              <w:rPr>
                <w:rFonts w:hint="eastAsia" w:ascii="宋体" w:hAnsi="宋体" w:eastAsia="宋体" w:cs="Times New Roman"/>
                <w:kern w:val="2"/>
                <w:sz w:val="15"/>
                <w:szCs w:val="15"/>
                <w:highlight w:val="none"/>
                <w:lang w:val="en-US" w:eastAsia="zh-CN" w:bidi="ar"/>
              </w:rPr>
              <w:t>其他恶劣影响的，系数</w:t>
            </w:r>
            <w:r>
              <w:rPr>
                <w:rFonts w:hint="eastAsia" w:ascii="宋体" w:hAnsi="宋体" w:eastAsia="宋体" w:cs="宋体"/>
                <w:kern w:val="2"/>
                <w:sz w:val="15"/>
                <w:szCs w:val="15"/>
                <w:highlight w:val="none"/>
                <w:lang w:val="en-US" w:eastAsia="zh-CN" w:bidi="ar"/>
              </w:rPr>
              <w:t>3</w:t>
            </w:r>
            <w:r>
              <w:rPr>
                <w:rFonts w:hint="eastAsia" w:ascii="宋体" w:hAnsi="宋体" w:eastAsia="宋体" w:cs="Times New Roman"/>
                <w:kern w:val="2"/>
                <w:sz w:val="15"/>
                <w:szCs w:val="15"/>
                <w:highlight w:val="none"/>
                <w:lang w:val="en-US" w:eastAsia="zh-CN" w:bidi="ar"/>
              </w:rPr>
              <w:t>；</w:t>
            </w:r>
            <w:r>
              <w:rPr>
                <w:rFonts w:hint="eastAsia" w:ascii="宋体" w:hAnsi="宋体" w:eastAsia="宋体" w:cs="宋体"/>
                <w:kern w:val="2"/>
                <w:sz w:val="15"/>
                <w:szCs w:val="15"/>
                <w:highlight w:val="none"/>
                <w:lang w:val="en-US" w:eastAsia="zh-CN" w:bidi="ar"/>
              </w:rPr>
              <w:t>3.</w:t>
            </w:r>
            <w:r>
              <w:rPr>
                <w:rFonts w:hint="eastAsia" w:ascii="宋体" w:hAnsi="宋体" w:eastAsia="宋体" w:cs="Times New Roman"/>
                <w:kern w:val="2"/>
                <w:sz w:val="15"/>
                <w:szCs w:val="15"/>
                <w:highlight w:val="none"/>
                <w:lang w:val="en-US" w:eastAsia="zh-CN" w:bidi="ar"/>
              </w:rPr>
              <w:t>存在基准2.1.3规定情形的，系数按照相关规定确定。</w:t>
            </w:r>
          </w:p>
        </w:tc>
        <w:tc>
          <w:tcPr>
            <w:tcW w:w="1875" w:type="dxa"/>
            <w:gridSpan w:val="2"/>
            <w:noWrap w:val="0"/>
            <w:vAlign w:val="center"/>
          </w:tcPr>
          <w:p w14:paraId="5D894A80">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color w:val="auto"/>
                <w:sz w:val="15"/>
                <w:szCs w:val="15"/>
                <w:highlight w:val="none"/>
              </w:rPr>
            </w:pPr>
            <w:r>
              <w:rPr>
                <w:rFonts w:hint="eastAsia" w:ascii="宋体" w:hAnsi="宋体" w:eastAsia="宋体" w:cs="Times New Roman"/>
                <w:kern w:val="2"/>
                <w:sz w:val="15"/>
                <w:szCs w:val="15"/>
                <w:highlight w:val="none"/>
                <w:lang w:val="en-US" w:eastAsia="zh-CN" w:bidi="ar"/>
              </w:rPr>
              <w:t>罚款数额</w:t>
            </w:r>
            <w:r>
              <w:rPr>
                <w:rFonts w:hint="eastAsia" w:ascii="宋体" w:hAnsi="宋体" w:eastAsia="宋体" w:cs="宋体"/>
                <w:kern w:val="0"/>
                <w:sz w:val="15"/>
                <w:szCs w:val="15"/>
                <w:highlight w:val="none"/>
                <w:lang w:val="en-US" w:eastAsia="zh-CN" w:bidi="ar"/>
              </w:rPr>
              <w:t>＝</w:t>
            </w:r>
            <w:r>
              <w:rPr>
                <w:rFonts w:hint="eastAsia" w:ascii="宋体" w:hAnsi="宋体" w:eastAsia="宋体" w:cs="宋体"/>
                <w:kern w:val="2"/>
                <w:sz w:val="15"/>
                <w:szCs w:val="15"/>
                <w:highlight w:val="none"/>
                <w:lang w:val="en-US" w:eastAsia="zh-CN" w:bidi="ar"/>
              </w:rPr>
              <w:t>500×（1+</w:t>
            </w:r>
            <w:r>
              <w:rPr>
                <w:rFonts w:hint="eastAsia" w:ascii="宋体" w:hAnsi="宋体" w:eastAsia="宋体" w:cs="Times New Roman"/>
                <w:kern w:val="2"/>
                <w:sz w:val="15"/>
                <w:szCs w:val="15"/>
                <w:highlight w:val="none"/>
                <w:lang w:val="en-US" w:eastAsia="zh-CN" w:bidi="ar"/>
              </w:rPr>
              <w:t>情节系数）</w:t>
            </w:r>
          </w:p>
        </w:tc>
        <w:tc>
          <w:tcPr>
            <w:tcW w:w="2020" w:type="dxa"/>
            <w:gridSpan w:val="2"/>
            <w:noWrap w:val="0"/>
            <w:vAlign w:val="center"/>
          </w:tcPr>
          <w:p w14:paraId="7A09FC31">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strike/>
                <w:dstrike w:val="0"/>
                <w:color w:val="auto"/>
                <w:sz w:val="15"/>
                <w:szCs w:val="15"/>
                <w:highlight w:val="none"/>
              </w:rPr>
            </w:pPr>
          </w:p>
        </w:tc>
        <w:tc>
          <w:tcPr>
            <w:tcW w:w="1304" w:type="dxa"/>
            <w:gridSpan w:val="2"/>
            <w:vMerge w:val="continue"/>
            <w:noWrap w:val="0"/>
            <w:vAlign w:val="center"/>
          </w:tcPr>
          <w:p w14:paraId="4888DA13">
            <w:pPr>
              <w:keepNext w:val="0"/>
              <w:keepLines w:val="0"/>
              <w:widowControl w:val="0"/>
              <w:suppressLineNumbers w:val="0"/>
              <w:spacing w:before="0" w:beforeAutospacing="0" w:after="0" w:afterAutospacing="0" w:line="200" w:lineRule="exact"/>
              <w:ind w:left="0" w:leftChars="0" w:right="0" w:rightChars="0"/>
              <w:jc w:val="center"/>
              <w:rPr>
                <w:rFonts w:hint="eastAsia" w:ascii="宋体" w:hAnsi="宋体" w:eastAsia="宋体"/>
                <w:color w:val="auto"/>
                <w:sz w:val="15"/>
                <w:szCs w:val="15"/>
                <w:highlight w:val="none"/>
              </w:rPr>
            </w:pPr>
          </w:p>
        </w:tc>
        <w:tc>
          <w:tcPr>
            <w:tcW w:w="1869" w:type="dxa"/>
            <w:vMerge w:val="continue"/>
            <w:noWrap w:val="0"/>
            <w:vAlign w:val="center"/>
          </w:tcPr>
          <w:p w14:paraId="7B8E19DA">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15"/>
                <w:szCs w:val="15"/>
                <w:highlight w:val="none"/>
                <w:u w:val="none"/>
                <w:lang w:val="en-US" w:eastAsia="zh-CN" w:bidi="ar"/>
              </w:rPr>
            </w:pPr>
          </w:p>
        </w:tc>
      </w:tr>
      <w:tr w14:paraId="5558D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85" w:hRule="atLeast"/>
        </w:trPr>
        <w:tc>
          <w:tcPr>
            <w:tcW w:w="714" w:type="dxa"/>
            <w:noWrap w:val="0"/>
            <w:vAlign w:val="center"/>
          </w:tcPr>
          <w:p w14:paraId="00C3D108">
            <w:pPr>
              <w:spacing w:line="24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4</w:t>
            </w:r>
          </w:p>
        </w:tc>
        <w:tc>
          <w:tcPr>
            <w:tcW w:w="1626" w:type="dxa"/>
            <w:gridSpan w:val="2"/>
            <w:noWrap w:val="0"/>
            <w:vAlign w:val="center"/>
          </w:tcPr>
          <w:p w14:paraId="066F3084">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shd w:val="clear" w:color="auto" w:fill="auto"/>
              </w:rPr>
              <w:t>在政府划定的禁止范围内露天烧烤食品</w:t>
            </w:r>
          </w:p>
        </w:tc>
        <w:tc>
          <w:tcPr>
            <w:tcW w:w="2981" w:type="dxa"/>
            <w:noWrap w:val="0"/>
            <w:vAlign w:val="center"/>
          </w:tcPr>
          <w:p w14:paraId="5DFAF453">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kern w:val="32"/>
                <w:sz w:val="15"/>
                <w:szCs w:val="15"/>
                <w:highlight w:val="none"/>
              </w:rPr>
            </w:pPr>
            <w:r>
              <w:rPr>
                <w:rFonts w:hint="eastAsia" w:ascii="宋体" w:hAnsi="宋体" w:eastAsia="宋体"/>
                <w:color w:val="auto"/>
                <w:sz w:val="15"/>
                <w:szCs w:val="15"/>
                <w:highlight w:val="none"/>
              </w:rPr>
              <w:t>违反条款：第六十一条第二款；处罚条款：第一百一十条第二款：</w:t>
            </w:r>
            <w:r>
              <w:rPr>
                <w:rFonts w:ascii="宋体" w:hAnsi="宋体" w:eastAsia="宋体"/>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noWrap w:val="0"/>
            <w:vAlign w:val="center"/>
          </w:tcPr>
          <w:p w14:paraId="75E4FFC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14:paraId="6A2972D5">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109C0706">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1.占用无障碍设施或者机动车道、绿地的，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公共场地面积较大，或者造成通行秩序、市容环境秩序较为混乱的，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69247870">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5F9B7329">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根据案件情形，需要作出公式之外</w:t>
            </w:r>
            <w:r>
              <w:rPr>
                <w:rFonts w:hint="eastAsia" w:ascii="宋体" w:hAnsi="宋体" w:eastAsia="宋体" w:cs="宋体"/>
                <w:color w:val="auto"/>
                <w:sz w:val="15"/>
                <w:szCs w:val="15"/>
                <w:highlight w:val="none"/>
                <w:lang w:eastAsia="zh-CN"/>
              </w:rPr>
              <w:t>其他</w:t>
            </w:r>
            <w:r>
              <w:rPr>
                <w:rFonts w:hint="eastAsia" w:ascii="宋体" w:hAnsi="宋体" w:eastAsia="宋体" w:cs="宋体"/>
                <w:color w:val="auto"/>
                <w:sz w:val="15"/>
                <w:szCs w:val="15"/>
                <w:highlight w:val="none"/>
              </w:rPr>
              <w:t>罚款额度处罚的，报案审会决定。</w:t>
            </w:r>
          </w:p>
        </w:tc>
        <w:tc>
          <w:tcPr>
            <w:tcW w:w="1304" w:type="dxa"/>
            <w:gridSpan w:val="2"/>
            <w:noWrap w:val="0"/>
            <w:vAlign w:val="center"/>
          </w:tcPr>
          <w:p w14:paraId="3FC100CE">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F3907EB">
            <w:pPr>
              <w:spacing w:line="240" w:lineRule="exact"/>
              <w:jc w:val="center"/>
              <w:rPr>
                <w:rFonts w:ascii="宋体" w:hAnsi="宋体" w:eastAsia="宋体" w:cs="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8E85BCD">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C4629700</w:t>
            </w:r>
          </w:p>
        </w:tc>
      </w:tr>
      <w:tr w14:paraId="1F78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807" w:hRule="atLeast"/>
        </w:trPr>
        <w:tc>
          <w:tcPr>
            <w:tcW w:w="714" w:type="dxa"/>
            <w:noWrap w:val="0"/>
            <w:vAlign w:val="center"/>
          </w:tcPr>
          <w:p w14:paraId="034EE4BB">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6</w:t>
            </w:r>
          </w:p>
        </w:tc>
        <w:tc>
          <w:tcPr>
            <w:tcW w:w="1626" w:type="dxa"/>
            <w:gridSpan w:val="2"/>
            <w:noWrap w:val="0"/>
            <w:vAlign w:val="center"/>
          </w:tcPr>
          <w:p w14:paraId="2BDDA40B">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为露天烧烤食品提供场地</w:t>
            </w:r>
          </w:p>
        </w:tc>
        <w:tc>
          <w:tcPr>
            <w:tcW w:w="2981" w:type="dxa"/>
            <w:noWrap w:val="0"/>
            <w:vAlign w:val="center"/>
          </w:tcPr>
          <w:p w14:paraId="7DF5E3D3">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kern w:val="32"/>
                <w:sz w:val="15"/>
                <w:szCs w:val="15"/>
                <w:highlight w:val="none"/>
              </w:rPr>
            </w:pPr>
            <w:r>
              <w:rPr>
                <w:rFonts w:hint="eastAsia" w:ascii="宋体" w:hAnsi="宋体" w:eastAsia="宋体"/>
                <w:color w:val="auto"/>
                <w:sz w:val="15"/>
                <w:szCs w:val="15"/>
                <w:highlight w:val="none"/>
              </w:rPr>
              <w:t>违反条款：第六十一条第二款； 处罚条款：第一百一十条第二款：</w:t>
            </w:r>
            <w:r>
              <w:rPr>
                <w:rFonts w:ascii="宋体" w:hAnsi="宋体" w:eastAsia="宋体"/>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noWrap w:val="0"/>
            <w:vAlign w:val="center"/>
          </w:tcPr>
          <w:p w14:paraId="1ECF45F5">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14:paraId="169B454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7FFC4624">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违法行为持续时间较长、占用场地规模较大、群众多次举报（3次以上，含3次），或者造成通行秩序、市容环境秩序较为混乱等情形之一的，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55EC79DB">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24668CCC">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需酌情给予2000以下罚款的，说明理由，报案审会决定。</w:t>
            </w:r>
          </w:p>
        </w:tc>
        <w:tc>
          <w:tcPr>
            <w:tcW w:w="1304" w:type="dxa"/>
            <w:gridSpan w:val="2"/>
            <w:noWrap w:val="0"/>
            <w:vAlign w:val="center"/>
          </w:tcPr>
          <w:p w14:paraId="3AC224A9">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FCCBA8A">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241EF76">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C4629800</w:t>
            </w:r>
          </w:p>
        </w:tc>
      </w:tr>
      <w:tr w14:paraId="470DC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47" w:hRule="atLeast"/>
        </w:trPr>
        <w:tc>
          <w:tcPr>
            <w:tcW w:w="714" w:type="dxa"/>
            <w:noWrap w:val="0"/>
            <w:vAlign w:val="center"/>
          </w:tcPr>
          <w:p w14:paraId="46EC22D0">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626" w:type="dxa"/>
            <w:gridSpan w:val="2"/>
            <w:noWrap w:val="0"/>
            <w:vAlign w:val="center"/>
          </w:tcPr>
          <w:p w14:paraId="6187BA64">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运输散装、流体物料车辆不符合条件（未安装卫星定位系统、未密闭运输）</w:t>
            </w:r>
          </w:p>
        </w:tc>
        <w:tc>
          <w:tcPr>
            <w:tcW w:w="2981" w:type="dxa"/>
            <w:noWrap w:val="0"/>
            <w:vAlign w:val="center"/>
          </w:tcPr>
          <w:p w14:paraId="4E0B0B3B">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违反条款：第八十三条；处罚条款：第一百二十一条：责令改正，处二千元以上二万</w:t>
            </w:r>
            <w:r>
              <w:rPr>
                <w:rFonts w:hint="eastAsia" w:ascii="宋体" w:hAnsi="宋体" w:eastAsia="宋体"/>
                <w:color w:val="auto"/>
                <w:sz w:val="15"/>
                <w:szCs w:val="15"/>
                <w:highlight w:val="none"/>
                <w:lang w:eastAsia="zh-CN"/>
              </w:rPr>
              <w:t>元</w:t>
            </w:r>
            <w:r>
              <w:rPr>
                <w:rFonts w:hint="eastAsia" w:ascii="宋体" w:hAnsi="宋体" w:eastAsia="宋体"/>
                <w:color w:val="auto"/>
                <w:sz w:val="15"/>
                <w:szCs w:val="15"/>
                <w:highlight w:val="none"/>
              </w:rPr>
              <w:t>以下罚款；拒不改正的，车辆不得上道路行驶。</w:t>
            </w:r>
          </w:p>
        </w:tc>
        <w:tc>
          <w:tcPr>
            <w:tcW w:w="851" w:type="dxa"/>
            <w:noWrap w:val="0"/>
            <w:vAlign w:val="center"/>
          </w:tcPr>
          <w:p w14:paraId="06B95485">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14:paraId="638D2CD2">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70AC3540">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车辆同时存在不符合条件、未安装卫星定位系统、未密闭等</w:t>
            </w:r>
            <w:r>
              <w:rPr>
                <w:rFonts w:hint="eastAsia" w:ascii="宋体" w:hAnsi="宋体" w:eastAsia="宋体"/>
                <w:color w:val="auto"/>
                <w:sz w:val="15"/>
                <w:szCs w:val="15"/>
                <w:highlight w:val="none"/>
                <w:lang w:val="en-US" w:eastAsia="zh-CN"/>
              </w:rPr>
              <w:t>2种情形的系数2，3种情形的系数4；2.</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泄漏</w:t>
            </w:r>
            <w:r>
              <w:rPr>
                <w:rFonts w:hint="eastAsia" w:ascii="宋体" w:hAnsi="宋体" w:eastAsia="宋体"/>
                <w:color w:val="auto"/>
                <w:sz w:val="15"/>
                <w:szCs w:val="15"/>
                <w:highlight w:val="none"/>
              </w:rPr>
              <w:t>遗撒的，系数4-9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5454E9B7">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597E45BE">
            <w:pPr>
              <w:spacing w:line="240" w:lineRule="exact"/>
              <w:rPr>
                <w:rFonts w:ascii="宋体" w:hAnsi="宋体" w:eastAsia="宋体"/>
                <w:color w:val="auto"/>
                <w:sz w:val="15"/>
                <w:szCs w:val="15"/>
                <w:highlight w:val="none"/>
              </w:rPr>
            </w:pPr>
          </w:p>
        </w:tc>
        <w:tc>
          <w:tcPr>
            <w:tcW w:w="1304" w:type="dxa"/>
            <w:gridSpan w:val="2"/>
            <w:noWrap w:val="0"/>
            <w:vAlign w:val="center"/>
          </w:tcPr>
          <w:p w14:paraId="584B1BD3">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349B1B6">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9021477">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C4629900</w:t>
            </w:r>
          </w:p>
        </w:tc>
      </w:tr>
      <w:tr w14:paraId="48B7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00" w:hRule="atLeast"/>
        </w:trPr>
        <w:tc>
          <w:tcPr>
            <w:tcW w:w="714" w:type="dxa"/>
            <w:noWrap w:val="0"/>
            <w:vAlign w:val="center"/>
          </w:tcPr>
          <w:p w14:paraId="55059BEC">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626" w:type="dxa"/>
            <w:gridSpan w:val="2"/>
            <w:noWrap w:val="0"/>
            <w:vAlign w:val="center"/>
          </w:tcPr>
          <w:p w14:paraId="08DDE95E">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建筑垃圾资源化处置场（渣土消纳场、燃煤电厂贮灰场、垃圾填埋场）未实施分区作业或者未采取措施防治扬尘污染</w:t>
            </w:r>
          </w:p>
        </w:tc>
        <w:tc>
          <w:tcPr>
            <w:tcW w:w="2981" w:type="dxa"/>
            <w:noWrap w:val="0"/>
            <w:vAlign w:val="center"/>
          </w:tcPr>
          <w:p w14:paraId="7C4215D7">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noWrap w:val="0"/>
            <w:vAlign w:val="center"/>
          </w:tcPr>
          <w:p w14:paraId="58BC2EEB">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0FC41919">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p w14:paraId="3760218C">
            <w:pPr>
              <w:spacing w:line="240" w:lineRule="exact"/>
              <w:jc w:val="center"/>
              <w:rPr>
                <w:rFonts w:ascii="宋体" w:hAnsi="宋体" w:eastAsia="宋体"/>
                <w:color w:val="auto"/>
                <w:sz w:val="15"/>
                <w:szCs w:val="15"/>
                <w:highlight w:val="none"/>
              </w:rPr>
            </w:pPr>
          </w:p>
        </w:tc>
        <w:tc>
          <w:tcPr>
            <w:tcW w:w="2376" w:type="dxa"/>
            <w:noWrap w:val="0"/>
            <w:vAlign w:val="center"/>
          </w:tcPr>
          <w:p w14:paraId="6F6D4687">
            <w:pPr>
              <w:spacing w:line="24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产生较大环境污染或者社会影响的，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5-8；</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造成社会恶劣影响或者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严重后果的，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27F76BA8">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p w14:paraId="622A2BB3">
            <w:pPr>
              <w:spacing w:line="240" w:lineRule="exact"/>
              <w:rPr>
                <w:rFonts w:ascii="宋体" w:hAnsi="宋体" w:eastAsia="宋体"/>
                <w:color w:val="auto"/>
                <w:sz w:val="15"/>
                <w:szCs w:val="15"/>
                <w:highlight w:val="none"/>
              </w:rPr>
            </w:pPr>
          </w:p>
        </w:tc>
        <w:tc>
          <w:tcPr>
            <w:tcW w:w="2020" w:type="dxa"/>
            <w:gridSpan w:val="2"/>
            <w:noWrap w:val="0"/>
            <w:vAlign w:val="center"/>
          </w:tcPr>
          <w:p w14:paraId="7D397365">
            <w:pPr>
              <w:spacing w:line="240" w:lineRule="exact"/>
              <w:rPr>
                <w:rFonts w:ascii="宋体" w:hAnsi="宋体" w:eastAsia="宋体"/>
                <w:color w:val="auto"/>
                <w:sz w:val="15"/>
                <w:szCs w:val="15"/>
                <w:highlight w:val="none"/>
              </w:rPr>
            </w:pPr>
          </w:p>
        </w:tc>
        <w:tc>
          <w:tcPr>
            <w:tcW w:w="1304" w:type="dxa"/>
            <w:gridSpan w:val="2"/>
            <w:noWrap w:val="0"/>
            <w:vAlign w:val="center"/>
          </w:tcPr>
          <w:p w14:paraId="199AF852">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E51AE3E">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1582D858">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C4630000</w:t>
            </w:r>
          </w:p>
        </w:tc>
      </w:tr>
      <w:tr w14:paraId="67C2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76" w:hRule="atLeast"/>
        </w:trPr>
        <w:tc>
          <w:tcPr>
            <w:tcW w:w="14587" w:type="dxa"/>
            <w:gridSpan w:val="13"/>
            <w:noWrap w:val="0"/>
            <w:vAlign w:val="center"/>
          </w:tcPr>
          <w:p w14:paraId="3B989500">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10" w:name="_Toc110851471"/>
            <w:bookmarkStart w:id="111" w:name="_Toc1745180410"/>
            <w:bookmarkStart w:id="112" w:name="_Toc954400207"/>
            <w:r>
              <w:rPr>
                <w:rFonts w:hint="eastAsia" w:ascii="宋体" w:hAnsi="宋体" w:eastAsia="宋体"/>
                <w:color w:val="auto"/>
                <w:sz w:val="21"/>
                <w:szCs w:val="21"/>
                <w:highlight w:val="none"/>
              </w:rPr>
              <w:t>《北京市环境噪声污染防治办法》案由</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项</w:t>
            </w:r>
            <w:bookmarkEnd w:id="110"/>
            <w:bookmarkEnd w:id="111"/>
            <w:bookmarkEnd w:id="112"/>
          </w:p>
        </w:tc>
        <w:tc>
          <w:tcPr>
            <w:tcW w:w="1869" w:type="dxa"/>
            <w:noWrap w:val="0"/>
            <w:vAlign w:val="center"/>
          </w:tcPr>
          <w:p w14:paraId="0839EA5B">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highlight w:val="none"/>
              </w:rPr>
            </w:pPr>
          </w:p>
        </w:tc>
      </w:tr>
      <w:tr w14:paraId="254D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01" w:hRule="atLeast"/>
        </w:trPr>
        <w:tc>
          <w:tcPr>
            <w:tcW w:w="714" w:type="dxa"/>
            <w:noWrap w:val="0"/>
            <w:vAlign w:val="center"/>
          </w:tcPr>
          <w:p w14:paraId="153B8C85">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626" w:type="dxa"/>
            <w:gridSpan w:val="2"/>
            <w:tcBorders>
              <w:bottom w:val="single" w:color="auto" w:sz="4" w:space="0"/>
            </w:tcBorders>
            <w:noWrap w:val="0"/>
            <w:vAlign w:val="center"/>
          </w:tcPr>
          <w:p w14:paraId="53181780">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特殊时段在噪声敏感建筑物集中区域内从事产生噪声的施工作业</w:t>
            </w:r>
          </w:p>
        </w:tc>
        <w:tc>
          <w:tcPr>
            <w:tcW w:w="2981" w:type="dxa"/>
            <w:tcBorders>
              <w:bottom w:val="single" w:color="auto" w:sz="4" w:space="0"/>
            </w:tcBorders>
            <w:noWrap w:val="0"/>
            <w:vAlign w:val="center"/>
          </w:tcPr>
          <w:p w14:paraId="2D8FBB8B">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p>
          <w:p w14:paraId="398511D7">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处罚条款：第三十九条 责令停止违法行为，并处1万元以上3万元以下罚款</w:t>
            </w:r>
          </w:p>
        </w:tc>
        <w:tc>
          <w:tcPr>
            <w:tcW w:w="851" w:type="dxa"/>
            <w:noWrap w:val="0"/>
            <w:vAlign w:val="center"/>
          </w:tcPr>
          <w:p w14:paraId="60487745">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365D248C">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F249DB7">
            <w:pPr>
              <w:tabs>
                <w:tab w:val="left" w:pos="312"/>
              </w:tabs>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持续时间较长</w:t>
            </w:r>
            <w:r>
              <w:rPr>
                <w:rFonts w:hint="eastAsia" w:ascii="宋体" w:hAnsi="宋体" w:eastAsia="宋体"/>
                <w:color w:val="auto"/>
                <w:sz w:val="15"/>
                <w:szCs w:val="15"/>
                <w:highlight w:val="none"/>
                <w:lang w:eastAsia="zh-CN"/>
              </w:rPr>
              <w:t>（达到</w:t>
            </w:r>
            <w:r>
              <w:rPr>
                <w:rFonts w:hint="eastAsia" w:ascii="宋体" w:hAnsi="宋体" w:eastAsia="宋体"/>
                <w:color w:val="auto"/>
                <w:sz w:val="15"/>
                <w:szCs w:val="15"/>
                <w:highlight w:val="none"/>
                <w:lang w:val="en-US" w:eastAsia="zh-CN"/>
              </w:rPr>
              <w:t>3天及以上的</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rPr>
              <w:t>，或者造成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社会恶劣影响等情形，</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1；2.媒体曝光，造成不良社会影响的，系数2；3.在中（高）考考场周边的，系数2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3D35B56D">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4C11F916">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14:paraId="6AFD0EE0">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4CAA0D1">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18B4445E">
            <w:pPr>
              <w:keepNext w:val="0"/>
              <w:keepLines w:val="0"/>
              <w:widowControl/>
              <w:suppressLineNumbers w:val="0"/>
              <w:jc w:val="center"/>
              <w:textAlignment w:val="center"/>
              <w:rPr>
                <w:rFonts w:hint="eastAsia" w:ascii="宋体" w:hAnsi="宋体" w:eastAsia="宋体" w:cs="宋体"/>
                <w:color w:val="auto"/>
                <w:sz w:val="15"/>
                <w:szCs w:val="15"/>
                <w:highlight w:val="none"/>
                <w:lang w:eastAsia="zh"/>
              </w:rPr>
            </w:pPr>
            <w:r>
              <w:rPr>
                <w:rFonts w:hint="eastAsia" w:ascii="宋体" w:hAnsi="宋体" w:eastAsia="宋体" w:cs="宋体"/>
                <w:i w:val="0"/>
                <w:iCs w:val="0"/>
                <w:caps w:val="0"/>
                <w:color w:val="000000"/>
                <w:spacing w:val="0"/>
                <w:kern w:val="0"/>
                <w:sz w:val="15"/>
                <w:szCs w:val="15"/>
                <w:highlight w:val="none"/>
                <w:u w:val="none"/>
                <w:lang w:val="en-US" w:eastAsia="zh" w:bidi="ar"/>
              </w:rPr>
              <w:t>C4630200</w:t>
            </w:r>
          </w:p>
        </w:tc>
      </w:tr>
      <w:tr w14:paraId="16239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10" w:hRule="atLeast"/>
        </w:trPr>
        <w:tc>
          <w:tcPr>
            <w:tcW w:w="14587" w:type="dxa"/>
            <w:gridSpan w:val="13"/>
            <w:noWrap w:val="0"/>
            <w:vAlign w:val="center"/>
          </w:tcPr>
          <w:p w14:paraId="0B4BDB3A">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1"/>
                <w:szCs w:val="21"/>
                <w:highlight w:val="none"/>
              </w:rPr>
            </w:pPr>
            <w:bookmarkStart w:id="113" w:name="_Toc1791388183"/>
            <w:bookmarkStart w:id="114" w:name="_Toc110851472"/>
            <w:bookmarkStart w:id="115" w:name="_Toc193344115"/>
            <w:r>
              <w:rPr>
                <w:rStyle w:val="31"/>
                <w:rFonts w:hint="eastAsia" w:ascii="宋体" w:hAnsi="宋体" w:eastAsia="宋体"/>
                <w:color w:val="auto"/>
                <w:sz w:val="21"/>
                <w:szCs w:val="21"/>
                <w:highlight w:val="none"/>
              </w:rPr>
              <w:t>《中华人民共和国噪声污染防治法》案由</w:t>
            </w:r>
            <w:r>
              <w:rPr>
                <w:rStyle w:val="31"/>
                <w:rFonts w:hint="eastAsia" w:ascii="宋体" w:hAnsi="宋体" w:eastAsia="宋体"/>
                <w:color w:val="auto"/>
                <w:sz w:val="21"/>
                <w:szCs w:val="21"/>
                <w:highlight w:val="none"/>
                <w:lang w:val="en-US" w:eastAsia="zh-CN"/>
              </w:rPr>
              <w:t>6</w:t>
            </w:r>
            <w:r>
              <w:rPr>
                <w:rStyle w:val="31"/>
                <w:rFonts w:hint="eastAsia" w:ascii="宋体" w:hAnsi="宋体" w:eastAsia="宋体"/>
                <w:color w:val="auto"/>
                <w:sz w:val="21"/>
                <w:szCs w:val="21"/>
                <w:highlight w:val="none"/>
              </w:rPr>
              <w:t>项</w:t>
            </w:r>
            <w:bookmarkEnd w:id="113"/>
            <w:bookmarkEnd w:id="114"/>
            <w:bookmarkEnd w:id="115"/>
          </w:p>
        </w:tc>
        <w:tc>
          <w:tcPr>
            <w:tcW w:w="1869" w:type="dxa"/>
            <w:noWrap w:val="0"/>
            <w:vAlign w:val="center"/>
          </w:tcPr>
          <w:p w14:paraId="6EE73D58">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Style w:val="31"/>
                <w:rFonts w:hint="eastAsia" w:ascii="宋体" w:hAnsi="宋体" w:eastAsia="宋体" w:cs="宋体"/>
                <w:color w:val="auto"/>
                <w:sz w:val="15"/>
                <w:szCs w:val="15"/>
                <w:highlight w:val="none"/>
              </w:rPr>
            </w:pPr>
          </w:p>
        </w:tc>
      </w:tr>
      <w:tr w14:paraId="691FE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490" w:hRule="atLeast"/>
        </w:trPr>
        <w:tc>
          <w:tcPr>
            <w:tcW w:w="714" w:type="dxa"/>
            <w:noWrap w:val="0"/>
            <w:vAlign w:val="center"/>
          </w:tcPr>
          <w:p w14:paraId="5CC566E4">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1626" w:type="dxa"/>
            <w:gridSpan w:val="2"/>
            <w:noWrap w:val="0"/>
            <w:vAlign w:val="center"/>
          </w:tcPr>
          <w:p w14:paraId="001874A2">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未取得证明夜间施工</w:t>
            </w:r>
          </w:p>
        </w:tc>
        <w:tc>
          <w:tcPr>
            <w:tcW w:w="2981" w:type="dxa"/>
            <w:noWrap w:val="0"/>
            <w:vAlign w:val="center"/>
          </w:tcPr>
          <w:p w14:paraId="012E0327">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违反条款：第四十三条第二款；</w:t>
            </w:r>
          </w:p>
          <w:p w14:paraId="6222DCA3">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处罚条款：第七十七条第（二）项 责令改正，处一万元以上十万元以下的罚款；拒不改正的，可以责令暂停施工。</w:t>
            </w:r>
          </w:p>
        </w:tc>
        <w:tc>
          <w:tcPr>
            <w:tcW w:w="851" w:type="dxa"/>
            <w:noWrap w:val="0"/>
            <w:vAlign w:val="center"/>
          </w:tcPr>
          <w:p w14:paraId="3869723B">
            <w:pPr>
              <w:spacing w:line="220" w:lineRule="exact"/>
              <w:jc w:val="center"/>
              <w:rPr>
                <w:rFonts w:ascii="宋体" w:hAnsi="宋体" w:eastAsia="宋体" w:cs="宋体"/>
                <w:color w:val="auto"/>
                <w:kern w:val="0"/>
                <w:sz w:val="15"/>
                <w:szCs w:val="15"/>
                <w:highlight w:val="none"/>
              </w:rPr>
            </w:pPr>
            <w:r>
              <w:rPr>
                <w:rFonts w:ascii="宋体" w:hAnsi="宋体" w:eastAsia="宋体"/>
                <w:color w:val="auto"/>
                <w:sz w:val="15"/>
                <w:szCs w:val="15"/>
                <w:highlight w:val="none"/>
              </w:rPr>
              <w:t>10000</w:t>
            </w:r>
          </w:p>
        </w:tc>
        <w:tc>
          <w:tcPr>
            <w:tcW w:w="840" w:type="dxa"/>
            <w:noWrap w:val="0"/>
            <w:vAlign w:val="center"/>
          </w:tcPr>
          <w:p w14:paraId="366C473E">
            <w:pPr>
              <w:spacing w:line="22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16C089E1">
            <w:pPr>
              <w:spacing w:line="22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1.持续时间较长</w:t>
            </w:r>
            <w:r>
              <w:rPr>
                <w:rFonts w:hint="eastAsia" w:ascii="宋体" w:hAnsi="宋体" w:eastAsia="宋体"/>
                <w:color w:val="auto"/>
                <w:sz w:val="15"/>
                <w:szCs w:val="15"/>
                <w:highlight w:val="none"/>
                <w:lang w:eastAsia="zh-CN"/>
              </w:rPr>
              <w:t>（达到</w:t>
            </w:r>
            <w:r>
              <w:rPr>
                <w:rFonts w:hint="eastAsia" w:ascii="宋体" w:hAnsi="宋体" w:eastAsia="宋体"/>
                <w:color w:val="auto"/>
                <w:sz w:val="15"/>
                <w:szCs w:val="15"/>
                <w:highlight w:val="none"/>
                <w:lang w:val="en-US" w:eastAsia="zh-CN"/>
              </w:rPr>
              <w:t>3天及以上的</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w:t>
            </w:r>
            <w:r>
              <w:rPr>
                <w:rFonts w:hint="eastAsia" w:ascii="宋体" w:hAnsi="宋体" w:eastAsia="宋体"/>
                <w:b w:val="0"/>
                <w:bCs w:val="0"/>
                <w:color w:val="auto"/>
                <w:sz w:val="15"/>
                <w:szCs w:val="15"/>
                <w:highlight w:val="none"/>
              </w:rPr>
              <w:t>系数1-4</w:t>
            </w:r>
            <w:r>
              <w:rPr>
                <w:rFonts w:hint="eastAsia" w:ascii="宋体" w:hAnsi="宋体" w:eastAsia="宋体"/>
                <w:color w:val="auto"/>
                <w:sz w:val="15"/>
                <w:szCs w:val="15"/>
                <w:highlight w:val="none"/>
              </w:rPr>
              <w:t>；2.存在在中高考等特殊时段，投诉举报较多，媒体曝光，或者造成</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社会恶劣影响等情形的，系数5-9。</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45B5949B">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43E49AF0">
            <w:pPr>
              <w:spacing w:line="220" w:lineRule="exact"/>
              <w:rPr>
                <w:color w:val="auto"/>
                <w:highlight w:val="none"/>
              </w:rPr>
            </w:pPr>
            <w:r>
              <w:rPr>
                <w:rFonts w:hint="eastAsia" w:ascii="宋体" w:hAnsi="宋体" w:eastAsia="宋体"/>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c>
          <w:tcPr>
            <w:tcW w:w="1304" w:type="dxa"/>
            <w:gridSpan w:val="2"/>
            <w:noWrap w:val="0"/>
            <w:vAlign w:val="center"/>
          </w:tcPr>
          <w:p w14:paraId="4C31884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6330A8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2560FBE">
            <w:pPr>
              <w:keepNext w:val="0"/>
              <w:keepLines w:val="0"/>
              <w:widowControl/>
              <w:suppressLineNumbers w:val="0"/>
              <w:jc w:val="center"/>
              <w:textAlignment w:val="center"/>
              <w:rPr>
                <w:rFonts w:hint="eastAsia" w:ascii="宋体" w:hAnsi="宋体" w:eastAsia="宋体" w:cs="宋体"/>
                <w:color w:val="auto"/>
                <w:sz w:val="15"/>
                <w:szCs w:val="15"/>
                <w:highlight w:val="none"/>
                <w:lang w:eastAsia="zh"/>
              </w:rPr>
            </w:pPr>
            <w:r>
              <w:rPr>
                <w:rFonts w:hint="eastAsia" w:ascii="宋体" w:hAnsi="宋体" w:eastAsia="宋体" w:cs="宋体"/>
                <w:i w:val="0"/>
                <w:iCs w:val="0"/>
                <w:caps w:val="0"/>
                <w:color w:val="000000"/>
                <w:spacing w:val="0"/>
                <w:kern w:val="0"/>
                <w:sz w:val="15"/>
                <w:szCs w:val="15"/>
                <w:highlight w:val="none"/>
                <w:u w:val="none"/>
                <w:lang w:val="en-US" w:eastAsia="zh" w:bidi="ar"/>
              </w:rPr>
              <w:t>C4630300</w:t>
            </w:r>
          </w:p>
        </w:tc>
      </w:tr>
      <w:tr w14:paraId="0E96F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332" w:hRule="atLeast"/>
        </w:trPr>
        <w:tc>
          <w:tcPr>
            <w:tcW w:w="714" w:type="dxa"/>
            <w:vMerge w:val="restart"/>
            <w:noWrap w:val="0"/>
            <w:vAlign w:val="center"/>
          </w:tcPr>
          <w:p w14:paraId="1285C303">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2</w:t>
            </w:r>
          </w:p>
        </w:tc>
        <w:tc>
          <w:tcPr>
            <w:tcW w:w="1626" w:type="dxa"/>
            <w:gridSpan w:val="2"/>
            <w:vMerge w:val="restart"/>
            <w:noWrap w:val="0"/>
            <w:vAlign w:val="center"/>
          </w:tcPr>
          <w:p w14:paraId="32C7A8E3">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未按照规定制定噪声污染防治实施方案</w:t>
            </w:r>
          </w:p>
        </w:tc>
        <w:tc>
          <w:tcPr>
            <w:tcW w:w="2981" w:type="dxa"/>
            <w:vMerge w:val="restart"/>
            <w:noWrap w:val="0"/>
            <w:vAlign w:val="center"/>
          </w:tcPr>
          <w:p w14:paraId="7E85E08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违反条款：第四十条第二款 ；</w:t>
            </w:r>
          </w:p>
          <w:p w14:paraId="586F4C4A">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处罚条款：第七十八条第（二）项 责令改正，处五千元以上五万元以下的罚款；拒不改正的，处五万元以上二十万元以下的罚款。</w:t>
            </w:r>
          </w:p>
        </w:tc>
        <w:tc>
          <w:tcPr>
            <w:tcW w:w="851" w:type="dxa"/>
            <w:noWrap w:val="0"/>
            <w:vAlign w:val="center"/>
          </w:tcPr>
          <w:p w14:paraId="2ADE3B30">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14:paraId="2B75D600">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5BE39310">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2.造成投诉举报较多，或者其他社会恶劣影响的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5003BCC5">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3F38406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1.大型建设工程</w:t>
            </w:r>
            <w:r>
              <w:rPr>
                <w:rFonts w:hint="eastAsia" w:ascii="宋体" w:hAnsi="宋体" w:eastAsia="宋体"/>
                <w:color w:val="auto"/>
                <w:sz w:val="15"/>
                <w:szCs w:val="15"/>
                <w:highlight w:val="none"/>
                <w:lang w:val="en"/>
              </w:rPr>
              <w:t>是指</w:t>
            </w:r>
            <w:r>
              <w:rPr>
                <w:rFonts w:hint="eastAsia" w:ascii="宋体" w:hAnsi="宋体" w:eastAsia="宋体"/>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14:paraId="10CC1411">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c>
          <w:tcPr>
            <w:tcW w:w="1304" w:type="dxa"/>
            <w:gridSpan w:val="2"/>
            <w:vMerge w:val="restart"/>
            <w:noWrap w:val="0"/>
            <w:vAlign w:val="center"/>
          </w:tcPr>
          <w:p w14:paraId="7AA67C7E">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ED09E2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9ACF75C">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C4630100</w:t>
            </w:r>
          </w:p>
        </w:tc>
      </w:tr>
      <w:tr w14:paraId="45BC7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04" w:hRule="atLeast"/>
        </w:trPr>
        <w:tc>
          <w:tcPr>
            <w:tcW w:w="714" w:type="dxa"/>
            <w:vMerge w:val="continue"/>
            <w:noWrap w:val="0"/>
            <w:vAlign w:val="center"/>
          </w:tcPr>
          <w:p w14:paraId="73437C18">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57297356">
            <w:pPr>
              <w:spacing w:line="232" w:lineRule="exact"/>
              <w:jc w:val="left"/>
              <w:rPr>
                <w:rFonts w:ascii="宋体" w:hAnsi="宋体" w:eastAsia="宋体" w:cs="宋体"/>
                <w:color w:val="auto"/>
                <w:kern w:val="0"/>
                <w:sz w:val="15"/>
                <w:szCs w:val="15"/>
                <w:highlight w:val="none"/>
              </w:rPr>
            </w:pPr>
          </w:p>
        </w:tc>
        <w:tc>
          <w:tcPr>
            <w:tcW w:w="2981" w:type="dxa"/>
            <w:vMerge w:val="continue"/>
            <w:noWrap w:val="0"/>
            <w:vAlign w:val="center"/>
          </w:tcPr>
          <w:p w14:paraId="22D107F7">
            <w:pPr>
              <w:spacing w:line="232" w:lineRule="exact"/>
              <w:jc w:val="left"/>
              <w:rPr>
                <w:rFonts w:ascii="宋体" w:hAnsi="宋体" w:eastAsia="宋体" w:cs="宋体"/>
                <w:color w:val="auto"/>
                <w:kern w:val="0"/>
                <w:sz w:val="15"/>
                <w:szCs w:val="15"/>
                <w:highlight w:val="none"/>
              </w:rPr>
            </w:pPr>
          </w:p>
        </w:tc>
        <w:tc>
          <w:tcPr>
            <w:tcW w:w="851" w:type="dxa"/>
            <w:noWrap w:val="0"/>
            <w:vAlign w:val="center"/>
          </w:tcPr>
          <w:p w14:paraId="32B63FB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50000（拒不改正）</w:t>
            </w:r>
          </w:p>
        </w:tc>
        <w:tc>
          <w:tcPr>
            <w:tcW w:w="840" w:type="dxa"/>
            <w:noWrap w:val="0"/>
            <w:vAlign w:val="center"/>
          </w:tcPr>
          <w:p w14:paraId="60A4BFC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3B337A3F">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2.造成投诉举报较多，或者其他社会恶劣影响的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1F6DA164">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528A06C3">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vMerge w:val="continue"/>
            <w:noWrap w:val="0"/>
            <w:vAlign w:val="center"/>
          </w:tcPr>
          <w:p w14:paraId="66B35FA8">
            <w:pPr>
              <w:spacing w:line="232" w:lineRule="exact"/>
              <w:jc w:val="center"/>
              <w:rPr>
                <w:rFonts w:ascii="宋体" w:hAnsi="宋体" w:eastAsia="宋体"/>
                <w:color w:val="auto"/>
                <w:sz w:val="15"/>
                <w:szCs w:val="15"/>
                <w:highlight w:val="none"/>
              </w:rPr>
            </w:pPr>
          </w:p>
        </w:tc>
        <w:tc>
          <w:tcPr>
            <w:tcW w:w="1869" w:type="dxa"/>
            <w:noWrap w:val="0"/>
            <w:vAlign w:val="center"/>
          </w:tcPr>
          <w:p w14:paraId="265FBA50">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C4630100</w:t>
            </w:r>
          </w:p>
        </w:tc>
      </w:tr>
      <w:tr w14:paraId="1F38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93" w:hRule="atLeast"/>
        </w:trPr>
        <w:tc>
          <w:tcPr>
            <w:tcW w:w="714" w:type="dxa"/>
            <w:vMerge w:val="restart"/>
            <w:noWrap w:val="0"/>
            <w:vAlign w:val="center"/>
          </w:tcPr>
          <w:p w14:paraId="3E1945F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w:t>
            </w:r>
          </w:p>
        </w:tc>
        <w:tc>
          <w:tcPr>
            <w:tcW w:w="1626" w:type="dxa"/>
            <w:gridSpan w:val="2"/>
            <w:vMerge w:val="restart"/>
            <w:noWrap w:val="0"/>
            <w:vAlign w:val="center"/>
          </w:tcPr>
          <w:p w14:paraId="1B006781">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建设单位夜间施工未按照规定公告</w:t>
            </w:r>
          </w:p>
        </w:tc>
        <w:tc>
          <w:tcPr>
            <w:tcW w:w="2981" w:type="dxa"/>
            <w:vMerge w:val="restart"/>
            <w:noWrap w:val="0"/>
            <w:vAlign w:val="center"/>
          </w:tcPr>
          <w:p w14:paraId="003CC38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违反条款：第四十三条第二款；</w:t>
            </w:r>
          </w:p>
          <w:p w14:paraId="55738A37">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处罚条款：第七十八条第（四）项，责令改正，处五千元以上五万元以下的罚款；拒不改正的，处五万元以上二十万元以下的罚款</w:t>
            </w:r>
          </w:p>
        </w:tc>
        <w:tc>
          <w:tcPr>
            <w:tcW w:w="851" w:type="dxa"/>
            <w:noWrap w:val="0"/>
            <w:vAlign w:val="center"/>
          </w:tcPr>
          <w:p w14:paraId="1A09A87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14:paraId="7A3BBE73">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3F54B74F">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1.未公告</w:t>
            </w:r>
            <w:r>
              <w:rPr>
                <w:rFonts w:hint="eastAsia" w:ascii="宋体" w:hAnsi="宋体" w:eastAsia="宋体"/>
                <w:color w:val="auto"/>
                <w:sz w:val="15"/>
                <w:szCs w:val="15"/>
                <w:highlight w:val="none"/>
                <w:lang w:val="en"/>
              </w:rPr>
              <w:t>持续</w:t>
            </w:r>
            <w:r>
              <w:rPr>
                <w:rFonts w:hint="eastAsia" w:ascii="宋体" w:hAnsi="宋体" w:eastAsia="宋体"/>
                <w:color w:val="auto"/>
                <w:sz w:val="15"/>
                <w:szCs w:val="15"/>
                <w:highlight w:val="none"/>
              </w:rPr>
              <w:t>时间较长，或者公告内容不全的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eastAsia="zh-CN"/>
              </w:rPr>
              <w:t>。</w:t>
            </w:r>
            <w:r>
              <w:rPr>
                <w:rFonts w:ascii="宋体" w:hAnsi="宋体" w:eastAsia="宋体"/>
                <w:color w:val="auto"/>
                <w:sz w:val="15"/>
                <w:szCs w:val="15"/>
                <w:highlight w:val="none"/>
                <w:lang w:val="en"/>
              </w:rPr>
              <w:t>2.</w:t>
            </w:r>
            <w:r>
              <w:rPr>
                <w:rFonts w:hint="eastAsia" w:ascii="宋体" w:hAnsi="宋体" w:eastAsia="宋体"/>
                <w:color w:val="auto"/>
                <w:sz w:val="15"/>
                <w:szCs w:val="15"/>
                <w:highlight w:val="none"/>
              </w:rPr>
              <w:t>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08E1967E">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17777819">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《北京市环境噪声污染防治办法》的“进行夜间施工作业未公告相关内容”停止执行。</w:t>
            </w:r>
          </w:p>
        </w:tc>
        <w:tc>
          <w:tcPr>
            <w:tcW w:w="1304" w:type="dxa"/>
            <w:gridSpan w:val="2"/>
            <w:vMerge w:val="restart"/>
            <w:noWrap w:val="0"/>
            <w:vAlign w:val="center"/>
          </w:tcPr>
          <w:p w14:paraId="499E97E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F25B53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6BB911D4">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C4630400</w:t>
            </w:r>
          </w:p>
        </w:tc>
      </w:tr>
      <w:tr w14:paraId="7541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03" w:hRule="atLeast"/>
        </w:trPr>
        <w:tc>
          <w:tcPr>
            <w:tcW w:w="714" w:type="dxa"/>
            <w:vMerge w:val="continue"/>
            <w:noWrap w:val="0"/>
            <w:vAlign w:val="center"/>
          </w:tcPr>
          <w:p w14:paraId="4F78601F">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03DBDBB1">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14:paraId="363A1C08">
            <w:pPr>
              <w:spacing w:line="232" w:lineRule="exact"/>
              <w:rPr>
                <w:rFonts w:ascii="宋体" w:hAnsi="宋体" w:eastAsia="宋体" w:cs="宋体"/>
                <w:color w:val="auto"/>
                <w:kern w:val="0"/>
                <w:sz w:val="15"/>
                <w:szCs w:val="15"/>
                <w:highlight w:val="none"/>
              </w:rPr>
            </w:pPr>
          </w:p>
        </w:tc>
        <w:tc>
          <w:tcPr>
            <w:tcW w:w="851" w:type="dxa"/>
            <w:noWrap w:val="0"/>
            <w:vAlign w:val="center"/>
          </w:tcPr>
          <w:p w14:paraId="6AA6809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50000（拒不改正）</w:t>
            </w:r>
          </w:p>
        </w:tc>
        <w:tc>
          <w:tcPr>
            <w:tcW w:w="840" w:type="dxa"/>
            <w:noWrap w:val="0"/>
            <w:vAlign w:val="center"/>
          </w:tcPr>
          <w:p w14:paraId="5810CC3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0330B17C">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1.未公告</w:t>
            </w:r>
            <w:r>
              <w:rPr>
                <w:rFonts w:hint="eastAsia" w:ascii="宋体" w:hAnsi="宋体" w:eastAsia="宋体"/>
                <w:color w:val="auto"/>
                <w:sz w:val="15"/>
                <w:szCs w:val="15"/>
                <w:highlight w:val="none"/>
                <w:lang w:val="en"/>
              </w:rPr>
              <w:t>持续</w:t>
            </w:r>
            <w:r>
              <w:rPr>
                <w:rFonts w:hint="eastAsia" w:ascii="宋体" w:hAnsi="宋体" w:eastAsia="宋体"/>
                <w:color w:val="auto"/>
                <w:sz w:val="15"/>
                <w:szCs w:val="15"/>
                <w:highlight w:val="none"/>
              </w:rPr>
              <w:t>时间较长，或者公告内容不全</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eastAsia="宋体"/>
                <w:color w:val="auto"/>
                <w:sz w:val="15"/>
                <w:szCs w:val="15"/>
                <w:highlight w:val="none"/>
                <w:lang w:val="en" w:eastAsia="zh-CN"/>
              </w:rPr>
              <w:t>。</w:t>
            </w:r>
            <w:r>
              <w:rPr>
                <w:rFonts w:ascii="宋体" w:hAnsi="宋体" w:eastAsia="宋体"/>
                <w:color w:val="auto"/>
                <w:sz w:val="15"/>
                <w:szCs w:val="15"/>
                <w:highlight w:val="none"/>
                <w:lang w:val="en"/>
              </w:rPr>
              <w:t>2.</w:t>
            </w:r>
            <w:r>
              <w:rPr>
                <w:rFonts w:hint="eastAsia" w:ascii="宋体" w:hAnsi="宋体" w:eastAsia="宋体"/>
                <w:color w:val="auto"/>
                <w:sz w:val="15"/>
                <w:szCs w:val="15"/>
                <w:highlight w:val="none"/>
              </w:rPr>
              <w:t>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75AD32C1">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5FA701F8">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vMerge w:val="continue"/>
            <w:noWrap w:val="0"/>
            <w:vAlign w:val="center"/>
          </w:tcPr>
          <w:p w14:paraId="63B67BC3">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14:paraId="184AFF22">
            <w:pPr>
              <w:keepNext w:val="0"/>
              <w:keepLines w:val="0"/>
              <w:widowControl/>
              <w:suppressLineNumbers w:val="0"/>
              <w:jc w:val="center"/>
              <w:textAlignment w:val="center"/>
              <w:rPr>
                <w:rFonts w:hint="eastAsia" w:ascii="宋体" w:hAnsi="宋体" w:eastAsia="宋体" w:cs="宋体"/>
                <w:color w:val="auto"/>
                <w:sz w:val="15"/>
                <w:szCs w:val="15"/>
                <w:highlight w:val="none"/>
              </w:rPr>
            </w:pPr>
          </w:p>
        </w:tc>
      </w:tr>
      <w:tr w14:paraId="1FC6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03" w:hRule="atLeast"/>
        </w:trPr>
        <w:tc>
          <w:tcPr>
            <w:tcW w:w="714" w:type="dxa"/>
            <w:noWrap w:val="0"/>
            <w:vAlign w:val="center"/>
          </w:tcPr>
          <w:p w14:paraId="259E8CA1">
            <w:pPr>
              <w:spacing w:line="232" w:lineRule="exact"/>
              <w:jc w:val="center"/>
              <w:rPr>
                <w:rFonts w:hint="eastAsia" w:ascii="宋体" w:hAnsi="宋体" w:eastAsia="宋体" w:cs="宋体"/>
                <w:color w:val="auto"/>
                <w:kern w:val="0"/>
                <w:sz w:val="15"/>
                <w:szCs w:val="15"/>
                <w:highlight w:val="none"/>
                <w:lang w:val="en-US" w:eastAsia="zh-CN"/>
              </w:rPr>
            </w:pPr>
            <w:bookmarkStart w:id="116" w:name="_Toc110851473"/>
            <w:bookmarkStart w:id="117" w:name="_Toc760985315"/>
            <w:r>
              <w:rPr>
                <w:rFonts w:hint="eastAsia" w:ascii="宋体" w:hAnsi="宋体" w:eastAsia="宋体" w:cs="宋体"/>
                <w:color w:val="auto"/>
                <w:kern w:val="0"/>
                <w:sz w:val="15"/>
                <w:szCs w:val="15"/>
                <w:highlight w:val="none"/>
                <w:lang w:val="en-US" w:eastAsia="zh-CN"/>
              </w:rPr>
              <w:t>4</w:t>
            </w:r>
          </w:p>
        </w:tc>
        <w:tc>
          <w:tcPr>
            <w:tcW w:w="1626" w:type="dxa"/>
            <w:gridSpan w:val="2"/>
            <w:noWrap w:val="0"/>
            <w:vAlign w:val="center"/>
          </w:tcPr>
          <w:p w14:paraId="5C7FDE10">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981" w:type="dxa"/>
            <w:noWrap w:val="0"/>
            <w:vAlign w:val="center"/>
          </w:tcPr>
          <w:p w14:paraId="410B049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14:paraId="02F9BD3F">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noWrap w:val="0"/>
            <w:vAlign w:val="center"/>
          </w:tcPr>
          <w:p w14:paraId="14DADD1E">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noWrap w:val="0"/>
            <w:vAlign w:val="center"/>
          </w:tcPr>
          <w:p w14:paraId="03CF8703">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76" w:type="dxa"/>
            <w:noWrap w:val="0"/>
            <w:vAlign w:val="center"/>
          </w:tcPr>
          <w:p w14:paraId="74B6C497">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或者投诉举报较多的，系数2</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2.存在较大安全隐患或者造成社会恶劣影响的，系数3。</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5ECBC84A">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1B97E121">
            <w:pPr>
              <w:spacing w:line="232" w:lineRule="exact"/>
              <w:rPr>
                <w:rFonts w:hint="eastAsia" w:ascii="宋体" w:hAnsi="宋体" w:eastAsia="宋体"/>
                <w:color w:val="auto"/>
                <w:sz w:val="15"/>
                <w:szCs w:val="15"/>
                <w:highlight w:val="none"/>
              </w:rPr>
            </w:pPr>
          </w:p>
        </w:tc>
        <w:tc>
          <w:tcPr>
            <w:tcW w:w="1304" w:type="dxa"/>
            <w:gridSpan w:val="2"/>
            <w:noWrap w:val="0"/>
            <w:vAlign w:val="center"/>
          </w:tcPr>
          <w:p w14:paraId="74F6BFD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72BD05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79D7F79">
            <w:pPr>
              <w:keepNext w:val="0"/>
              <w:keepLines w:val="0"/>
              <w:widowControl/>
              <w:suppressLineNumbers w:val="0"/>
              <w:jc w:val="center"/>
              <w:textAlignment w:val="center"/>
              <w:rPr>
                <w:rFonts w:hint="eastAsia" w:ascii="宋体" w:hAnsi="宋体" w:eastAsia="宋体" w:cs="宋体"/>
                <w:color w:val="auto"/>
                <w:sz w:val="15"/>
                <w:szCs w:val="15"/>
                <w:highlight w:val="none"/>
                <w:lang w:eastAsia="zh"/>
              </w:rPr>
            </w:pPr>
            <w:r>
              <w:rPr>
                <w:rFonts w:hint="eastAsia" w:ascii="宋体" w:hAnsi="宋体" w:eastAsia="宋体" w:cs="宋体"/>
                <w:i w:val="0"/>
                <w:iCs w:val="0"/>
                <w:caps w:val="0"/>
                <w:color w:val="000000"/>
                <w:spacing w:val="0"/>
                <w:kern w:val="0"/>
                <w:sz w:val="15"/>
                <w:szCs w:val="15"/>
                <w:highlight w:val="none"/>
                <w:u w:val="none"/>
                <w:lang w:val="en-US" w:eastAsia="zh" w:bidi="ar"/>
              </w:rPr>
              <w:t>C4685300</w:t>
            </w:r>
          </w:p>
        </w:tc>
      </w:tr>
      <w:tr w14:paraId="7574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03" w:hRule="atLeast"/>
        </w:trPr>
        <w:tc>
          <w:tcPr>
            <w:tcW w:w="714" w:type="dxa"/>
            <w:vMerge w:val="restart"/>
            <w:noWrap w:val="0"/>
            <w:vAlign w:val="center"/>
          </w:tcPr>
          <w:p w14:paraId="07D6F540">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w:t>
            </w:r>
          </w:p>
        </w:tc>
        <w:tc>
          <w:tcPr>
            <w:tcW w:w="1626" w:type="dxa"/>
            <w:gridSpan w:val="2"/>
            <w:vMerge w:val="restart"/>
            <w:noWrap w:val="0"/>
            <w:vAlign w:val="center"/>
          </w:tcPr>
          <w:p w14:paraId="67857AC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981" w:type="dxa"/>
            <w:vMerge w:val="restart"/>
            <w:noWrap w:val="0"/>
            <w:vAlign w:val="center"/>
          </w:tcPr>
          <w:p w14:paraId="465B7FB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14:paraId="754A7E4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noWrap w:val="0"/>
            <w:vAlign w:val="center"/>
          </w:tcPr>
          <w:p w14:paraId="4320937D">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noWrap w:val="0"/>
            <w:vAlign w:val="center"/>
          </w:tcPr>
          <w:p w14:paraId="44A08265">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p>
        </w:tc>
        <w:tc>
          <w:tcPr>
            <w:tcW w:w="2376" w:type="dxa"/>
            <w:noWrap w:val="0"/>
            <w:vAlign w:val="center"/>
          </w:tcPr>
          <w:p w14:paraId="12F876F3">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color w:val="auto"/>
                <w:sz w:val="15"/>
                <w:szCs w:val="15"/>
                <w:highlight w:val="none"/>
                <w:lang w:val="en"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1A5BEDD6">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29280799">
            <w:pPr>
              <w:spacing w:line="232" w:lineRule="exact"/>
              <w:rPr>
                <w:rFonts w:hint="eastAsia" w:ascii="宋体" w:hAnsi="宋体" w:eastAsia="宋体"/>
                <w:color w:val="auto"/>
                <w:sz w:val="15"/>
                <w:szCs w:val="15"/>
                <w:highlight w:val="none"/>
              </w:rPr>
            </w:pPr>
          </w:p>
        </w:tc>
        <w:tc>
          <w:tcPr>
            <w:tcW w:w="1304" w:type="dxa"/>
            <w:gridSpan w:val="2"/>
            <w:vMerge w:val="restart"/>
            <w:noWrap w:val="0"/>
            <w:vAlign w:val="center"/>
          </w:tcPr>
          <w:p w14:paraId="00D8CF0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FC1857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1BA50936">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C4685400</w:t>
            </w:r>
          </w:p>
        </w:tc>
      </w:tr>
      <w:tr w14:paraId="58BE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03" w:hRule="atLeast"/>
        </w:trPr>
        <w:tc>
          <w:tcPr>
            <w:tcW w:w="714" w:type="dxa"/>
            <w:vMerge w:val="continue"/>
            <w:noWrap w:val="0"/>
            <w:vAlign w:val="center"/>
          </w:tcPr>
          <w:p w14:paraId="6FAE1C4A">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016B46CE">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14:paraId="0572E517">
            <w:pPr>
              <w:spacing w:line="232" w:lineRule="exact"/>
              <w:rPr>
                <w:rFonts w:ascii="宋体" w:hAnsi="宋体" w:eastAsia="宋体" w:cs="宋体"/>
                <w:color w:val="auto"/>
                <w:kern w:val="0"/>
                <w:sz w:val="15"/>
                <w:szCs w:val="15"/>
                <w:highlight w:val="none"/>
              </w:rPr>
            </w:pPr>
          </w:p>
        </w:tc>
        <w:tc>
          <w:tcPr>
            <w:tcW w:w="851" w:type="dxa"/>
            <w:noWrap w:val="0"/>
            <w:vAlign w:val="center"/>
          </w:tcPr>
          <w:p w14:paraId="35D4D5E9">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noWrap w:val="0"/>
            <w:vAlign w:val="center"/>
          </w:tcPr>
          <w:p w14:paraId="4D9040C7">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p>
        </w:tc>
        <w:tc>
          <w:tcPr>
            <w:tcW w:w="2376" w:type="dxa"/>
            <w:noWrap w:val="0"/>
            <w:vAlign w:val="center"/>
          </w:tcPr>
          <w:p w14:paraId="3D5288D6">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52262416">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64CAEC87">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vMerge w:val="continue"/>
            <w:noWrap w:val="0"/>
            <w:vAlign w:val="center"/>
          </w:tcPr>
          <w:p w14:paraId="60069A7B">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14:paraId="1196277D">
            <w:pPr>
              <w:keepNext w:val="0"/>
              <w:keepLines w:val="0"/>
              <w:widowControl/>
              <w:suppressLineNumbers w:val="0"/>
              <w:jc w:val="center"/>
              <w:textAlignment w:val="center"/>
              <w:rPr>
                <w:rFonts w:hint="eastAsia" w:ascii="宋体" w:hAnsi="宋体" w:eastAsia="宋体" w:cs="宋体"/>
                <w:color w:val="auto"/>
                <w:sz w:val="15"/>
                <w:szCs w:val="15"/>
                <w:highlight w:val="none"/>
              </w:rPr>
            </w:pPr>
          </w:p>
        </w:tc>
      </w:tr>
      <w:tr w14:paraId="59CE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03" w:hRule="atLeast"/>
        </w:trPr>
        <w:tc>
          <w:tcPr>
            <w:tcW w:w="714" w:type="dxa"/>
            <w:vMerge w:val="restart"/>
            <w:noWrap w:val="0"/>
            <w:vAlign w:val="center"/>
          </w:tcPr>
          <w:p w14:paraId="092A01BD">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626" w:type="dxa"/>
            <w:gridSpan w:val="2"/>
            <w:vMerge w:val="restart"/>
            <w:noWrap w:val="0"/>
            <w:vAlign w:val="center"/>
          </w:tcPr>
          <w:p w14:paraId="3C4496A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981" w:type="dxa"/>
            <w:vMerge w:val="restart"/>
            <w:noWrap w:val="0"/>
            <w:vAlign w:val="center"/>
          </w:tcPr>
          <w:p w14:paraId="71D4505E">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14:paraId="659C1E4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noWrap w:val="0"/>
            <w:vAlign w:val="center"/>
          </w:tcPr>
          <w:p w14:paraId="22415DEA">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noWrap w:val="0"/>
            <w:vAlign w:val="center"/>
          </w:tcPr>
          <w:p w14:paraId="63FE751A">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2376" w:type="dxa"/>
            <w:noWrap w:val="0"/>
            <w:vAlign w:val="center"/>
          </w:tcPr>
          <w:p w14:paraId="1037F6E3">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6CD079D7">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7F43A910">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14:paraId="2487C361">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c>
          <w:tcPr>
            <w:tcW w:w="1304" w:type="dxa"/>
            <w:gridSpan w:val="2"/>
            <w:vMerge w:val="restart"/>
            <w:noWrap w:val="0"/>
            <w:vAlign w:val="center"/>
          </w:tcPr>
          <w:p w14:paraId="57ADE91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5D9041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1DCF9FE4">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C4630100</w:t>
            </w:r>
          </w:p>
        </w:tc>
      </w:tr>
      <w:tr w14:paraId="7F2FC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03" w:hRule="atLeast"/>
        </w:trPr>
        <w:tc>
          <w:tcPr>
            <w:tcW w:w="714" w:type="dxa"/>
            <w:vMerge w:val="continue"/>
            <w:noWrap w:val="0"/>
            <w:vAlign w:val="center"/>
          </w:tcPr>
          <w:p w14:paraId="1C2DDBC1">
            <w:pPr>
              <w:spacing w:line="232" w:lineRule="exact"/>
              <w:jc w:val="center"/>
              <w:rPr>
                <w:rFonts w:hint="eastAsia" w:ascii="宋体" w:hAnsi="宋体" w:eastAsia="宋体" w:cs="宋体"/>
                <w:color w:val="auto"/>
                <w:kern w:val="0"/>
                <w:sz w:val="15"/>
                <w:szCs w:val="15"/>
                <w:highlight w:val="none"/>
                <w:lang w:val="en-US" w:eastAsia="zh-CN"/>
              </w:rPr>
            </w:pPr>
          </w:p>
        </w:tc>
        <w:tc>
          <w:tcPr>
            <w:tcW w:w="1626" w:type="dxa"/>
            <w:gridSpan w:val="2"/>
            <w:vMerge w:val="continue"/>
            <w:noWrap w:val="0"/>
            <w:vAlign w:val="center"/>
          </w:tcPr>
          <w:p w14:paraId="7263C764">
            <w:pPr>
              <w:spacing w:line="232" w:lineRule="exact"/>
              <w:rPr>
                <w:rFonts w:hint="eastAsia" w:ascii="宋体" w:hAnsi="宋体" w:eastAsia="宋体" w:cs="宋体"/>
                <w:color w:val="auto"/>
                <w:kern w:val="0"/>
                <w:sz w:val="15"/>
                <w:szCs w:val="15"/>
                <w:highlight w:val="none"/>
              </w:rPr>
            </w:pPr>
          </w:p>
        </w:tc>
        <w:tc>
          <w:tcPr>
            <w:tcW w:w="2981" w:type="dxa"/>
            <w:vMerge w:val="continue"/>
            <w:noWrap w:val="0"/>
            <w:vAlign w:val="center"/>
          </w:tcPr>
          <w:p w14:paraId="4ACAEF9C">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4EB3781B">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noWrap w:val="0"/>
            <w:vAlign w:val="center"/>
          </w:tcPr>
          <w:p w14:paraId="0D1DBD61">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76" w:type="dxa"/>
            <w:noWrap w:val="0"/>
            <w:vAlign w:val="center"/>
          </w:tcPr>
          <w:p w14:paraId="7A42F5D0">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6A36A294">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445E7404">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vMerge w:val="continue"/>
            <w:noWrap w:val="0"/>
            <w:vAlign w:val="center"/>
          </w:tcPr>
          <w:p w14:paraId="5AC5FE47">
            <w:pPr>
              <w:spacing w:line="232" w:lineRule="exact"/>
              <w:jc w:val="center"/>
              <w:rPr>
                <w:rFonts w:hint="eastAsia" w:ascii="宋体" w:hAnsi="宋体" w:eastAsia="宋体"/>
                <w:color w:val="auto"/>
                <w:sz w:val="15"/>
                <w:szCs w:val="15"/>
                <w:highlight w:val="none"/>
              </w:rPr>
            </w:pPr>
          </w:p>
        </w:tc>
        <w:tc>
          <w:tcPr>
            <w:tcW w:w="1869" w:type="dxa"/>
            <w:vMerge w:val="continue"/>
            <w:noWrap w:val="0"/>
            <w:vAlign w:val="center"/>
          </w:tcPr>
          <w:p w14:paraId="5329F434">
            <w:pPr>
              <w:keepNext w:val="0"/>
              <w:keepLines w:val="0"/>
              <w:widowControl/>
              <w:suppressLineNumbers w:val="0"/>
              <w:jc w:val="center"/>
              <w:textAlignment w:val="center"/>
              <w:rPr>
                <w:rFonts w:hint="eastAsia" w:ascii="宋体" w:hAnsi="宋体" w:eastAsia="宋体" w:cs="宋体"/>
                <w:color w:val="000000"/>
                <w:sz w:val="15"/>
                <w:szCs w:val="15"/>
                <w:highlight w:val="none"/>
              </w:rPr>
            </w:pPr>
          </w:p>
        </w:tc>
      </w:tr>
      <w:tr w14:paraId="48A5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31" w:hRule="atLeast"/>
        </w:trPr>
        <w:tc>
          <w:tcPr>
            <w:tcW w:w="14587" w:type="dxa"/>
            <w:gridSpan w:val="13"/>
            <w:noWrap w:val="0"/>
            <w:vAlign w:val="center"/>
          </w:tcPr>
          <w:p w14:paraId="0532C56B">
            <w:pPr>
              <w:pStyle w:val="2"/>
              <w:keepNext w:val="0"/>
              <w:keepLines w:val="0"/>
              <w:rPr>
                <w:rFonts w:ascii="黑体" w:hAnsi="黑体" w:eastAsia="黑体"/>
                <w:b w:val="0"/>
                <w:color w:val="auto"/>
                <w:sz w:val="24"/>
                <w:szCs w:val="24"/>
                <w:highlight w:val="none"/>
              </w:rPr>
            </w:pPr>
            <w:bookmarkStart w:id="118" w:name="_Toc640564770"/>
            <w:r>
              <w:rPr>
                <w:rFonts w:hint="eastAsia" w:ascii="黑体" w:hAnsi="黑体" w:eastAsia="黑体"/>
                <w:b w:val="0"/>
                <w:color w:val="auto"/>
                <w:sz w:val="28"/>
                <w:szCs w:val="28"/>
                <w:highlight w:val="none"/>
              </w:rPr>
              <w:t>施工现场管理方面</w:t>
            </w:r>
            <w:bookmarkEnd w:id="116"/>
            <w:bookmarkEnd w:id="117"/>
            <w:bookmarkEnd w:id="118"/>
          </w:p>
        </w:tc>
        <w:tc>
          <w:tcPr>
            <w:tcW w:w="1869" w:type="dxa"/>
            <w:noWrap w:val="0"/>
            <w:vAlign w:val="center"/>
          </w:tcPr>
          <w:p w14:paraId="1EE4A96F">
            <w:pPr>
              <w:pStyle w:val="2"/>
              <w:keepNext w:val="0"/>
              <w:keepLines w:val="0"/>
              <w:rPr>
                <w:rFonts w:hint="eastAsia" w:ascii="宋体" w:hAnsi="宋体" w:eastAsia="宋体" w:cs="宋体"/>
                <w:b w:val="0"/>
                <w:color w:val="auto"/>
                <w:sz w:val="15"/>
                <w:szCs w:val="15"/>
                <w:highlight w:val="none"/>
              </w:rPr>
            </w:pPr>
          </w:p>
        </w:tc>
      </w:tr>
      <w:tr w14:paraId="1C9B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75" w:hRule="atLeast"/>
        </w:trPr>
        <w:tc>
          <w:tcPr>
            <w:tcW w:w="14587" w:type="dxa"/>
            <w:gridSpan w:val="13"/>
            <w:noWrap w:val="0"/>
            <w:vAlign w:val="center"/>
          </w:tcPr>
          <w:p w14:paraId="788622F1">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19" w:name="_Toc1669927446"/>
            <w:bookmarkStart w:id="120" w:name="_Toc1019648660"/>
            <w:bookmarkStart w:id="121" w:name="_Toc110851474"/>
            <w:r>
              <w:rPr>
                <w:rFonts w:hint="eastAsia" w:ascii="宋体" w:hAnsi="宋体" w:eastAsia="宋体"/>
                <w:color w:val="auto"/>
                <w:sz w:val="21"/>
                <w:szCs w:val="21"/>
                <w:highlight w:val="none"/>
              </w:rPr>
              <w:t>《北京市大气污染防治条例》施工现场执法案由16项</w:t>
            </w:r>
            <w:bookmarkEnd w:id="119"/>
            <w:bookmarkEnd w:id="120"/>
            <w:bookmarkEnd w:id="121"/>
          </w:p>
        </w:tc>
        <w:tc>
          <w:tcPr>
            <w:tcW w:w="1869" w:type="dxa"/>
            <w:noWrap w:val="0"/>
            <w:vAlign w:val="center"/>
          </w:tcPr>
          <w:p w14:paraId="55F68D0E">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highlight w:val="none"/>
              </w:rPr>
            </w:pPr>
          </w:p>
        </w:tc>
      </w:tr>
      <w:tr w14:paraId="1ABA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07" w:hRule="atLeast"/>
        </w:trPr>
        <w:tc>
          <w:tcPr>
            <w:tcW w:w="714" w:type="dxa"/>
            <w:noWrap w:val="0"/>
            <w:vAlign w:val="center"/>
          </w:tcPr>
          <w:p w14:paraId="366E603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316848C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建设单位未按标准设置围挡</w:t>
            </w:r>
          </w:p>
        </w:tc>
        <w:tc>
          <w:tcPr>
            <w:tcW w:w="2981" w:type="dxa"/>
            <w:noWrap w:val="0"/>
            <w:vAlign w:val="center"/>
          </w:tcPr>
          <w:p w14:paraId="7244BE2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违反条款：第八十一条第一款第（一）项</w:t>
            </w:r>
          </w:p>
          <w:p w14:paraId="5EF139D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noWrap w:val="0"/>
            <w:vAlign w:val="center"/>
          </w:tcPr>
          <w:p w14:paraId="419A2ED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14666A6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18601FB5">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1.未按标准设置围挡长度16-30米的，系数1；31-45米的，系数2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未按规定设置围挡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053332A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59D443A3">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6898FC9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0CD36E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77BCF2C">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C4626500</w:t>
            </w:r>
          </w:p>
        </w:tc>
      </w:tr>
      <w:tr w14:paraId="60D43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23" w:hRule="atLeast"/>
        </w:trPr>
        <w:tc>
          <w:tcPr>
            <w:tcW w:w="714" w:type="dxa"/>
            <w:noWrap w:val="0"/>
            <w:vAlign w:val="center"/>
          </w:tcPr>
          <w:p w14:paraId="2AF7D28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14:paraId="011A340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施工单位未对围挡进行维护</w:t>
            </w:r>
          </w:p>
        </w:tc>
        <w:tc>
          <w:tcPr>
            <w:tcW w:w="2981" w:type="dxa"/>
            <w:noWrap w:val="0"/>
            <w:vAlign w:val="center"/>
          </w:tcPr>
          <w:p w14:paraId="402236C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违反条款：第八十一条第一款第（一）项</w:t>
            </w:r>
          </w:p>
          <w:p w14:paraId="04A7431F">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noWrap w:val="0"/>
            <w:vAlign w:val="center"/>
          </w:tcPr>
          <w:p w14:paraId="2C4CDFD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6639B78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60BD3E5F">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1.未按规定管护围挡长度16-30米的，系数1；31-45米的，系数2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未按规定管护围挡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1EBA8D2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7D3F6E7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0ABBED4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508F61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1298FDF">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C4626600</w:t>
            </w:r>
          </w:p>
        </w:tc>
      </w:tr>
      <w:tr w14:paraId="32534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69" w:hRule="atLeast"/>
        </w:trPr>
        <w:tc>
          <w:tcPr>
            <w:tcW w:w="714" w:type="dxa"/>
            <w:noWrap w:val="0"/>
            <w:vAlign w:val="center"/>
          </w:tcPr>
          <w:p w14:paraId="000C4A1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14:paraId="075609E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施工单位未在施工现场出入口公示相关信息</w:t>
            </w:r>
          </w:p>
        </w:tc>
        <w:tc>
          <w:tcPr>
            <w:tcW w:w="2981" w:type="dxa"/>
            <w:noWrap w:val="0"/>
            <w:vAlign w:val="center"/>
          </w:tcPr>
          <w:p w14:paraId="0F785BA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违反条款：第八十一条第一款第（二）项；</w:t>
            </w:r>
          </w:p>
          <w:p w14:paraId="3D3FCDD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noWrap w:val="0"/>
            <w:vAlign w:val="center"/>
          </w:tcPr>
          <w:p w14:paraId="4D233BCB">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w:t>
            </w:r>
          </w:p>
        </w:tc>
        <w:tc>
          <w:tcPr>
            <w:tcW w:w="840" w:type="dxa"/>
            <w:noWrap w:val="0"/>
            <w:vAlign w:val="center"/>
          </w:tcPr>
          <w:p w14:paraId="451A52D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49151B4D">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0D7BF3D1">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strike w:val="0"/>
                <w:dstrike w:val="0"/>
                <w:color w:val="auto"/>
                <w:sz w:val="15"/>
                <w:szCs w:val="15"/>
                <w:highlight w:val="none"/>
                <w:lang w:val="en-US" w:eastAsia="zh-CN"/>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50941081">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需要做出其他处罚决定的，报请案审会决定。</w:t>
            </w:r>
          </w:p>
          <w:p w14:paraId="620AE8DB">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2BA49DE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28838F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CA419B9">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C4626700</w:t>
            </w:r>
          </w:p>
        </w:tc>
      </w:tr>
      <w:tr w14:paraId="3A85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14" w:hRule="atLeast"/>
        </w:trPr>
        <w:tc>
          <w:tcPr>
            <w:tcW w:w="714" w:type="dxa"/>
            <w:noWrap w:val="0"/>
            <w:vAlign w:val="center"/>
          </w:tcPr>
          <w:p w14:paraId="06951B4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14:paraId="3BFADAB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未对施工现场内主要道路和物料堆放场地进行硬化</w:t>
            </w:r>
          </w:p>
        </w:tc>
        <w:tc>
          <w:tcPr>
            <w:tcW w:w="2981" w:type="dxa"/>
            <w:noWrap w:val="0"/>
            <w:vAlign w:val="center"/>
          </w:tcPr>
          <w:p w14:paraId="2D5C4C48">
            <w:pPr>
              <w:spacing w:line="232" w:lineRule="exact"/>
              <w:rPr>
                <w:rFonts w:hint="eastAsia" w:ascii="宋体" w:hAnsi="宋体" w:eastAsia="宋体"/>
                <w:color w:val="auto"/>
                <w:sz w:val="15"/>
                <w:szCs w:val="15"/>
                <w:highlight w:val="none"/>
                <w:lang w:eastAsia="zh"/>
              </w:rPr>
            </w:pPr>
            <w:r>
              <w:rPr>
                <w:rFonts w:hint="eastAsia" w:ascii="宋体" w:hAnsi="宋体" w:eastAsia="宋体"/>
                <w:color w:val="auto"/>
                <w:sz w:val="15"/>
                <w:szCs w:val="15"/>
                <w:highlight w:val="none"/>
              </w:rPr>
              <w:t>违反条款：第八十一条第一款第（三）项</w:t>
            </w:r>
            <w:r>
              <w:rPr>
                <w:rFonts w:hint="eastAsia" w:ascii="宋体" w:hAnsi="宋体"/>
                <w:color w:val="auto"/>
                <w:sz w:val="15"/>
                <w:szCs w:val="15"/>
                <w:highlight w:val="none"/>
                <w:lang w:eastAsia="zh"/>
              </w:rPr>
              <w:t>；</w:t>
            </w:r>
          </w:p>
          <w:p w14:paraId="5E19C06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7BCFF0D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2A45B95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0234A3D0">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未硬化、覆盖或者绿化面积10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1985354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0E789A5F">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09AEB28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80C2BC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1C0F380C">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C4626800</w:t>
            </w:r>
          </w:p>
        </w:tc>
      </w:tr>
      <w:tr w14:paraId="4FDB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99" w:hRule="atLeast"/>
        </w:trPr>
        <w:tc>
          <w:tcPr>
            <w:tcW w:w="714" w:type="dxa"/>
            <w:noWrap w:val="0"/>
            <w:vAlign w:val="center"/>
          </w:tcPr>
          <w:p w14:paraId="5BA72A6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14:paraId="5F1F9DF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未对施工现场内除主要道路和物料堆放场地外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场地进行覆盖或者临时绿化</w:t>
            </w:r>
          </w:p>
        </w:tc>
        <w:tc>
          <w:tcPr>
            <w:tcW w:w="2981" w:type="dxa"/>
            <w:noWrap w:val="0"/>
            <w:vAlign w:val="center"/>
          </w:tcPr>
          <w:p w14:paraId="7EC877DA">
            <w:pPr>
              <w:spacing w:line="232" w:lineRule="exact"/>
              <w:rPr>
                <w:rFonts w:hint="eastAsia" w:ascii="宋体" w:hAnsi="宋体" w:eastAsia="宋体"/>
                <w:color w:val="auto"/>
                <w:sz w:val="15"/>
                <w:szCs w:val="15"/>
                <w:highlight w:val="none"/>
                <w:lang w:eastAsia="zh"/>
              </w:rPr>
            </w:pPr>
            <w:r>
              <w:rPr>
                <w:rFonts w:hint="eastAsia" w:ascii="宋体" w:hAnsi="宋体" w:eastAsia="宋体"/>
                <w:color w:val="auto"/>
                <w:sz w:val="15"/>
                <w:szCs w:val="15"/>
                <w:highlight w:val="none"/>
              </w:rPr>
              <w:t>违反条款：第八十一条第一款第（三）项</w:t>
            </w:r>
            <w:r>
              <w:rPr>
                <w:rFonts w:hint="eastAsia" w:ascii="宋体" w:hAnsi="宋体"/>
                <w:color w:val="auto"/>
                <w:sz w:val="15"/>
                <w:szCs w:val="15"/>
                <w:highlight w:val="none"/>
                <w:lang w:eastAsia="zh"/>
              </w:rPr>
              <w:t>；</w:t>
            </w:r>
          </w:p>
          <w:p w14:paraId="3F877F5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15ACD76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02AB0DD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4293DE53">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73F6243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7126750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497CAE4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13175C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14B9ABE">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C4626900</w:t>
            </w:r>
          </w:p>
        </w:tc>
      </w:tr>
      <w:tr w14:paraId="74BC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30" w:hRule="atLeast"/>
        </w:trPr>
        <w:tc>
          <w:tcPr>
            <w:tcW w:w="714" w:type="dxa"/>
            <w:noWrap w:val="0"/>
            <w:vAlign w:val="center"/>
          </w:tcPr>
          <w:p w14:paraId="0119AD2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14:paraId="701381B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施工现场</w:t>
            </w:r>
            <w:r>
              <w:rPr>
                <w:rFonts w:ascii="宋体" w:hAnsi="宋体" w:eastAsia="宋体"/>
                <w:color w:val="auto"/>
                <w:sz w:val="15"/>
                <w:szCs w:val="15"/>
                <w:highlight w:val="none"/>
              </w:rPr>
              <w:t>土方</w:t>
            </w:r>
            <w:r>
              <w:rPr>
                <w:rFonts w:hint="eastAsia" w:ascii="宋体" w:hAnsi="宋体" w:eastAsia="宋体"/>
                <w:color w:val="auto"/>
                <w:sz w:val="15"/>
                <w:szCs w:val="15"/>
                <w:highlight w:val="none"/>
              </w:rPr>
              <w:t>未</w:t>
            </w:r>
            <w:r>
              <w:rPr>
                <w:rFonts w:ascii="宋体" w:hAnsi="宋体" w:eastAsia="宋体"/>
                <w:color w:val="auto"/>
                <w:sz w:val="15"/>
                <w:szCs w:val="15"/>
                <w:highlight w:val="none"/>
              </w:rPr>
              <w:t>集中堆放</w:t>
            </w:r>
            <w:r>
              <w:rPr>
                <w:rFonts w:hint="eastAsia" w:ascii="宋体" w:hAnsi="宋体" w:eastAsia="宋体"/>
                <w:color w:val="auto"/>
                <w:sz w:val="15"/>
                <w:szCs w:val="15"/>
                <w:highlight w:val="none"/>
              </w:rPr>
              <w:t>或者未</w:t>
            </w:r>
            <w:r>
              <w:rPr>
                <w:rFonts w:ascii="宋体" w:hAnsi="宋体" w:eastAsia="宋体"/>
                <w:color w:val="auto"/>
                <w:sz w:val="15"/>
                <w:szCs w:val="15"/>
                <w:highlight w:val="none"/>
              </w:rPr>
              <w:t>采取覆盖</w:t>
            </w:r>
            <w:r>
              <w:rPr>
                <w:rFonts w:hint="eastAsia" w:ascii="宋体" w:hAnsi="宋体" w:eastAsia="宋体"/>
                <w:color w:val="auto"/>
                <w:sz w:val="15"/>
                <w:szCs w:val="15"/>
                <w:highlight w:val="none"/>
              </w:rPr>
              <w:t>、</w:t>
            </w:r>
            <w:r>
              <w:rPr>
                <w:rFonts w:ascii="宋体" w:hAnsi="宋体" w:eastAsia="宋体"/>
                <w:color w:val="auto"/>
                <w:sz w:val="15"/>
                <w:szCs w:val="15"/>
                <w:highlight w:val="none"/>
              </w:rPr>
              <w:t>固化措施</w:t>
            </w:r>
          </w:p>
        </w:tc>
        <w:tc>
          <w:tcPr>
            <w:tcW w:w="2981" w:type="dxa"/>
            <w:noWrap w:val="0"/>
            <w:vAlign w:val="center"/>
          </w:tcPr>
          <w:p w14:paraId="51364A27">
            <w:pPr>
              <w:spacing w:line="232" w:lineRule="exact"/>
              <w:rPr>
                <w:rFonts w:hint="eastAsia" w:ascii="宋体" w:hAnsi="宋体" w:eastAsia="宋体"/>
                <w:color w:val="auto"/>
                <w:sz w:val="15"/>
                <w:szCs w:val="15"/>
                <w:highlight w:val="none"/>
                <w:lang w:eastAsia="zh"/>
              </w:rPr>
            </w:pPr>
            <w:r>
              <w:rPr>
                <w:rFonts w:hint="eastAsia" w:ascii="宋体" w:hAnsi="宋体" w:eastAsia="宋体"/>
                <w:color w:val="auto"/>
                <w:sz w:val="15"/>
                <w:szCs w:val="15"/>
                <w:highlight w:val="none"/>
              </w:rPr>
              <w:t>违反条款：第八十一条第一款第（三）项</w:t>
            </w:r>
            <w:r>
              <w:rPr>
                <w:rFonts w:hint="eastAsia" w:ascii="宋体" w:hAnsi="宋体"/>
                <w:color w:val="auto"/>
                <w:sz w:val="15"/>
                <w:szCs w:val="15"/>
                <w:highlight w:val="none"/>
                <w:lang w:eastAsia="zh"/>
              </w:rPr>
              <w:t>；</w:t>
            </w:r>
          </w:p>
          <w:p w14:paraId="5B90EE4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6D4ED02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38917A7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54542E8C">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3301561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2AAA17B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35E4A73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173E51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17EFD803">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C4627000</w:t>
            </w:r>
          </w:p>
        </w:tc>
      </w:tr>
      <w:tr w14:paraId="514C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90" w:hRule="atLeast"/>
        </w:trPr>
        <w:tc>
          <w:tcPr>
            <w:tcW w:w="714" w:type="dxa"/>
            <w:noWrap w:val="0"/>
            <w:vAlign w:val="center"/>
          </w:tcPr>
          <w:p w14:paraId="0A9CA07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14:paraId="15F0D641">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大风天气未停止可能产生扬尘污染的施工作业</w:t>
            </w:r>
          </w:p>
        </w:tc>
        <w:tc>
          <w:tcPr>
            <w:tcW w:w="2981" w:type="dxa"/>
            <w:noWrap w:val="0"/>
            <w:vAlign w:val="center"/>
          </w:tcPr>
          <w:p w14:paraId="4EAAD344">
            <w:pPr>
              <w:spacing w:line="232" w:lineRule="exact"/>
              <w:rPr>
                <w:rFonts w:hint="eastAsia" w:ascii="宋体" w:hAnsi="宋体" w:eastAsia="宋体"/>
                <w:color w:val="auto"/>
                <w:sz w:val="15"/>
                <w:szCs w:val="15"/>
                <w:highlight w:val="none"/>
                <w:lang w:eastAsia="zh"/>
              </w:rPr>
            </w:pPr>
            <w:r>
              <w:rPr>
                <w:rFonts w:hint="eastAsia" w:ascii="宋体" w:hAnsi="宋体" w:eastAsia="宋体"/>
                <w:color w:val="auto"/>
                <w:sz w:val="15"/>
                <w:szCs w:val="15"/>
                <w:highlight w:val="none"/>
              </w:rPr>
              <w:t>违反条款：第八十一条第一款第（四）项</w:t>
            </w:r>
            <w:r>
              <w:rPr>
                <w:rFonts w:hint="eastAsia" w:ascii="宋体" w:hAnsi="宋体"/>
                <w:color w:val="auto"/>
                <w:sz w:val="15"/>
                <w:szCs w:val="15"/>
                <w:highlight w:val="none"/>
                <w:lang w:eastAsia="zh"/>
              </w:rPr>
              <w:t>；</w:t>
            </w:r>
          </w:p>
          <w:p w14:paraId="6941E57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4B56D9A4">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w:t>
            </w:r>
          </w:p>
        </w:tc>
        <w:tc>
          <w:tcPr>
            <w:tcW w:w="840" w:type="dxa"/>
            <w:noWrap w:val="0"/>
            <w:vAlign w:val="center"/>
          </w:tcPr>
          <w:p w14:paraId="5FB7954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1BB4C13">
            <w:pPr>
              <w:spacing w:line="232" w:lineRule="exact"/>
              <w:rPr>
                <w:rFonts w:hint="eastAsia" w:ascii="宋体" w:hAnsi="宋体" w:eastAsia="宋体"/>
                <w:color w:val="auto"/>
                <w:sz w:val="15"/>
                <w:szCs w:val="15"/>
                <w:highlight w:val="none"/>
                <w:lang w:eastAsia="zh-CN"/>
              </w:rPr>
            </w:pPr>
            <w:r>
              <w:rPr>
                <w:rFonts w:ascii="宋体" w:hAnsi="宋体" w:eastAsia="宋体"/>
                <w:color w:val="auto"/>
                <w:sz w:val="15"/>
                <w:szCs w:val="15"/>
                <w:highlight w:val="none"/>
              </w:rPr>
              <w:t>1.6</w:t>
            </w:r>
            <w:r>
              <w:rPr>
                <w:rFonts w:hint="eastAsia" w:ascii="宋体" w:hAnsi="宋体" w:eastAsia="宋体"/>
                <w:color w:val="auto"/>
                <w:sz w:val="15"/>
                <w:szCs w:val="15"/>
                <w:highlight w:val="none"/>
              </w:rPr>
              <w:t>级及</w:t>
            </w:r>
            <w:r>
              <w:rPr>
                <w:rFonts w:ascii="宋体" w:hAnsi="宋体" w:eastAsia="宋体"/>
                <w:color w:val="auto"/>
                <w:sz w:val="15"/>
                <w:szCs w:val="15"/>
                <w:highlight w:val="none"/>
              </w:rPr>
              <w:t>6</w:t>
            </w:r>
            <w:r>
              <w:rPr>
                <w:rFonts w:hint="eastAsia" w:ascii="宋体" w:hAnsi="宋体" w:eastAsia="宋体"/>
                <w:color w:val="auto"/>
                <w:sz w:val="15"/>
                <w:szCs w:val="15"/>
                <w:highlight w:val="none"/>
              </w:rPr>
              <w:t>级以上大风未停止可能产生扬尘污染的施工作业的，系数</w:t>
            </w:r>
            <w:r>
              <w:rPr>
                <w:rFonts w:ascii="宋体" w:hAnsi="宋体" w:eastAsia="宋体"/>
                <w:color w:val="auto"/>
                <w:sz w:val="15"/>
                <w:szCs w:val="15"/>
                <w:highlight w:val="none"/>
              </w:rPr>
              <w:t>5-8</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0602B23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096675A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7F14D05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4B6DC3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FFA267E">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C4627100</w:t>
            </w:r>
          </w:p>
        </w:tc>
      </w:tr>
      <w:tr w14:paraId="5747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14:paraId="007FA4E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14:paraId="4E5AEDDD">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施工现场出口处未设置冲洗车辆设施</w:t>
            </w:r>
          </w:p>
        </w:tc>
        <w:tc>
          <w:tcPr>
            <w:tcW w:w="2981" w:type="dxa"/>
            <w:noWrap w:val="0"/>
            <w:vAlign w:val="center"/>
          </w:tcPr>
          <w:p w14:paraId="21B83747">
            <w:pPr>
              <w:spacing w:line="220" w:lineRule="exact"/>
              <w:rPr>
                <w:rFonts w:hint="eastAsia" w:ascii="宋体" w:hAnsi="宋体" w:eastAsia="宋体"/>
                <w:color w:val="auto"/>
                <w:sz w:val="15"/>
                <w:szCs w:val="15"/>
                <w:highlight w:val="none"/>
                <w:lang w:eastAsia="zh"/>
              </w:rPr>
            </w:pPr>
            <w:r>
              <w:rPr>
                <w:rFonts w:hint="eastAsia" w:ascii="宋体" w:hAnsi="宋体" w:eastAsia="宋体"/>
                <w:color w:val="auto"/>
                <w:sz w:val="15"/>
                <w:szCs w:val="15"/>
                <w:highlight w:val="none"/>
              </w:rPr>
              <w:t>违反条款：第八十一条第一款第（五）项</w:t>
            </w:r>
            <w:r>
              <w:rPr>
                <w:rFonts w:hint="eastAsia" w:ascii="宋体" w:hAnsi="宋体"/>
                <w:color w:val="auto"/>
                <w:sz w:val="15"/>
                <w:szCs w:val="15"/>
                <w:highlight w:val="none"/>
                <w:lang w:eastAsia="zh"/>
              </w:rPr>
              <w:t>；</w:t>
            </w:r>
          </w:p>
          <w:p w14:paraId="47AB00CB">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009FA88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7C57F2C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469DFF2A">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665F5ED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410264E5">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5B75AB1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6F9D62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1198280D">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C4627200</w:t>
            </w:r>
          </w:p>
        </w:tc>
      </w:tr>
      <w:tr w14:paraId="6A6E9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66" w:hRule="atLeast"/>
        </w:trPr>
        <w:tc>
          <w:tcPr>
            <w:tcW w:w="714" w:type="dxa"/>
            <w:noWrap w:val="0"/>
            <w:vAlign w:val="center"/>
          </w:tcPr>
          <w:p w14:paraId="326AB91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14:paraId="2926A980">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施工现场未按规定安装视频监控系统</w:t>
            </w:r>
          </w:p>
        </w:tc>
        <w:tc>
          <w:tcPr>
            <w:tcW w:w="2981" w:type="dxa"/>
            <w:noWrap w:val="0"/>
            <w:vAlign w:val="center"/>
          </w:tcPr>
          <w:p w14:paraId="2F39CFC7">
            <w:pPr>
              <w:spacing w:line="220" w:lineRule="exact"/>
              <w:rPr>
                <w:rFonts w:hint="eastAsia" w:ascii="宋体" w:hAnsi="宋体" w:eastAsia="宋体"/>
                <w:color w:val="auto"/>
                <w:sz w:val="15"/>
                <w:szCs w:val="15"/>
                <w:highlight w:val="none"/>
                <w:lang w:eastAsia="zh"/>
              </w:rPr>
            </w:pPr>
            <w:r>
              <w:rPr>
                <w:rFonts w:hint="eastAsia" w:ascii="宋体" w:hAnsi="宋体" w:eastAsia="宋体"/>
                <w:color w:val="auto"/>
                <w:sz w:val="15"/>
                <w:szCs w:val="15"/>
                <w:highlight w:val="none"/>
              </w:rPr>
              <w:t>违反条款：第八十一条第一款第（五）项</w:t>
            </w:r>
            <w:r>
              <w:rPr>
                <w:rFonts w:hint="eastAsia" w:ascii="宋体" w:hAnsi="宋体"/>
                <w:color w:val="auto"/>
                <w:sz w:val="15"/>
                <w:szCs w:val="15"/>
                <w:highlight w:val="none"/>
                <w:lang w:eastAsia="zh"/>
              </w:rPr>
              <w:t>；</w:t>
            </w:r>
          </w:p>
          <w:p w14:paraId="3B8E8F96">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10A3B97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381657D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550C4C09">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003687E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26FB5B99">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4348274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4AB3F8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354D283">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C4627300</w:t>
            </w:r>
          </w:p>
        </w:tc>
      </w:tr>
      <w:tr w14:paraId="2BAD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99" w:hRule="atLeast"/>
        </w:trPr>
        <w:tc>
          <w:tcPr>
            <w:tcW w:w="714" w:type="dxa"/>
            <w:noWrap w:val="0"/>
            <w:vAlign w:val="center"/>
          </w:tcPr>
          <w:p w14:paraId="3C80626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14:paraId="2096A8B1">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施工车辆未经除泥、冲洗驶出工地</w:t>
            </w:r>
          </w:p>
        </w:tc>
        <w:tc>
          <w:tcPr>
            <w:tcW w:w="2981" w:type="dxa"/>
            <w:noWrap w:val="0"/>
            <w:vAlign w:val="center"/>
          </w:tcPr>
          <w:p w14:paraId="17FA3CF6">
            <w:pPr>
              <w:spacing w:line="220" w:lineRule="exact"/>
              <w:rPr>
                <w:rFonts w:hint="eastAsia" w:ascii="宋体" w:hAnsi="宋体" w:eastAsia="宋体"/>
                <w:color w:val="auto"/>
                <w:sz w:val="15"/>
                <w:szCs w:val="15"/>
                <w:highlight w:val="none"/>
                <w:lang w:eastAsia="zh"/>
              </w:rPr>
            </w:pPr>
            <w:r>
              <w:rPr>
                <w:rFonts w:hint="eastAsia" w:ascii="宋体" w:hAnsi="宋体" w:eastAsia="宋体"/>
                <w:color w:val="auto"/>
                <w:sz w:val="15"/>
                <w:szCs w:val="15"/>
                <w:highlight w:val="none"/>
              </w:rPr>
              <w:t>违反条款：第八十一条第一款第（五）项</w:t>
            </w:r>
            <w:r>
              <w:rPr>
                <w:rFonts w:hint="eastAsia" w:ascii="宋体" w:hAnsi="宋体"/>
                <w:color w:val="auto"/>
                <w:sz w:val="15"/>
                <w:szCs w:val="15"/>
                <w:highlight w:val="none"/>
                <w:lang w:eastAsia="zh"/>
              </w:rPr>
              <w:t>；</w:t>
            </w:r>
          </w:p>
          <w:p w14:paraId="629A863D">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49D2AF3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0FE35C3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74DAF73C">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417BB39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65DF97FC">
            <w:pPr>
              <w:spacing w:line="232" w:lineRule="exact"/>
              <w:rPr>
                <w:rFonts w:ascii="宋体" w:hAnsi="宋体" w:eastAsia="宋体"/>
                <w:strike/>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2487041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44D9558">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00893F4">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C4627400</w:t>
            </w:r>
          </w:p>
        </w:tc>
      </w:tr>
      <w:tr w14:paraId="0DA8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88" w:hRule="atLeast"/>
        </w:trPr>
        <w:tc>
          <w:tcPr>
            <w:tcW w:w="714" w:type="dxa"/>
            <w:noWrap w:val="0"/>
            <w:vAlign w:val="center"/>
          </w:tcPr>
          <w:p w14:paraId="2702F64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14:paraId="7AB2025D">
            <w:pPr>
              <w:spacing w:line="232" w:lineRule="exact"/>
              <w:rPr>
                <w:rFonts w:hint="default" w:ascii="宋体" w:hAnsi="宋体" w:eastAsia="宋体" w:cs="宋体"/>
                <w:color w:val="auto"/>
                <w:sz w:val="15"/>
                <w:szCs w:val="15"/>
                <w:highlight w:val="none"/>
                <w:lang w:val="en"/>
              </w:rPr>
            </w:pPr>
            <w:r>
              <w:rPr>
                <w:rFonts w:hint="eastAsia" w:ascii="宋体" w:hAnsi="宋体" w:eastAsia="宋体"/>
                <w:color w:val="auto"/>
                <w:sz w:val="15"/>
                <w:szCs w:val="15"/>
                <w:highlight w:val="none"/>
              </w:rPr>
              <w:t>车辆清洗处未配套设置排水、泥浆沉淀设施</w:t>
            </w:r>
          </w:p>
        </w:tc>
        <w:tc>
          <w:tcPr>
            <w:tcW w:w="2981" w:type="dxa"/>
            <w:noWrap w:val="0"/>
            <w:vAlign w:val="center"/>
          </w:tcPr>
          <w:p w14:paraId="38DFD472">
            <w:pPr>
              <w:spacing w:line="220" w:lineRule="exact"/>
              <w:rPr>
                <w:rFonts w:hint="eastAsia" w:ascii="宋体" w:hAnsi="宋体" w:eastAsia="宋体"/>
                <w:color w:val="auto"/>
                <w:sz w:val="15"/>
                <w:szCs w:val="15"/>
                <w:highlight w:val="none"/>
                <w:lang w:eastAsia="zh"/>
              </w:rPr>
            </w:pPr>
            <w:r>
              <w:rPr>
                <w:rFonts w:hint="eastAsia" w:ascii="宋体" w:hAnsi="宋体" w:eastAsia="宋体"/>
                <w:color w:val="auto"/>
                <w:sz w:val="15"/>
                <w:szCs w:val="15"/>
                <w:highlight w:val="none"/>
              </w:rPr>
              <w:t>违反条款：第八十一条第一款第（五）项</w:t>
            </w:r>
            <w:r>
              <w:rPr>
                <w:rFonts w:hint="eastAsia" w:ascii="宋体" w:hAnsi="宋体"/>
                <w:color w:val="auto"/>
                <w:sz w:val="15"/>
                <w:szCs w:val="15"/>
                <w:highlight w:val="none"/>
                <w:lang w:eastAsia="zh"/>
              </w:rPr>
              <w:t>；</w:t>
            </w:r>
          </w:p>
          <w:p w14:paraId="6DE60150">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6D0AA29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65D1F30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0C615168">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74D0DEF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7B913051">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05CA19E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313D18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289D2C9">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C4627500</w:t>
            </w:r>
          </w:p>
        </w:tc>
      </w:tr>
      <w:tr w14:paraId="731C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20" w:hRule="atLeast"/>
        </w:trPr>
        <w:tc>
          <w:tcPr>
            <w:tcW w:w="714" w:type="dxa"/>
            <w:noWrap w:val="0"/>
            <w:vAlign w:val="center"/>
          </w:tcPr>
          <w:p w14:paraId="66AB6E8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14:paraId="39D95961">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施工现场道路及进出口周边一百米以内的道路有泥土和建筑垃圾</w:t>
            </w:r>
          </w:p>
        </w:tc>
        <w:tc>
          <w:tcPr>
            <w:tcW w:w="2981" w:type="dxa"/>
            <w:noWrap w:val="0"/>
            <w:vAlign w:val="center"/>
          </w:tcPr>
          <w:p w14:paraId="71F987DE">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违反条款：第八十一条第一款第（六）项；</w:t>
            </w:r>
          </w:p>
          <w:p w14:paraId="6B7D8A2D">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0CE9874D">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423A05C9">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306F6ADA">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14:paraId="62283F96">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7C85794C">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1DF9145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2B88C3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043E4BA">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C4627600</w:t>
            </w:r>
          </w:p>
        </w:tc>
      </w:tr>
      <w:tr w14:paraId="0EA7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34" w:hRule="atLeast"/>
        </w:trPr>
        <w:tc>
          <w:tcPr>
            <w:tcW w:w="714" w:type="dxa"/>
            <w:noWrap w:val="0"/>
            <w:vAlign w:val="center"/>
          </w:tcPr>
          <w:p w14:paraId="28A1D6A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14:paraId="4CBA916F">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道路挖掘施工过程中未及时覆盖破损路面并采取措施</w:t>
            </w:r>
          </w:p>
        </w:tc>
        <w:tc>
          <w:tcPr>
            <w:tcW w:w="2981" w:type="dxa"/>
            <w:noWrap w:val="0"/>
            <w:vAlign w:val="center"/>
          </w:tcPr>
          <w:p w14:paraId="0D11EE01">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违反条款：第八十一条第一款第（七）项；</w:t>
            </w:r>
          </w:p>
          <w:p w14:paraId="0BC7F461">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13A045C9">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65D60D5E">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67D89BEB">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路面长21－30米的，系数1；31－40米的，系数2；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14:paraId="2A917243">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0DDABEEF">
            <w:pPr>
              <w:spacing w:line="21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639D233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107D3D2">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2AEE7E0">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C4627700</w:t>
            </w:r>
          </w:p>
        </w:tc>
      </w:tr>
      <w:tr w14:paraId="092A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14:paraId="4693E57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14:paraId="7937A728">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道路挖掘施工完成后未及时修复路面</w:t>
            </w:r>
          </w:p>
        </w:tc>
        <w:tc>
          <w:tcPr>
            <w:tcW w:w="2981" w:type="dxa"/>
            <w:noWrap w:val="0"/>
            <w:vAlign w:val="center"/>
          </w:tcPr>
          <w:p w14:paraId="1FDB88C9">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违反条款：第八十一条第一款第（七）项；</w:t>
            </w:r>
          </w:p>
          <w:p w14:paraId="77D1AF62">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009B24AB">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685258AC">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3F2E1585">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未修复的道路长21－30米的，系数1；31－40米的，系数2；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14:paraId="435BE636">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14166101">
            <w:pPr>
              <w:spacing w:line="21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48FFB7E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53F4636">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66EEE85">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C4627800</w:t>
            </w:r>
          </w:p>
        </w:tc>
      </w:tr>
      <w:tr w14:paraId="6B640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24" w:hRule="atLeast"/>
        </w:trPr>
        <w:tc>
          <w:tcPr>
            <w:tcW w:w="714" w:type="dxa"/>
            <w:noWrap w:val="0"/>
            <w:vAlign w:val="center"/>
          </w:tcPr>
          <w:p w14:paraId="455A578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6" w:type="dxa"/>
            <w:gridSpan w:val="2"/>
            <w:noWrap w:val="0"/>
            <w:vAlign w:val="center"/>
          </w:tcPr>
          <w:p w14:paraId="5CD56719">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产生扬尘的物料未按规定贮存或者未</w:t>
            </w:r>
            <w:r>
              <w:rPr>
                <w:rFonts w:hint="eastAsia" w:ascii="宋体" w:hAnsi="宋体" w:eastAsia="宋体"/>
                <w:bCs/>
                <w:color w:val="auto"/>
                <w:sz w:val="15"/>
                <w:szCs w:val="15"/>
                <w:highlight w:val="none"/>
              </w:rPr>
              <w:t>采取有效防尘措施</w:t>
            </w:r>
          </w:p>
        </w:tc>
        <w:tc>
          <w:tcPr>
            <w:tcW w:w="2981" w:type="dxa"/>
            <w:noWrap w:val="0"/>
            <w:vAlign w:val="center"/>
          </w:tcPr>
          <w:p w14:paraId="0F364D0B">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违反条款：第八十二条第一款；</w:t>
            </w:r>
          </w:p>
          <w:p w14:paraId="70507D54">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处罚条款：第一百二十条：责令限期改正，处一万元以上十万元以下罚款；拒不改正的，责令停工整治或者停业整治。</w:t>
            </w:r>
          </w:p>
        </w:tc>
        <w:tc>
          <w:tcPr>
            <w:tcW w:w="851" w:type="dxa"/>
            <w:noWrap w:val="0"/>
            <w:vAlign w:val="center"/>
          </w:tcPr>
          <w:p w14:paraId="45D72515">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654D39F8">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14CF0CE3">
            <w:pPr>
              <w:spacing w:line="21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65199083">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3BD01C2A">
            <w:pPr>
              <w:spacing w:line="212" w:lineRule="exact"/>
              <w:rPr>
                <w:rFonts w:ascii="宋体" w:hAnsi="宋体" w:eastAsia="宋体"/>
                <w:strike/>
                <w:color w:val="auto"/>
                <w:sz w:val="15"/>
                <w:szCs w:val="15"/>
                <w:highlight w:val="none"/>
              </w:rPr>
            </w:pPr>
            <w:r>
              <w:rPr>
                <w:rFonts w:hint="eastAsia" w:ascii="宋体" w:hAnsi="宋体" w:eastAsia="宋体"/>
                <w:color w:val="auto"/>
                <w:sz w:val="15"/>
                <w:szCs w:val="15"/>
                <w:highlight w:val="none"/>
              </w:rPr>
              <w:t>拒不改正的，责令停工整治或者停业整治。</w:t>
            </w:r>
          </w:p>
        </w:tc>
        <w:tc>
          <w:tcPr>
            <w:tcW w:w="1304" w:type="dxa"/>
            <w:gridSpan w:val="2"/>
            <w:noWrap w:val="0"/>
            <w:vAlign w:val="center"/>
          </w:tcPr>
          <w:p w14:paraId="03AAA54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55CE4C9">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94C3000">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C4627900</w:t>
            </w:r>
          </w:p>
        </w:tc>
      </w:tr>
      <w:tr w14:paraId="3BA4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79" w:hRule="atLeast"/>
        </w:trPr>
        <w:tc>
          <w:tcPr>
            <w:tcW w:w="714" w:type="dxa"/>
            <w:noWrap w:val="0"/>
            <w:vAlign w:val="center"/>
          </w:tcPr>
          <w:p w14:paraId="435D905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noWrap w:val="0"/>
            <w:vAlign w:val="center"/>
          </w:tcPr>
          <w:p w14:paraId="517FC57C">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未按规定处置或覆盖建筑土方、工程渣土、建筑垃圾</w:t>
            </w:r>
          </w:p>
        </w:tc>
        <w:tc>
          <w:tcPr>
            <w:tcW w:w="2981" w:type="dxa"/>
            <w:noWrap w:val="0"/>
            <w:vAlign w:val="center"/>
          </w:tcPr>
          <w:p w14:paraId="4D75422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违反条款：第八十二条第二款；</w:t>
            </w:r>
          </w:p>
          <w:p w14:paraId="6F97734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处罚条款：第一百二十条：责令限期改正，处一万元以上十万元以下罚款；拒不改正的，责令停工整治或者停业整治。</w:t>
            </w:r>
          </w:p>
        </w:tc>
        <w:tc>
          <w:tcPr>
            <w:tcW w:w="851" w:type="dxa"/>
            <w:noWrap w:val="0"/>
            <w:vAlign w:val="center"/>
          </w:tcPr>
          <w:p w14:paraId="0A0E9C3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5C25679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4295828B">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占地面积10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以下的，系数0；11－15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的，系数1；16－20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65365BE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14:paraId="0984EF7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拒不改正的，责令停工整治或者停业整治。</w:t>
            </w:r>
          </w:p>
        </w:tc>
        <w:tc>
          <w:tcPr>
            <w:tcW w:w="1304" w:type="dxa"/>
            <w:gridSpan w:val="2"/>
            <w:noWrap w:val="0"/>
            <w:vAlign w:val="center"/>
          </w:tcPr>
          <w:p w14:paraId="0DAECAF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2C12A4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C8B6AD2">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C4628000</w:t>
            </w:r>
          </w:p>
        </w:tc>
      </w:tr>
      <w:tr w14:paraId="3C43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22" w:hRule="atLeast"/>
        </w:trPr>
        <w:tc>
          <w:tcPr>
            <w:tcW w:w="14587" w:type="dxa"/>
            <w:gridSpan w:val="13"/>
            <w:noWrap w:val="0"/>
            <w:vAlign w:val="center"/>
          </w:tcPr>
          <w:p w14:paraId="5B13984D">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22" w:name="_Toc854219027"/>
            <w:bookmarkStart w:id="123" w:name="_Toc3603249"/>
            <w:bookmarkStart w:id="124" w:name="_Toc110851475"/>
            <w:r>
              <w:rPr>
                <w:rFonts w:hint="eastAsia" w:ascii="宋体" w:hAnsi="宋体" w:eastAsia="宋体"/>
                <w:color w:val="auto"/>
                <w:sz w:val="21"/>
                <w:szCs w:val="21"/>
                <w:highlight w:val="none"/>
              </w:rPr>
              <w:t>《北京市建设工程施工现场管理办法》案由13项</w:t>
            </w:r>
            <w:bookmarkEnd w:id="122"/>
            <w:bookmarkEnd w:id="123"/>
            <w:bookmarkEnd w:id="124"/>
          </w:p>
        </w:tc>
        <w:tc>
          <w:tcPr>
            <w:tcW w:w="1869" w:type="dxa"/>
            <w:noWrap w:val="0"/>
            <w:vAlign w:val="center"/>
          </w:tcPr>
          <w:p w14:paraId="51F163D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14:paraId="4EB2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70" w:hRule="atLeast"/>
        </w:trPr>
        <w:tc>
          <w:tcPr>
            <w:tcW w:w="714" w:type="dxa"/>
            <w:noWrap w:val="0"/>
            <w:vAlign w:val="center"/>
          </w:tcPr>
          <w:p w14:paraId="15C61C6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6111E6E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建设单位未按标准设置围挡</w:t>
            </w:r>
          </w:p>
        </w:tc>
        <w:tc>
          <w:tcPr>
            <w:tcW w:w="2981" w:type="dxa"/>
            <w:noWrap w:val="0"/>
            <w:vAlign w:val="center"/>
          </w:tcPr>
          <w:p w14:paraId="12E755B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14:paraId="2816CA3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14:paraId="46B49CB4">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14:paraId="5C11CBF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47470C65">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1.未按标准设置围挡长度1</w:t>
            </w:r>
            <w:r>
              <w:rPr>
                <w:rFonts w:ascii="宋体" w:hAnsi="宋体" w:eastAsia="宋体"/>
                <w:color w:val="auto"/>
                <w:sz w:val="15"/>
                <w:szCs w:val="15"/>
                <w:highlight w:val="none"/>
              </w:rPr>
              <w:t>6</w:t>
            </w:r>
            <w:r>
              <w:rPr>
                <w:rFonts w:hint="eastAsia" w:ascii="宋体" w:hAnsi="宋体" w:eastAsia="宋体"/>
                <w:color w:val="auto"/>
                <w:sz w:val="15"/>
                <w:szCs w:val="15"/>
                <w:highlight w:val="none"/>
              </w:rPr>
              <w:t>-</w:t>
            </w:r>
            <w:r>
              <w:rPr>
                <w:rFonts w:ascii="宋体" w:hAnsi="宋体" w:eastAsia="宋体"/>
                <w:color w:val="auto"/>
                <w:sz w:val="15"/>
                <w:szCs w:val="15"/>
                <w:highlight w:val="none"/>
              </w:rPr>
              <w:t>30</w:t>
            </w:r>
            <w:r>
              <w:rPr>
                <w:rFonts w:hint="eastAsia" w:ascii="宋体" w:hAnsi="宋体" w:eastAsia="宋体"/>
                <w:color w:val="auto"/>
                <w:sz w:val="15"/>
                <w:szCs w:val="15"/>
                <w:highlight w:val="none"/>
              </w:rPr>
              <w:t>米的，系数1；</w:t>
            </w:r>
            <w:r>
              <w:rPr>
                <w:rFonts w:ascii="宋体" w:hAnsi="宋体" w:eastAsia="宋体"/>
                <w:color w:val="auto"/>
                <w:sz w:val="15"/>
                <w:szCs w:val="15"/>
                <w:highlight w:val="none"/>
              </w:rPr>
              <w:t>31</w:t>
            </w:r>
            <w:r>
              <w:rPr>
                <w:rFonts w:hint="eastAsia" w:ascii="宋体" w:hAnsi="宋体" w:eastAsia="宋体"/>
                <w:color w:val="auto"/>
                <w:sz w:val="15"/>
                <w:szCs w:val="15"/>
                <w:highlight w:val="none"/>
              </w:rPr>
              <w:t>-</w:t>
            </w:r>
            <w:r>
              <w:rPr>
                <w:rFonts w:ascii="宋体" w:hAnsi="宋体" w:eastAsia="宋体"/>
                <w:color w:val="auto"/>
                <w:sz w:val="15"/>
                <w:szCs w:val="15"/>
                <w:highlight w:val="none"/>
              </w:rPr>
              <w:t>45</w:t>
            </w:r>
            <w:r>
              <w:rPr>
                <w:rFonts w:hint="eastAsia" w:ascii="宋体" w:hAnsi="宋体" w:eastAsia="宋体"/>
                <w:color w:val="auto"/>
                <w:sz w:val="15"/>
                <w:szCs w:val="15"/>
                <w:highlight w:val="none"/>
              </w:rPr>
              <w:t>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4B4C816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7E59A44B">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736555C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8A018F8">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B8F5605">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C4626500</w:t>
            </w:r>
          </w:p>
        </w:tc>
      </w:tr>
      <w:tr w14:paraId="6924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51" w:hRule="atLeast"/>
        </w:trPr>
        <w:tc>
          <w:tcPr>
            <w:tcW w:w="714" w:type="dxa"/>
            <w:noWrap w:val="0"/>
            <w:vAlign w:val="center"/>
          </w:tcPr>
          <w:p w14:paraId="3C1574F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14:paraId="6878F84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施工单位未对围挡进行维护</w:t>
            </w:r>
          </w:p>
        </w:tc>
        <w:tc>
          <w:tcPr>
            <w:tcW w:w="2981" w:type="dxa"/>
            <w:noWrap w:val="0"/>
            <w:vAlign w:val="center"/>
          </w:tcPr>
          <w:p w14:paraId="6509EFA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14:paraId="44F830D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14:paraId="29495EAE">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14:paraId="76770B4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4553ACA4">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1.未按规定管护围挡长度</w:t>
            </w:r>
            <w:r>
              <w:rPr>
                <w:rFonts w:ascii="宋体" w:hAnsi="宋体" w:eastAsia="宋体"/>
                <w:color w:val="auto"/>
                <w:sz w:val="15"/>
                <w:szCs w:val="15"/>
                <w:highlight w:val="none"/>
              </w:rPr>
              <w:t>16</w:t>
            </w:r>
            <w:r>
              <w:rPr>
                <w:rFonts w:hint="eastAsia" w:ascii="宋体" w:hAnsi="宋体" w:eastAsia="宋体"/>
                <w:color w:val="auto"/>
                <w:sz w:val="15"/>
                <w:szCs w:val="15"/>
                <w:highlight w:val="none"/>
              </w:rPr>
              <w:t>-</w:t>
            </w:r>
            <w:r>
              <w:rPr>
                <w:rFonts w:ascii="宋体" w:hAnsi="宋体" w:eastAsia="宋体"/>
                <w:color w:val="auto"/>
                <w:sz w:val="15"/>
                <w:szCs w:val="15"/>
                <w:highlight w:val="none"/>
              </w:rPr>
              <w:t>30</w:t>
            </w:r>
            <w:r>
              <w:rPr>
                <w:rFonts w:hint="eastAsia" w:ascii="宋体" w:hAnsi="宋体" w:eastAsia="宋体"/>
                <w:color w:val="auto"/>
                <w:sz w:val="15"/>
                <w:szCs w:val="15"/>
                <w:highlight w:val="none"/>
              </w:rPr>
              <w:t>米的，系数1；</w:t>
            </w:r>
            <w:r>
              <w:rPr>
                <w:rFonts w:ascii="宋体" w:hAnsi="宋体" w:eastAsia="宋体"/>
                <w:color w:val="auto"/>
                <w:sz w:val="15"/>
                <w:szCs w:val="15"/>
                <w:highlight w:val="none"/>
              </w:rPr>
              <w:t>31</w:t>
            </w:r>
            <w:r>
              <w:rPr>
                <w:rFonts w:hint="eastAsia" w:ascii="宋体" w:hAnsi="宋体" w:eastAsia="宋体"/>
                <w:color w:val="auto"/>
                <w:sz w:val="15"/>
                <w:szCs w:val="15"/>
                <w:highlight w:val="none"/>
              </w:rPr>
              <w:t>-</w:t>
            </w:r>
            <w:r>
              <w:rPr>
                <w:rFonts w:ascii="宋体" w:hAnsi="宋体" w:eastAsia="宋体"/>
                <w:color w:val="auto"/>
                <w:sz w:val="15"/>
                <w:szCs w:val="15"/>
                <w:highlight w:val="none"/>
              </w:rPr>
              <w:t>45</w:t>
            </w:r>
            <w:r>
              <w:rPr>
                <w:rFonts w:hint="eastAsia" w:ascii="宋体" w:hAnsi="宋体" w:eastAsia="宋体"/>
                <w:color w:val="auto"/>
                <w:sz w:val="15"/>
                <w:szCs w:val="15"/>
                <w:highlight w:val="none"/>
              </w:rPr>
              <w:t>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2.期间发生危害公共安全行为的，系数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47E0F59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7109FA44">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217BDBE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145713F">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B2766F5">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C4626600</w:t>
            </w:r>
          </w:p>
        </w:tc>
      </w:tr>
      <w:tr w14:paraId="4DC2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77" w:hRule="atLeast"/>
        </w:trPr>
        <w:tc>
          <w:tcPr>
            <w:tcW w:w="714" w:type="dxa"/>
            <w:noWrap w:val="0"/>
            <w:vAlign w:val="center"/>
          </w:tcPr>
          <w:p w14:paraId="367601A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14:paraId="694E89E9">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市政基础设施工程因特殊情况不能进行围挡的未设置警示标志（或未在工程危险部位采取防护措施）</w:t>
            </w:r>
          </w:p>
        </w:tc>
        <w:tc>
          <w:tcPr>
            <w:tcW w:w="2981" w:type="dxa"/>
            <w:noWrap w:val="0"/>
            <w:vAlign w:val="center"/>
          </w:tcPr>
          <w:p w14:paraId="24C0510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14:paraId="555EB018">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14:paraId="1BE32E95">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14:paraId="513672D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7C454253">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1.违法行为持续时间较长，或者未设置警示标志或者防护措施的长度、面积较大的，发生在人口密集地区的，系数</w:t>
            </w:r>
            <w:r>
              <w:rPr>
                <w:rFonts w:ascii="宋体" w:hAnsi="宋体" w:eastAsia="宋体"/>
                <w:color w:val="auto"/>
                <w:sz w:val="15"/>
                <w:szCs w:val="15"/>
                <w:highlight w:val="none"/>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2F9C631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17AA011D">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08F5C93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79A0DE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2651F77">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C4628100</w:t>
            </w:r>
          </w:p>
        </w:tc>
      </w:tr>
      <w:tr w14:paraId="3775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37" w:hRule="atLeast"/>
        </w:trPr>
        <w:tc>
          <w:tcPr>
            <w:tcW w:w="714" w:type="dxa"/>
            <w:noWrap w:val="0"/>
            <w:vAlign w:val="center"/>
          </w:tcPr>
          <w:p w14:paraId="1BCD881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14:paraId="33B3A6B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未按规定对施工现场道路、场地进行硬化、覆盖或者绿化</w:t>
            </w:r>
          </w:p>
        </w:tc>
        <w:tc>
          <w:tcPr>
            <w:tcW w:w="2981" w:type="dxa"/>
            <w:noWrap w:val="0"/>
            <w:vAlign w:val="center"/>
          </w:tcPr>
          <w:p w14:paraId="449F340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14:paraId="07A61868">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14:paraId="1715A2D4">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w:t>
            </w:r>
          </w:p>
        </w:tc>
        <w:tc>
          <w:tcPr>
            <w:tcW w:w="840" w:type="dxa"/>
            <w:noWrap w:val="0"/>
            <w:vAlign w:val="center"/>
          </w:tcPr>
          <w:p w14:paraId="02C006E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8C1ABE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未硬化、覆盖或者绿化面积</w:t>
            </w:r>
            <w:r>
              <w:rPr>
                <w:rFonts w:ascii="宋体" w:hAnsi="宋体" w:eastAsia="宋体" w:cs="宋体"/>
                <w:color w:val="auto"/>
                <w:kern w:val="0"/>
                <w:sz w:val="15"/>
                <w:szCs w:val="15"/>
                <w:highlight w:val="none"/>
              </w:rPr>
              <w:t>10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w:t>
            </w:r>
            <w:r>
              <w:rPr>
                <w:rFonts w:ascii="宋体" w:hAnsi="宋体" w:eastAsia="宋体" w:cs="宋体"/>
                <w:color w:val="auto"/>
                <w:kern w:val="0"/>
                <w:sz w:val="15"/>
                <w:szCs w:val="15"/>
                <w:highlight w:val="none"/>
              </w:rPr>
              <w:t>11</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26</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40</w:t>
            </w:r>
            <w:r>
              <w:rPr>
                <w:rFonts w:hint="eastAsia"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062C94A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p>
        </w:tc>
        <w:tc>
          <w:tcPr>
            <w:tcW w:w="2020" w:type="dxa"/>
            <w:gridSpan w:val="2"/>
            <w:noWrap w:val="0"/>
            <w:vAlign w:val="center"/>
          </w:tcPr>
          <w:p w14:paraId="66C5C973">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582A0FB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25C40A2">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92AE759">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C4626800</w:t>
            </w:r>
          </w:p>
        </w:tc>
      </w:tr>
      <w:tr w14:paraId="3A5B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859" w:hRule="atLeast"/>
        </w:trPr>
        <w:tc>
          <w:tcPr>
            <w:tcW w:w="714" w:type="dxa"/>
            <w:noWrap w:val="0"/>
            <w:vAlign w:val="center"/>
          </w:tcPr>
          <w:p w14:paraId="23DC8E7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14:paraId="3324D5D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施工现场</w:t>
            </w:r>
            <w:r>
              <w:rPr>
                <w:rFonts w:ascii="宋体" w:hAnsi="宋体" w:eastAsia="宋体"/>
                <w:color w:val="auto"/>
                <w:sz w:val="15"/>
                <w:szCs w:val="15"/>
                <w:highlight w:val="none"/>
              </w:rPr>
              <w:t>土方</w:t>
            </w:r>
            <w:r>
              <w:rPr>
                <w:rFonts w:hint="eastAsia" w:ascii="宋体" w:hAnsi="宋体" w:eastAsia="宋体"/>
                <w:color w:val="auto"/>
                <w:sz w:val="15"/>
                <w:szCs w:val="15"/>
                <w:highlight w:val="none"/>
              </w:rPr>
              <w:t>未</w:t>
            </w:r>
            <w:r>
              <w:rPr>
                <w:rFonts w:ascii="宋体" w:hAnsi="宋体" w:eastAsia="宋体"/>
                <w:color w:val="auto"/>
                <w:sz w:val="15"/>
                <w:szCs w:val="15"/>
                <w:highlight w:val="none"/>
              </w:rPr>
              <w:t>集中堆放</w:t>
            </w:r>
            <w:r>
              <w:rPr>
                <w:rFonts w:hint="eastAsia" w:ascii="宋体" w:hAnsi="宋体" w:eastAsia="宋体"/>
                <w:color w:val="auto"/>
                <w:sz w:val="15"/>
                <w:szCs w:val="15"/>
                <w:highlight w:val="none"/>
              </w:rPr>
              <w:t>或者未</w:t>
            </w:r>
            <w:r>
              <w:rPr>
                <w:rFonts w:ascii="宋体" w:hAnsi="宋体" w:eastAsia="宋体"/>
                <w:color w:val="auto"/>
                <w:sz w:val="15"/>
                <w:szCs w:val="15"/>
                <w:highlight w:val="none"/>
              </w:rPr>
              <w:t>采取覆盖</w:t>
            </w:r>
            <w:r>
              <w:rPr>
                <w:rFonts w:hint="eastAsia" w:ascii="宋体" w:hAnsi="宋体" w:eastAsia="宋体"/>
                <w:color w:val="auto"/>
                <w:sz w:val="15"/>
                <w:szCs w:val="15"/>
                <w:highlight w:val="none"/>
              </w:rPr>
              <w:t>、</w:t>
            </w:r>
            <w:r>
              <w:rPr>
                <w:rFonts w:ascii="宋体" w:hAnsi="宋体" w:eastAsia="宋体"/>
                <w:color w:val="auto"/>
                <w:sz w:val="15"/>
                <w:szCs w:val="15"/>
                <w:highlight w:val="none"/>
              </w:rPr>
              <w:t>固化等措施</w:t>
            </w:r>
          </w:p>
        </w:tc>
        <w:tc>
          <w:tcPr>
            <w:tcW w:w="2981" w:type="dxa"/>
            <w:noWrap w:val="0"/>
            <w:vAlign w:val="center"/>
          </w:tcPr>
          <w:p w14:paraId="4C6C2A8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14:paraId="62F74F59">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14:paraId="6511B83C">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14:paraId="635EC3E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6C8B8CCC">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w:t>
            </w:r>
            <w:r>
              <w:rPr>
                <w:rFonts w:ascii="宋体" w:hAnsi="宋体" w:eastAsia="宋体"/>
                <w:color w:val="auto"/>
                <w:sz w:val="15"/>
                <w:szCs w:val="15"/>
                <w:highlight w:val="none"/>
              </w:rPr>
              <w:t>2</w:t>
            </w:r>
            <w:r>
              <w:rPr>
                <w:rFonts w:hint="eastAsia" w:ascii="宋体" w:hAnsi="宋体" w:eastAsia="宋体"/>
                <w:color w:val="auto"/>
                <w:sz w:val="15"/>
                <w:szCs w:val="15"/>
                <w:highlight w:val="none"/>
              </w:rPr>
              <w:t>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w:t>
            </w:r>
            <w:r>
              <w:rPr>
                <w:rFonts w:ascii="宋体" w:hAnsi="宋体" w:eastAsia="宋体"/>
                <w:color w:val="auto"/>
                <w:sz w:val="15"/>
                <w:szCs w:val="15"/>
                <w:highlight w:val="none"/>
              </w:rPr>
              <w:t>26</w:t>
            </w:r>
            <w:r>
              <w:rPr>
                <w:rFonts w:hint="eastAsia" w:ascii="宋体" w:hAnsi="宋体" w:eastAsia="宋体"/>
                <w:color w:val="auto"/>
                <w:sz w:val="15"/>
                <w:szCs w:val="15"/>
                <w:highlight w:val="none"/>
              </w:rPr>
              <w:t>－</w:t>
            </w:r>
            <w:r>
              <w:rPr>
                <w:rFonts w:ascii="宋体" w:hAnsi="宋体" w:eastAsia="宋体"/>
                <w:color w:val="auto"/>
                <w:sz w:val="15"/>
                <w:szCs w:val="15"/>
                <w:highlight w:val="none"/>
              </w:rPr>
              <w:t>4</w:t>
            </w:r>
            <w:r>
              <w:rPr>
                <w:rFonts w:hint="eastAsia" w:ascii="宋体" w:hAnsi="宋体" w:eastAsia="宋体"/>
                <w:color w:val="auto"/>
                <w:sz w:val="15"/>
                <w:szCs w:val="15"/>
                <w:highlight w:val="none"/>
              </w:rPr>
              <w:t>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01412EE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2B22FFB4">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6A25624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DBF57F7">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1D8C02EC">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C4627000</w:t>
            </w:r>
          </w:p>
        </w:tc>
      </w:tr>
      <w:tr w14:paraId="4212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813" w:hRule="atLeast"/>
        </w:trPr>
        <w:tc>
          <w:tcPr>
            <w:tcW w:w="714" w:type="dxa"/>
            <w:noWrap w:val="0"/>
            <w:vAlign w:val="center"/>
          </w:tcPr>
          <w:p w14:paraId="4EB7F19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14:paraId="0800766F">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建设单位</w:t>
            </w:r>
            <w:r>
              <w:rPr>
                <w:rFonts w:hint="eastAsia" w:ascii="宋体" w:hAnsi="宋体" w:eastAsia="宋体" w:cs="宋体"/>
                <w:color w:val="auto"/>
                <w:kern w:val="0"/>
                <w:sz w:val="15"/>
                <w:szCs w:val="15"/>
                <w:highlight w:val="none"/>
              </w:rPr>
              <w:t>未对暂时不开发的空地进行绿化</w:t>
            </w:r>
          </w:p>
        </w:tc>
        <w:tc>
          <w:tcPr>
            <w:tcW w:w="2981" w:type="dxa"/>
            <w:noWrap w:val="0"/>
            <w:vAlign w:val="center"/>
          </w:tcPr>
          <w:p w14:paraId="10DC4D7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14:paraId="3255D8A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14:paraId="6297338D">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14:paraId="2AEC55D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3C31316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564F7E7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24924AD1">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5106F8C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13B6DDE">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F2DF3AA">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C4628200</w:t>
            </w:r>
          </w:p>
        </w:tc>
      </w:tr>
      <w:tr w14:paraId="5DDE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84" w:hRule="atLeast"/>
        </w:trPr>
        <w:tc>
          <w:tcPr>
            <w:tcW w:w="714" w:type="dxa"/>
            <w:noWrap w:val="0"/>
            <w:vAlign w:val="center"/>
          </w:tcPr>
          <w:p w14:paraId="5D87863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14:paraId="0E92B234">
            <w:pPr>
              <w:spacing w:line="232" w:lineRule="exact"/>
              <w:rPr>
                <w:rFonts w:ascii="宋体" w:hAnsi="宋体" w:eastAsia="宋体" w:cs="宋体"/>
                <w:dstrike/>
                <w:color w:val="auto"/>
                <w:sz w:val="15"/>
                <w:szCs w:val="15"/>
                <w:highlight w:val="none"/>
              </w:rPr>
            </w:pPr>
            <w:r>
              <w:rPr>
                <w:rFonts w:hint="eastAsia" w:ascii="宋体" w:hAnsi="宋体" w:eastAsia="宋体"/>
                <w:color w:val="auto"/>
                <w:sz w:val="15"/>
                <w:szCs w:val="15"/>
                <w:highlight w:val="none"/>
              </w:rPr>
              <w:t>施工现场未采取洒水措施防止扬尘</w:t>
            </w:r>
          </w:p>
        </w:tc>
        <w:tc>
          <w:tcPr>
            <w:tcW w:w="2981" w:type="dxa"/>
            <w:noWrap w:val="0"/>
            <w:vAlign w:val="center"/>
          </w:tcPr>
          <w:p w14:paraId="48D18D4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违反条款：第二十三条第（三）项；</w:t>
            </w:r>
          </w:p>
          <w:p w14:paraId="74FA91E2">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14:paraId="3DB0410A">
            <w:pPr>
              <w:spacing w:line="232" w:lineRule="exact"/>
              <w:jc w:val="center"/>
              <w:rPr>
                <w:rFonts w:ascii="宋体" w:hAnsi="宋体" w:eastAsia="宋体"/>
                <w:color w:val="auto"/>
                <w:sz w:val="15"/>
                <w:szCs w:val="15"/>
                <w:highlight w:val="none"/>
              </w:rPr>
            </w:pPr>
            <w:r>
              <w:rPr>
                <w:rFonts w:ascii="宋体" w:hAnsi="宋体" w:eastAsia="宋体" w:cs="宋体"/>
                <w:color w:val="auto"/>
                <w:kern w:val="0"/>
                <w:sz w:val="15"/>
                <w:szCs w:val="15"/>
                <w:highlight w:val="none"/>
              </w:rPr>
              <w:t>10000</w:t>
            </w:r>
          </w:p>
        </w:tc>
        <w:tc>
          <w:tcPr>
            <w:tcW w:w="840" w:type="dxa"/>
            <w:noWrap w:val="0"/>
            <w:vAlign w:val="center"/>
          </w:tcPr>
          <w:p w14:paraId="09971E3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14543BDE">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7713BDF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3ACA5E59">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31DF182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D0635E5">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88E31F3">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C4628800</w:t>
            </w:r>
          </w:p>
        </w:tc>
      </w:tr>
      <w:tr w14:paraId="6745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25" w:hRule="atLeast"/>
        </w:trPr>
        <w:tc>
          <w:tcPr>
            <w:tcW w:w="714" w:type="dxa"/>
            <w:noWrap w:val="0"/>
            <w:vAlign w:val="center"/>
          </w:tcPr>
          <w:p w14:paraId="4E35884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14:paraId="41CBE42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拆除作业时未采取洒水措施防止扬尘</w:t>
            </w:r>
          </w:p>
        </w:tc>
        <w:tc>
          <w:tcPr>
            <w:tcW w:w="2981" w:type="dxa"/>
            <w:noWrap w:val="0"/>
            <w:vAlign w:val="center"/>
          </w:tcPr>
          <w:p w14:paraId="6E68E9C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违反条款：第二十三条第（三）项；</w:t>
            </w:r>
          </w:p>
          <w:p w14:paraId="218BF53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14:paraId="087C8235">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14:paraId="23D07ED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74AD8951">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7FB4E89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7298DFD3">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0891F3A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B8CAA5F">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5E72A56">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C4628900</w:t>
            </w:r>
          </w:p>
        </w:tc>
      </w:tr>
      <w:tr w14:paraId="71DA9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949" w:hRule="atLeast"/>
        </w:trPr>
        <w:tc>
          <w:tcPr>
            <w:tcW w:w="714" w:type="dxa"/>
            <w:noWrap w:val="0"/>
            <w:vAlign w:val="center"/>
          </w:tcPr>
          <w:p w14:paraId="20CE56F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14:paraId="4853DD9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可能产生扬尘污染的建筑材料未在库房存放或者未严密遮盖</w:t>
            </w:r>
          </w:p>
        </w:tc>
        <w:tc>
          <w:tcPr>
            <w:tcW w:w="2981" w:type="dxa"/>
            <w:noWrap w:val="0"/>
            <w:vAlign w:val="center"/>
          </w:tcPr>
          <w:p w14:paraId="4083980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违反条款：第二十三条第（四）项；</w:t>
            </w:r>
          </w:p>
          <w:p w14:paraId="3E01C5C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14:paraId="5B746F98">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14:paraId="5E5D8C1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758B0E1F">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5A4010D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42DC5494">
            <w:pPr>
              <w:spacing w:line="232" w:lineRule="exact"/>
              <w:jc w:val="lef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适用于施工现场相关违法行为的查处。</w:t>
            </w:r>
          </w:p>
          <w:p w14:paraId="658C2CB8">
            <w:pPr>
              <w:spacing w:line="232" w:lineRule="exact"/>
              <w:jc w:val="lef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1EC5D1C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6406B2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06462BF">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C4627900</w:t>
            </w:r>
          </w:p>
        </w:tc>
      </w:tr>
      <w:tr w14:paraId="36AE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53" w:hRule="atLeast"/>
        </w:trPr>
        <w:tc>
          <w:tcPr>
            <w:tcW w:w="714" w:type="dxa"/>
            <w:noWrap w:val="0"/>
            <w:vAlign w:val="center"/>
          </w:tcPr>
          <w:p w14:paraId="5827B11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14:paraId="5C2D49F3">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施工现场存放油料未采取防止泄漏和污染措施</w:t>
            </w:r>
          </w:p>
        </w:tc>
        <w:tc>
          <w:tcPr>
            <w:tcW w:w="2981" w:type="dxa"/>
            <w:noWrap w:val="0"/>
            <w:vAlign w:val="center"/>
          </w:tcPr>
          <w:p w14:paraId="02F7225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违反条款：第二十三条第（四）项；</w:t>
            </w:r>
          </w:p>
          <w:p w14:paraId="25203FCA">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14:paraId="0DF1D048">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14:paraId="49EADA9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p w14:paraId="5C9EFB0B">
            <w:pPr>
              <w:spacing w:line="232" w:lineRule="exact"/>
              <w:jc w:val="center"/>
              <w:rPr>
                <w:rFonts w:ascii="宋体" w:hAnsi="宋体" w:eastAsia="宋体"/>
                <w:color w:val="auto"/>
                <w:sz w:val="15"/>
                <w:szCs w:val="15"/>
                <w:highlight w:val="none"/>
              </w:rPr>
            </w:pPr>
          </w:p>
        </w:tc>
        <w:tc>
          <w:tcPr>
            <w:tcW w:w="2376" w:type="dxa"/>
            <w:noWrap w:val="0"/>
            <w:vAlign w:val="center"/>
          </w:tcPr>
          <w:p w14:paraId="24FE5EAB">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0B9F350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5900D979">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60EAB00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055C73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2564203">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C4628700</w:t>
            </w:r>
          </w:p>
        </w:tc>
      </w:tr>
      <w:tr w14:paraId="144F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68" w:hRule="atLeast"/>
        </w:trPr>
        <w:tc>
          <w:tcPr>
            <w:tcW w:w="714" w:type="dxa"/>
            <w:noWrap w:val="0"/>
            <w:vAlign w:val="center"/>
          </w:tcPr>
          <w:p w14:paraId="7E0B7E0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14:paraId="206E040D">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施工现场出口处未设置冲洗车辆设施</w:t>
            </w:r>
          </w:p>
        </w:tc>
        <w:tc>
          <w:tcPr>
            <w:tcW w:w="2981" w:type="dxa"/>
            <w:noWrap w:val="0"/>
            <w:vAlign w:val="center"/>
          </w:tcPr>
          <w:p w14:paraId="1983640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违反条款：第二十四条；</w:t>
            </w:r>
          </w:p>
          <w:p w14:paraId="1F32E2CC">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w:t>
            </w:r>
            <w:r>
              <w:rPr>
                <w:rFonts w:ascii="宋体" w:hAnsi="宋体" w:eastAsia="宋体"/>
                <w:color w:val="auto"/>
                <w:sz w:val="15"/>
                <w:szCs w:val="15"/>
                <w:highlight w:val="none"/>
              </w:rPr>
              <w:t>三十七条，</w:t>
            </w:r>
            <w:r>
              <w:rPr>
                <w:rFonts w:hint="eastAsia" w:ascii="宋体" w:hAnsi="宋体" w:eastAsia="宋体"/>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noWrap w:val="0"/>
            <w:vAlign w:val="center"/>
          </w:tcPr>
          <w:p w14:paraId="2D6FD5B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6D79B72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3AA67D0E">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0D8A449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ascii="宋体" w:hAnsi="宋体" w:eastAsia="宋体"/>
                <w:color w:val="auto"/>
                <w:sz w:val="15"/>
                <w:szCs w:val="15"/>
                <w:highlight w:val="none"/>
              </w:rPr>
              <w:t>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0506225A">
            <w:pPr>
              <w:spacing w:line="232" w:lineRule="exact"/>
              <w:rPr>
                <w:rFonts w:hint="eastAsia"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14:paraId="391E455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3C844C8">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D53F246">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C4627200</w:t>
            </w:r>
          </w:p>
        </w:tc>
      </w:tr>
      <w:tr w14:paraId="5D93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58" w:hRule="atLeast"/>
        </w:trPr>
        <w:tc>
          <w:tcPr>
            <w:tcW w:w="714" w:type="dxa"/>
            <w:noWrap w:val="0"/>
            <w:vAlign w:val="center"/>
          </w:tcPr>
          <w:p w14:paraId="3A2FCEF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14:paraId="031068B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未设密闭式垃圾站</w:t>
            </w:r>
          </w:p>
        </w:tc>
        <w:tc>
          <w:tcPr>
            <w:tcW w:w="2981" w:type="dxa"/>
            <w:noWrap w:val="0"/>
            <w:vAlign w:val="center"/>
          </w:tcPr>
          <w:p w14:paraId="17F5802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违反条款：第二十五条；</w:t>
            </w:r>
          </w:p>
          <w:p w14:paraId="4CF1286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处罚条款：第三十八条：责令改正，处1000元以上1万元以下罚款。</w:t>
            </w:r>
          </w:p>
        </w:tc>
        <w:tc>
          <w:tcPr>
            <w:tcW w:w="851" w:type="dxa"/>
            <w:noWrap w:val="0"/>
            <w:vAlign w:val="center"/>
          </w:tcPr>
          <w:p w14:paraId="381A275F">
            <w:pPr>
              <w:spacing w:line="232" w:lineRule="exact"/>
              <w:jc w:val="center"/>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1000</w:t>
            </w:r>
          </w:p>
        </w:tc>
        <w:tc>
          <w:tcPr>
            <w:tcW w:w="840" w:type="dxa"/>
            <w:noWrap w:val="0"/>
            <w:vAlign w:val="center"/>
          </w:tcPr>
          <w:p w14:paraId="3A0C062B">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76E4757E">
            <w:pPr>
              <w:spacing w:line="232" w:lineRule="exact"/>
              <w:rPr>
                <w:rFonts w:hint="eastAsia" w:ascii="宋体" w:hAnsi="宋体" w:eastAsia="宋体" w:cs="宋体"/>
                <w:dstrike/>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未设置时间持续较长、垃圾堆放量较大，垃圾飘洒、恶臭等环境脏乱严重等情形，</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2BE096E4">
            <w:pPr>
              <w:spacing w:line="232" w:lineRule="exact"/>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34C72EE4">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32B5E8C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188102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F346601">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C4628300</w:t>
            </w:r>
          </w:p>
        </w:tc>
      </w:tr>
      <w:tr w14:paraId="6E93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02" w:hRule="atLeast"/>
        </w:trPr>
        <w:tc>
          <w:tcPr>
            <w:tcW w:w="714" w:type="dxa"/>
            <w:noWrap w:val="0"/>
            <w:vAlign w:val="center"/>
          </w:tcPr>
          <w:p w14:paraId="1B915F2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14:paraId="508F752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未搭设密闭式专用垃圾通道或者未采用容器吊运的</w:t>
            </w:r>
          </w:p>
        </w:tc>
        <w:tc>
          <w:tcPr>
            <w:tcW w:w="2981" w:type="dxa"/>
            <w:noWrap w:val="0"/>
            <w:vAlign w:val="center"/>
          </w:tcPr>
          <w:p w14:paraId="32C5955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违反条款：第二十五条；</w:t>
            </w:r>
          </w:p>
          <w:p w14:paraId="4B40093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处罚条款：第三十八条：责令改正，处1000元以上1万元以下罚款。</w:t>
            </w:r>
          </w:p>
        </w:tc>
        <w:tc>
          <w:tcPr>
            <w:tcW w:w="851" w:type="dxa"/>
            <w:noWrap w:val="0"/>
            <w:vAlign w:val="center"/>
          </w:tcPr>
          <w:p w14:paraId="73B1EF7F">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lang w:val="en-US" w:eastAsia="zh-CN"/>
              </w:rPr>
              <w:t>1000</w:t>
            </w:r>
          </w:p>
        </w:tc>
        <w:tc>
          <w:tcPr>
            <w:tcW w:w="840" w:type="dxa"/>
            <w:noWrap w:val="0"/>
            <w:vAlign w:val="center"/>
          </w:tcPr>
          <w:p w14:paraId="65197B05">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21A9886F">
            <w:pPr>
              <w:spacing w:line="232" w:lineRule="exact"/>
              <w:rPr>
                <w:rFonts w:hint="eastAsia" w:ascii="宋体" w:hAnsi="宋体" w:eastAsia="宋体" w:cs="宋体"/>
                <w:dstrike/>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未搭设密闭式专用垃圾通道时间持续较长或不采用容器吊运时间较长的，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56ED3D74">
            <w:pPr>
              <w:spacing w:line="232" w:lineRule="exact"/>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37EE6B56">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2B7FF46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D814E5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2D39F45">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C4628400</w:t>
            </w:r>
          </w:p>
        </w:tc>
      </w:tr>
      <w:tr w14:paraId="43BDA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96" w:hRule="atLeast"/>
        </w:trPr>
        <w:tc>
          <w:tcPr>
            <w:tcW w:w="14587" w:type="dxa"/>
            <w:gridSpan w:val="13"/>
            <w:noWrap w:val="0"/>
            <w:vAlign w:val="center"/>
          </w:tcPr>
          <w:p w14:paraId="2BC350A7">
            <w:pPr>
              <w:pStyle w:val="2"/>
              <w:keepNext w:val="0"/>
              <w:keepLines w:val="0"/>
              <w:rPr>
                <w:rFonts w:ascii="黑体" w:hAnsi="黑体" w:eastAsia="黑体"/>
                <w:b w:val="0"/>
                <w:color w:val="auto"/>
                <w:sz w:val="24"/>
                <w:szCs w:val="24"/>
                <w:highlight w:val="none"/>
              </w:rPr>
            </w:pPr>
            <w:bookmarkStart w:id="125" w:name="_Toc1256403622"/>
            <w:bookmarkStart w:id="126" w:name="_Toc110851476"/>
            <w:bookmarkStart w:id="127" w:name="_Toc1112928068"/>
            <w:r>
              <w:rPr>
                <w:rFonts w:hint="eastAsia" w:ascii="黑体" w:hAnsi="黑体" w:eastAsia="黑体"/>
                <w:b w:val="0"/>
                <w:color w:val="auto"/>
                <w:sz w:val="28"/>
                <w:szCs w:val="28"/>
                <w:highlight w:val="none"/>
              </w:rPr>
              <w:t>停车场管理方面</w:t>
            </w:r>
            <w:bookmarkEnd w:id="125"/>
            <w:bookmarkEnd w:id="126"/>
            <w:bookmarkEnd w:id="127"/>
          </w:p>
        </w:tc>
        <w:tc>
          <w:tcPr>
            <w:tcW w:w="1869" w:type="dxa"/>
            <w:noWrap w:val="0"/>
            <w:vAlign w:val="center"/>
          </w:tcPr>
          <w:p w14:paraId="3C33AD21">
            <w:pPr>
              <w:pStyle w:val="2"/>
              <w:keepNext w:val="0"/>
              <w:keepLines w:val="0"/>
              <w:rPr>
                <w:rFonts w:hint="eastAsia" w:ascii="黑体" w:hAnsi="黑体" w:eastAsia="黑体"/>
                <w:b w:val="0"/>
                <w:color w:val="auto"/>
                <w:sz w:val="28"/>
                <w:szCs w:val="28"/>
                <w:highlight w:val="none"/>
              </w:rPr>
            </w:pPr>
          </w:p>
        </w:tc>
      </w:tr>
      <w:tr w14:paraId="596F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12" w:hRule="atLeast"/>
        </w:trPr>
        <w:tc>
          <w:tcPr>
            <w:tcW w:w="14587" w:type="dxa"/>
            <w:gridSpan w:val="13"/>
            <w:noWrap w:val="0"/>
            <w:vAlign w:val="center"/>
          </w:tcPr>
          <w:p w14:paraId="78FF666D">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28" w:name="_Toc509001082"/>
            <w:bookmarkStart w:id="129" w:name="_Toc110851477"/>
            <w:bookmarkStart w:id="130" w:name="_Toc460596015"/>
            <w:r>
              <w:rPr>
                <w:rFonts w:hint="eastAsia" w:ascii="宋体" w:hAnsi="宋体" w:eastAsia="宋体"/>
                <w:color w:val="auto"/>
                <w:sz w:val="21"/>
                <w:szCs w:val="21"/>
                <w:highlight w:val="none"/>
              </w:rPr>
              <w:t>《北京市机动车停车管理办法》案由13项</w:t>
            </w:r>
            <w:bookmarkEnd w:id="128"/>
            <w:bookmarkEnd w:id="129"/>
            <w:bookmarkEnd w:id="130"/>
          </w:p>
        </w:tc>
        <w:tc>
          <w:tcPr>
            <w:tcW w:w="1869" w:type="dxa"/>
            <w:noWrap w:val="0"/>
            <w:vAlign w:val="center"/>
          </w:tcPr>
          <w:p w14:paraId="095ADD87">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14:paraId="0735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77" w:hRule="atLeast"/>
        </w:trPr>
        <w:tc>
          <w:tcPr>
            <w:tcW w:w="714" w:type="dxa"/>
            <w:noWrap w:val="0"/>
            <w:vAlign w:val="center"/>
          </w:tcPr>
          <w:p w14:paraId="5C74163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32D9F350">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擅自停止使用机动车停车场</w:t>
            </w:r>
          </w:p>
        </w:tc>
        <w:tc>
          <w:tcPr>
            <w:tcW w:w="2981" w:type="dxa"/>
            <w:noWrap w:val="0"/>
            <w:vAlign w:val="center"/>
          </w:tcPr>
          <w:p w14:paraId="54451089">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第十四条第一款</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处罚条款：第三十一条</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责令限期改正，恢复原状。</w:t>
            </w:r>
          </w:p>
        </w:tc>
        <w:tc>
          <w:tcPr>
            <w:tcW w:w="851" w:type="dxa"/>
            <w:noWrap w:val="0"/>
            <w:vAlign w:val="center"/>
          </w:tcPr>
          <w:p w14:paraId="48880383">
            <w:pPr>
              <w:spacing w:line="232" w:lineRule="exact"/>
              <w:rPr>
                <w:rFonts w:ascii="宋体" w:hAnsi="宋体" w:eastAsia="宋体" w:cs="宋体"/>
                <w:color w:val="auto"/>
                <w:kern w:val="0"/>
                <w:sz w:val="15"/>
                <w:szCs w:val="15"/>
                <w:highlight w:val="none"/>
              </w:rPr>
            </w:pPr>
          </w:p>
        </w:tc>
        <w:tc>
          <w:tcPr>
            <w:tcW w:w="840" w:type="dxa"/>
            <w:noWrap w:val="0"/>
            <w:vAlign w:val="center"/>
          </w:tcPr>
          <w:p w14:paraId="6D35A196">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3326FE7A">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7C39D030">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42507F68">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1304" w:type="dxa"/>
            <w:gridSpan w:val="2"/>
            <w:noWrap w:val="0"/>
            <w:vAlign w:val="center"/>
          </w:tcPr>
          <w:p w14:paraId="2E0274A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8BFC27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7F99E90">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无</w:t>
            </w:r>
          </w:p>
        </w:tc>
      </w:tr>
      <w:tr w14:paraId="4294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55" w:hRule="atLeast"/>
        </w:trPr>
        <w:tc>
          <w:tcPr>
            <w:tcW w:w="714" w:type="dxa"/>
            <w:noWrap w:val="0"/>
            <w:vAlign w:val="center"/>
          </w:tcPr>
          <w:p w14:paraId="173C78E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14:paraId="7E2CAE8B">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擅自将机动车停车场改作他用</w:t>
            </w:r>
          </w:p>
        </w:tc>
        <w:tc>
          <w:tcPr>
            <w:tcW w:w="2981" w:type="dxa"/>
            <w:noWrap w:val="0"/>
            <w:vAlign w:val="center"/>
          </w:tcPr>
          <w:p w14:paraId="0DD7FABE">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第十四条第一款</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处罚条款</w:t>
            </w:r>
            <w:r>
              <w:rPr>
                <w:rFonts w:hint="eastAsia" w:ascii="宋体" w:hAnsi="宋体" w:eastAsia="宋体"/>
                <w:color w:val="auto"/>
                <w:sz w:val="15"/>
                <w:szCs w:val="15"/>
                <w:highlight w:val="none"/>
                <w:lang w:eastAsia="zh-CN"/>
              </w:rPr>
              <w:t>；</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第三十一条</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责令限期改正，恢复原状。</w:t>
            </w:r>
          </w:p>
        </w:tc>
        <w:tc>
          <w:tcPr>
            <w:tcW w:w="851" w:type="dxa"/>
            <w:noWrap w:val="0"/>
            <w:vAlign w:val="center"/>
          </w:tcPr>
          <w:p w14:paraId="2BF4450B">
            <w:pPr>
              <w:spacing w:line="232" w:lineRule="exact"/>
              <w:rPr>
                <w:rFonts w:ascii="宋体" w:hAnsi="宋体" w:eastAsia="宋体" w:cs="宋体"/>
                <w:color w:val="auto"/>
                <w:kern w:val="0"/>
                <w:sz w:val="15"/>
                <w:szCs w:val="15"/>
                <w:highlight w:val="none"/>
              </w:rPr>
            </w:pPr>
          </w:p>
        </w:tc>
        <w:tc>
          <w:tcPr>
            <w:tcW w:w="840" w:type="dxa"/>
            <w:noWrap w:val="0"/>
            <w:vAlign w:val="center"/>
          </w:tcPr>
          <w:p w14:paraId="1552D9E6">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0E1F6687">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4ECD3A47">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566B096B">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1304" w:type="dxa"/>
            <w:gridSpan w:val="2"/>
            <w:noWrap w:val="0"/>
            <w:vAlign w:val="center"/>
          </w:tcPr>
          <w:p w14:paraId="7DBFD52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FD050F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37655C2">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无</w:t>
            </w:r>
          </w:p>
        </w:tc>
      </w:tr>
      <w:tr w14:paraId="6283B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01" w:hRule="atLeast"/>
        </w:trPr>
        <w:tc>
          <w:tcPr>
            <w:tcW w:w="714" w:type="dxa"/>
            <w:noWrap w:val="0"/>
            <w:vAlign w:val="center"/>
          </w:tcPr>
          <w:p w14:paraId="4300CEF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14:paraId="3B2CE4E7">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擅自将机动车临时停车场停止使用</w:t>
            </w:r>
          </w:p>
        </w:tc>
        <w:tc>
          <w:tcPr>
            <w:tcW w:w="2981" w:type="dxa"/>
            <w:noWrap w:val="0"/>
            <w:vAlign w:val="center"/>
          </w:tcPr>
          <w:p w14:paraId="1F0009B1">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第十四条第二款；处罚条款</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第三十一条</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责令限期改正，恢复原状。</w:t>
            </w:r>
          </w:p>
        </w:tc>
        <w:tc>
          <w:tcPr>
            <w:tcW w:w="851" w:type="dxa"/>
            <w:noWrap w:val="0"/>
            <w:vAlign w:val="center"/>
          </w:tcPr>
          <w:p w14:paraId="72CE891F">
            <w:pPr>
              <w:spacing w:line="232" w:lineRule="exact"/>
              <w:rPr>
                <w:rFonts w:ascii="宋体" w:hAnsi="宋体" w:eastAsia="宋体" w:cs="宋体"/>
                <w:color w:val="auto"/>
                <w:kern w:val="0"/>
                <w:sz w:val="15"/>
                <w:szCs w:val="15"/>
                <w:highlight w:val="none"/>
              </w:rPr>
            </w:pPr>
          </w:p>
        </w:tc>
        <w:tc>
          <w:tcPr>
            <w:tcW w:w="840" w:type="dxa"/>
            <w:noWrap w:val="0"/>
            <w:vAlign w:val="center"/>
          </w:tcPr>
          <w:p w14:paraId="308F3BA6">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33664459">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2107AD81">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67C43541">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1304" w:type="dxa"/>
            <w:gridSpan w:val="2"/>
            <w:noWrap w:val="0"/>
            <w:vAlign w:val="center"/>
          </w:tcPr>
          <w:p w14:paraId="64BFE8D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2E6116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D9B5E56">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无</w:t>
            </w:r>
          </w:p>
        </w:tc>
      </w:tr>
      <w:tr w14:paraId="3F8FE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64" w:hRule="atLeast"/>
        </w:trPr>
        <w:tc>
          <w:tcPr>
            <w:tcW w:w="714" w:type="dxa"/>
            <w:noWrap w:val="0"/>
            <w:vAlign w:val="center"/>
          </w:tcPr>
          <w:p w14:paraId="7242912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14:paraId="77AAB8B6">
            <w:pPr>
              <w:spacing w:line="190" w:lineRule="exact"/>
              <w:contextualSpacing/>
              <w:jc w:val="left"/>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无照经营（机动车停车场）</w:t>
            </w:r>
          </w:p>
        </w:tc>
        <w:tc>
          <w:tcPr>
            <w:tcW w:w="2981" w:type="dxa"/>
            <w:noWrap w:val="0"/>
            <w:vAlign w:val="center"/>
          </w:tcPr>
          <w:p w14:paraId="26A1AE36">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违反条款：《北京市机动车停车管理办法》第二十条第一款、《无证无照经营查处办法》第二条；</w:t>
            </w:r>
          </w:p>
          <w:p w14:paraId="7D55EE36">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noWrap w:val="0"/>
            <w:vAlign w:val="center"/>
          </w:tcPr>
          <w:p w14:paraId="7FAB0520">
            <w:pPr>
              <w:spacing w:line="190"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3000</w:t>
            </w:r>
          </w:p>
        </w:tc>
        <w:tc>
          <w:tcPr>
            <w:tcW w:w="840" w:type="dxa"/>
            <w:noWrap w:val="0"/>
            <w:vAlign w:val="center"/>
          </w:tcPr>
          <w:p w14:paraId="14F4BEBB">
            <w:pPr>
              <w:spacing w:line="190"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w:t>
            </w:r>
          </w:p>
        </w:tc>
        <w:tc>
          <w:tcPr>
            <w:tcW w:w="2376" w:type="dxa"/>
            <w:noWrap w:val="0"/>
            <w:vAlign w:val="center"/>
          </w:tcPr>
          <w:p w14:paraId="291944CC">
            <w:pPr>
              <w:spacing w:line="190" w:lineRule="exact"/>
              <w:contextualSpacing/>
              <w:jc w:val="left"/>
              <w:rPr>
                <w:rFonts w:hint="eastAsia" w:ascii="宋体" w:hAnsi="宋体" w:eastAsia="宋体" w:cs="宋体"/>
                <w:bCs/>
                <w:color w:val="auto"/>
                <w:kern w:val="0"/>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14:paraId="209D2F80">
            <w:pPr>
              <w:spacing w:line="190" w:lineRule="exact"/>
              <w:contextualSpacing/>
              <w:rPr>
                <w:rFonts w:hint="eastAsia" w:ascii="宋体" w:hAnsi="宋体" w:eastAsia="宋体" w:cs="宋体"/>
                <w:bCs/>
                <w:color w:val="auto"/>
                <w:kern w:val="0"/>
                <w:sz w:val="15"/>
                <w:szCs w:val="15"/>
                <w:highlight w:val="none"/>
                <w:lang w:eastAsia="zh-CN"/>
              </w:rPr>
            </w:pPr>
            <w:r>
              <w:rPr>
                <w:rFonts w:hint="eastAsia" w:ascii="宋体" w:hAnsi="宋体" w:eastAsia="宋体" w:cs="宋体"/>
                <w:bCs/>
                <w:color w:val="auto"/>
                <w:kern w:val="0"/>
                <w:sz w:val="15"/>
                <w:szCs w:val="15"/>
                <w:highlight w:val="none"/>
              </w:rPr>
              <w:t>罚款数额＝3000×（1＋</w:t>
            </w:r>
            <w:r>
              <w:rPr>
                <w:rFonts w:hint="eastAsia" w:ascii="宋体" w:hAnsi="宋体" w:eastAsia="宋体" w:cs="宋体"/>
                <w:bCs/>
                <w:color w:val="auto"/>
                <w:kern w:val="0"/>
                <w:sz w:val="15"/>
                <w:szCs w:val="15"/>
                <w:highlight w:val="none"/>
                <w:lang w:eastAsia="zh-CN"/>
              </w:rPr>
              <w:t>情节系</w:t>
            </w:r>
          </w:p>
          <w:p w14:paraId="75DBEBDD">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lang w:eastAsia="zh-CN"/>
              </w:rPr>
              <w:t>数</w:t>
            </w:r>
            <w:r>
              <w:rPr>
                <w:rFonts w:hint="eastAsia" w:ascii="宋体" w:hAnsi="宋体" w:eastAsia="宋体" w:cs="宋体"/>
                <w:bCs/>
                <w:color w:val="auto"/>
                <w:kern w:val="0"/>
                <w:sz w:val="15"/>
                <w:szCs w:val="15"/>
                <w:highlight w:val="none"/>
              </w:rPr>
              <w:t>）</w:t>
            </w:r>
          </w:p>
        </w:tc>
        <w:tc>
          <w:tcPr>
            <w:tcW w:w="2020" w:type="dxa"/>
            <w:gridSpan w:val="2"/>
            <w:noWrap w:val="0"/>
            <w:vAlign w:val="center"/>
          </w:tcPr>
          <w:p w14:paraId="205A3BE8">
            <w:pPr>
              <w:spacing w:line="190" w:lineRule="exact"/>
              <w:contextualSpacing/>
              <w:rPr>
                <w:rFonts w:hint="eastAsia" w:ascii="宋体" w:hAnsi="宋体" w:eastAsia="宋体" w:cs="宋体"/>
                <w:bCs/>
                <w:color w:val="auto"/>
                <w:kern w:val="0"/>
                <w:sz w:val="15"/>
                <w:szCs w:val="15"/>
                <w:highlight w:val="none"/>
                <w:lang w:eastAsia="zh-CN"/>
              </w:rPr>
            </w:pPr>
            <w:r>
              <w:rPr>
                <w:rFonts w:hint="eastAsia" w:ascii="宋体" w:hAnsi="宋体" w:eastAsia="宋体" w:cs="宋体"/>
                <w:bCs/>
                <w:color w:val="auto"/>
                <w:kern w:val="0"/>
                <w:sz w:val="15"/>
                <w:szCs w:val="15"/>
                <w:highlight w:val="none"/>
                <w:lang w:eastAsia="zh-CN"/>
              </w:rPr>
              <w:t>需要</w:t>
            </w:r>
            <w:r>
              <w:rPr>
                <w:rFonts w:hint="eastAsia" w:ascii="宋体" w:hAnsi="宋体" w:eastAsia="宋体" w:cs="宋体"/>
                <w:bCs/>
                <w:color w:val="auto"/>
                <w:kern w:val="0"/>
                <w:sz w:val="15"/>
                <w:szCs w:val="15"/>
                <w:highlight w:val="none"/>
              </w:rPr>
              <w:t>在3000元以下进行处罚</w:t>
            </w:r>
            <w:r>
              <w:rPr>
                <w:rFonts w:hint="eastAsia" w:ascii="宋体" w:hAnsi="宋体" w:eastAsia="宋体" w:cs="宋体"/>
                <w:bCs/>
                <w:color w:val="auto"/>
                <w:kern w:val="0"/>
                <w:sz w:val="15"/>
                <w:szCs w:val="15"/>
                <w:highlight w:val="none"/>
                <w:lang w:eastAsia="zh-CN"/>
              </w:rPr>
              <w:t>，</w:t>
            </w:r>
            <w:r>
              <w:rPr>
                <w:rFonts w:hint="eastAsia" w:ascii="宋体" w:hAnsi="宋体" w:eastAsia="宋体" w:cs="宋体"/>
                <w:bCs/>
                <w:color w:val="auto"/>
                <w:kern w:val="0"/>
                <w:sz w:val="15"/>
                <w:szCs w:val="15"/>
                <w:highlight w:val="none"/>
              </w:rPr>
              <w:t>报案审会审议</w:t>
            </w:r>
            <w:r>
              <w:rPr>
                <w:rFonts w:hint="eastAsia" w:ascii="宋体" w:hAnsi="宋体" w:eastAsia="宋体" w:cs="宋体"/>
                <w:bCs/>
                <w:color w:val="auto"/>
                <w:kern w:val="0"/>
                <w:sz w:val="15"/>
                <w:szCs w:val="15"/>
                <w:highlight w:val="none"/>
                <w:lang w:eastAsia="zh-CN"/>
              </w:rPr>
              <w:t>决定。</w:t>
            </w:r>
          </w:p>
        </w:tc>
        <w:tc>
          <w:tcPr>
            <w:tcW w:w="1304" w:type="dxa"/>
            <w:gridSpan w:val="2"/>
            <w:noWrap w:val="0"/>
            <w:vAlign w:val="center"/>
          </w:tcPr>
          <w:p w14:paraId="7EB365AE">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E4184D9">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A141590">
            <w:pPr>
              <w:spacing w:line="232" w:lineRule="exact"/>
              <w:contextualSpacing/>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C4633500</w:t>
            </w:r>
          </w:p>
        </w:tc>
      </w:tr>
      <w:tr w14:paraId="3F86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62" w:hRule="atLeast"/>
        </w:trPr>
        <w:tc>
          <w:tcPr>
            <w:tcW w:w="714" w:type="dxa"/>
            <w:noWrap w:val="0"/>
            <w:vAlign w:val="center"/>
          </w:tcPr>
          <w:p w14:paraId="15E36A9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14:paraId="60C78620">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未按规定对停车泊位备案</w:t>
            </w:r>
          </w:p>
        </w:tc>
        <w:tc>
          <w:tcPr>
            <w:tcW w:w="2981" w:type="dxa"/>
            <w:noWrap w:val="0"/>
            <w:vAlign w:val="center"/>
          </w:tcPr>
          <w:p w14:paraId="28D81A74">
            <w:pPr>
              <w:spacing w:line="19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违反条款：第二十条第一款；处罚条款：第三十二条第二款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处1万元罚款</w:t>
            </w:r>
            <w:r>
              <w:rPr>
                <w:rFonts w:hint="eastAsia" w:ascii="宋体" w:hAnsi="宋体" w:eastAsia="宋体"/>
                <w:color w:val="auto"/>
                <w:sz w:val="15"/>
                <w:szCs w:val="15"/>
                <w:highlight w:val="none"/>
                <w:lang w:eastAsia="zh-CN"/>
              </w:rPr>
              <w:t>。</w:t>
            </w:r>
          </w:p>
        </w:tc>
        <w:tc>
          <w:tcPr>
            <w:tcW w:w="851" w:type="dxa"/>
            <w:noWrap w:val="0"/>
            <w:vAlign w:val="center"/>
          </w:tcPr>
          <w:p w14:paraId="26A94AA7">
            <w:pPr>
              <w:spacing w:line="190" w:lineRule="exact"/>
              <w:rPr>
                <w:rFonts w:ascii="宋体" w:hAnsi="宋体" w:eastAsia="宋体" w:cs="宋体"/>
                <w:color w:val="auto"/>
                <w:kern w:val="0"/>
                <w:sz w:val="15"/>
                <w:szCs w:val="15"/>
                <w:highlight w:val="none"/>
              </w:rPr>
            </w:pPr>
          </w:p>
        </w:tc>
        <w:tc>
          <w:tcPr>
            <w:tcW w:w="840" w:type="dxa"/>
            <w:noWrap w:val="0"/>
            <w:vAlign w:val="center"/>
          </w:tcPr>
          <w:p w14:paraId="3A44931A">
            <w:pPr>
              <w:spacing w:line="190" w:lineRule="exact"/>
              <w:jc w:val="center"/>
              <w:rPr>
                <w:rFonts w:ascii="宋体" w:hAnsi="宋体" w:eastAsia="宋体" w:cs="宋体"/>
                <w:color w:val="auto"/>
                <w:kern w:val="0"/>
                <w:sz w:val="15"/>
                <w:szCs w:val="15"/>
                <w:highlight w:val="none"/>
              </w:rPr>
            </w:pPr>
          </w:p>
        </w:tc>
        <w:tc>
          <w:tcPr>
            <w:tcW w:w="2376" w:type="dxa"/>
            <w:noWrap w:val="0"/>
            <w:vAlign w:val="center"/>
          </w:tcPr>
          <w:p w14:paraId="32125CDB">
            <w:pPr>
              <w:spacing w:line="190" w:lineRule="exact"/>
              <w:rPr>
                <w:rFonts w:ascii="宋体" w:hAnsi="宋体" w:eastAsia="宋体" w:cs="宋体"/>
                <w:color w:val="auto"/>
                <w:kern w:val="0"/>
                <w:sz w:val="15"/>
                <w:szCs w:val="15"/>
                <w:highlight w:val="none"/>
              </w:rPr>
            </w:pPr>
          </w:p>
        </w:tc>
        <w:tc>
          <w:tcPr>
            <w:tcW w:w="1875" w:type="dxa"/>
            <w:gridSpan w:val="2"/>
            <w:noWrap w:val="0"/>
            <w:vAlign w:val="center"/>
          </w:tcPr>
          <w:p w14:paraId="7B92E3FC">
            <w:pPr>
              <w:spacing w:line="190" w:lineRule="exact"/>
              <w:rPr>
                <w:rFonts w:ascii="宋体" w:hAnsi="宋体" w:eastAsia="宋体" w:cs="宋体"/>
                <w:color w:val="auto"/>
                <w:kern w:val="0"/>
                <w:sz w:val="15"/>
                <w:szCs w:val="15"/>
                <w:highlight w:val="none"/>
              </w:rPr>
            </w:pPr>
          </w:p>
        </w:tc>
        <w:tc>
          <w:tcPr>
            <w:tcW w:w="2020" w:type="dxa"/>
            <w:gridSpan w:val="2"/>
            <w:noWrap w:val="0"/>
            <w:vAlign w:val="center"/>
          </w:tcPr>
          <w:p w14:paraId="122511C2">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7263D34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99AB60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88BAE5F">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C4633600</w:t>
            </w:r>
          </w:p>
        </w:tc>
      </w:tr>
      <w:tr w14:paraId="55D7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00" w:hRule="atLeast"/>
        </w:trPr>
        <w:tc>
          <w:tcPr>
            <w:tcW w:w="714" w:type="dxa"/>
            <w:vMerge w:val="restart"/>
            <w:noWrap w:val="0"/>
            <w:vAlign w:val="center"/>
          </w:tcPr>
          <w:p w14:paraId="641950E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vMerge w:val="restart"/>
            <w:noWrap w:val="0"/>
            <w:vAlign w:val="center"/>
          </w:tcPr>
          <w:p w14:paraId="713091B0">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停车场管理单位未配置完备的停车设施标志标识（或未为停车人进出提供明确的引导或未为残疾人提供必要服务）</w:t>
            </w:r>
          </w:p>
        </w:tc>
        <w:tc>
          <w:tcPr>
            <w:tcW w:w="2981" w:type="dxa"/>
            <w:vMerge w:val="restart"/>
            <w:noWrap w:val="0"/>
            <w:vAlign w:val="center"/>
          </w:tcPr>
          <w:p w14:paraId="70568868">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noWrap w:val="0"/>
            <w:vAlign w:val="center"/>
          </w:tcPr>
          <w:p w14:paraId="51627730">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440695C0">
            <w:pPr>
              <w:spacing w:line="190" w:lineRule="exact"/>
              <w:jc w:val="center"/>
              <w:rPr>
                <w:rFonts w:ascii="宋体" w:hAnsi="宋体" w:eastAsia="宋体" w:cs="宋体"/>
                <w:color w:val="auto"/>
                <w:kern w:val="0"/>
                <w:sz w:val="15"/>
                <w:szCs w:val="15"/>
                <w:highlight w:val="none"/>
              </w:rPr>
            </w:pPr>
          </w:p>
        </w:tc>
        <w:tc>
          <w:tcPr>
            <w:tcW w:w="2376" w:type="dxa"/>
            <w:noWrap w:val="0"/>
            <w:vAlign w:val="center"/>
          </w:tcPr>
          <w:p w14:paraId="78CB62E0">
            <w:pPr>
              <w:spacing w:line="190" w:lineRule="exact"/>
              <w:rPr>
                <w:rFonts w:ascii="宋体" w:hAnsi="宋体" w:eastAsia="宋体" w:cs="宋体"/>
                <w:color w:val="auto"/>
                <w:kern w:val="0"/>
                <w:sz w:val="15"/>
                <w:szCs w:val="15"/>
                <w:highlight w:val="none"/>
              </w:rPr>
            </w:pPr>
          </w:p>
        </w:tc>
        <w:tc>
          <w:tcPr>
            <w:tcW w:w="1875" w:type="dxa"/>
            <w:gridSpan w:val="2"/>
            <w:noWrap w:val="0"/>
            <w:vAlign w:val="center"/>
          </w:tcPr>
          <w:p w14:paraId="1D6B8FB6">
            <w:pPr>
              <w:spacing w:line="190" w:lineRule="exact"/>
              <w:rPr>
                <w:rFonts w:ascii="宋体" w:hAnsi="宋体" w:eastAsia="宋体" w:cs="宋体"/>
                <w:color w:val="auto"/>
                <w:kern w:val="0"/>
                <w:sz w:val="15"/>
                <w:szCs w:val="15"/>
                <w:highlight w:val="none"/>
              </w:rPr>
            </w:pPr>
          </w:p>
        </w:tc>
        <w:tc>
          <w:tcPr>
            <w:tcW w:w="2020" w:type="dxa"/>
            <w:gridSpan w:val="2"/>
            <w:noWrap w:val="0"/>
            <w:vAlign w:val="center"/>
          </w:tcPr>
          <w:p w14:paraId="46240C11">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7BF5020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5965CC3">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572415C2">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C4633700</w:t>
            </w:r>
          </w:p>
        </w:tc>
      </w:tr>
      <w:tr w14:paraId="32F8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09" w:hRule="atLeast"/>
        </w:trPr>
        <w:tc>
          <w:tcPr>
            <w:tcW w:w="714" w:type="dxa"/>
            <w:vMerge w:val="continue"/>
            <w:noWrap w:val="0"/>
            <w:vAlign w:val="center"/>
          </w:tcPr>
          <w:p w14:paraId="1929C939">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269E03B9">
            <w:pPr>
              <w:spacing w:line="190" w:lineRule="exact"/>
              <w:rPr>
                <w:rFonts w:ascii="宋体" w:hAnsi="宋体" w:eastAsia="宋体"/>
                <w:color w:val="auto"/>
                <w:sz w:val="15"/>
                <w:szCs w:val="15"/>
                <w:highlight w:val="none"/>
              </w:rPr>
            </w:pPr>
          </w:p>
        </w:tc>
        <w:tc>
          <w:tcPr>
            <w:tcW w:w="2981" w:type="dxa"/>
            <w:vMerge w:val="continue"/>
            <w:noWrap w:val="0"/>
            <w:vAlign w:val="center"/>
          </w:tcPr>
          <w:p w14:paraId="38C5EC30">
            <w:pPr>
              <w:spacing w:line="190" w:lineRule="exact"/>
              <w:rPr>
                <w:rFonts w:ascii="宋体" w:hAnsi="宋体" w:eastAsia="宋体"/>
                <w:color w:val="auto"/>
                <w:sz w:val="15"/>
                <w:szCs w:val="15"/>
                <w:highlight w:val="none"/>
              </w:rPr>
            </w:pPr>
          </w:p>
        </w:tc>
        <w:tc>
          <w:tcPr>
            <w:tcW w:w="851" w:type="dxa"/>
            <w:noWrap w:val="0"/>
            <w:vAlign w:val="center"/>
          </w:tcPr>
          <w:p w14:paraId="06346A4C">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447AD8E2">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3240659">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同时存在设施标志标识不“完备”“未提供明确引导”“未为残疾人提供必要服务”等2个以上（含2个）违法行为的，系数0.5；同时存在本款2个以上（含2个）违法形态的，系数1。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7E597726">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67CD5985">
            <w:pPr>
              <w:spacing w:line="19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系数规定的情形之一，或者一年内2次以上同类违法行为受到告诫或处罚的，视为情节严重。</w:t>
            </w:r>
          </w:p>
          <w:p w14:paraId="550052EE">
            <w:pPr>
              <w:spacing w:line="190"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noWrap w:val="0"/>
            <w:vAlign w:val="center"/>
          </w:tcPr>
          <w:p w14:paraId="27B7D69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DE7C2B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05820886">
            <w:pPr>
              <w:spacing w:line="232" w:lineRule="exact"/>
              <w:jc w:val="center"/>
              <w:rPr>
                <w:rFonts w:hint="eastAsia" w:ascii="宋体" w:hAnsi="宋体" w:eastAsia="宋体"/>
                <w:color w:val="auto"/>
                <w:sz w:val="15"/>
                <w:szCs w:val="15"/>
                <w:highlight w:val="none"/>
                <w:lang w:eastAsia="zh"/>
              </w:rPr>
            </w:pPr>
          </w:p>
        </w:tc>
      </w:tr>
      <w:tr w14:paraId="324D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43" w:hRule="atLeast"/>
        </w:trPr>
        <w:tc>
          <w:tcPr>
            <w:tcW w:w="714" w:type="dxa"/>
            <w:vMerge w:val="restart"/>
            <w:noWrap w:val="0"/>
            <w:vAlign w:val="center"/>
          </w:tcPr>
          <w:p w14:paraId="7763A3C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vMerge w:val="restart"/>
            <w:noWrap w:val="0"/>
            <w:vAlign w:val="center"/>
          </w:tcPr>
          <w:p w14:paraId="58A26A2C">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停车场管理单位未指挥车辆按序进出和停放，维护停车秩序</w:t>
            </w:r>
          </w:p>
        </w:tc>
        <w:tc>
          <w:tcPr>
            <w:tcW w:w="2981" w:type="dxa"/>
            <w:vMerge w:val="restart"/>
            <w:noWrap w:val="0"/>
            <w:vAlign w:val="center"/>
          </w:tcPr>
          <w:p w14:paraId="743DC9B0">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noWrap w:val="0"/>
            <w:vAlign w:val="center"/>
          </w:tcPr>
          <w:p w14:paraId="7AA8A1B3">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3A73CDB3">
            <w:pPr>
              <w:spacing w:line="212" w:lineRule="exact"/>
              <w:jc w:val="center"/>
              <w:rPr>
                <w:rFonts w:ascii="宋体" w:hAnsi="宋体" w:eastAsia="宋体" w:cs="宋体"/>
                <w:color w:val="auto"/>
                <w:kern w:val="0"/>
                <w:sz w:val="15"/>
                <w:szCs w:val="15"/>
                <w:highlight w:val="none"/>
              </w:rPr>
            </w:pPr>
          </w:p>
        </w:tc>
        <w:tc>
          <w:tcPr>
            <w:tcW w:w="2376" w:type="dxa"/>
            <w:noWrap w:val="0"/>
            <w:vAlign w:val="center"/>
          </w:tcPr>
          <w:p w14:paraId="38D022E1">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14:paraId="7F7CC068">
            <w:pPr>
              <w:spacing w:line="212" w:lineRule="exact"/>
              <w:rPr>
                <w:rFonts w:ascii="宋体" w:hAnsi="宋体" w:eastAsia="宋体" w:cs="宋体"/>
                <w:color w:val="auto"/>
                <w:kern w:val="0"/>
                <w:sz w:val="15"/>
                <w:szCs w:val="15"/>
                <w:highlight w:val="none"/>
              </w:rPr>
            </w:pPr>
          </w:p>
        </w:tc>
        <w:tc>
          <w:tcPr>
            <w:tcW w:w="2020" w:type="dxa"/>
            <w:gridSpan w:val="2"/>
            <w:noWrap w:val="0"/>
            <w:vAlign w:val="center"/>
          </w:tcPr>
          <w:p w14:paraId="62063717">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1304" w:type="dxa"/>
            <w:gridSpan w:val="2"/>
            <w:vMerge w:val="restart"/>
            <w:noWrap w:val="0"/>
            <w:vAlign w:val="center"/>
          </w:tcPr>
          <w:p w14:paraId="46D445F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CA7EEF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065F2BE7">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C4633800</w:t>
            </w:r>
          </w:p>
        </w:tc>
      </w:tr>
      <w:tr w14:paraId="0DEF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89" w:hRule="atLeast"/>
        </w:trPr>
        <w:tc>
          <w:tcPr>
            <w:tcW w:w="714" w:type="dxa"/>
            <w:vMerge w:val="continue"/>
            <w:noWrap w:val="0"/>
            <w:vAlign w:val="center"/>
          </w:tcPr>
          <w:p w14:paraId="4F1BF488">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68327EEB">
            <w:pPr>
              <w:spacing w:line="212" w:lineRule="exact"/>
              <w:rPr>
                <w:rFonts w:ascii="宋体" w:hAnsi="宋体" w:eastAsia="宋体" w:cs="宋体"/>
                <w:color w:val="auto"/>
                <w:sz w:val="15"/>
                <w:szCs w:val="15"/>
                <w:highlight w:val="none"/>
              </w:rPr>
            </w:pPr>
          </w:p>
        </w:tc>
        <w:tc>
          <w:tcPr>
            <w:tcW w:w="2981" w:type="dxa"/>
            <w:vMerge w:val="continue"/>
            <w:noWrap w:val="0"/>
            <w:vAlign w:val="center"/>
          </w:tcPr>
          <w:p w14:paraId="1ABCC196">
            <w:pPr>
              <w:spacing w:line="212" w:lineRule="exact"/>
              <w:rPr>
                <w:rFonts w:ascii="宋体" w:hAnsi="宋体" w:eastAsia="宋体" w:cs="宋体"/>
                <w:color w:val="auto"/>
                <w:sz w:val="15"/>
                <w:szCs w:val="15"/>
                <w:highlight w:val="none"/>
              </w:rPr>
            </w:pPr>
          </w:p>
        </w:tc>
        <w:tc>
          <w:tcPr>
            <w:tcW w:w="851" w:type="dxa"/>
            <w:noWrap w:val="0"/>
            <w:vAlign w:val="center"/>
          </w:tcPr>
          <w:p w14:paraId="6FDC03D2">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751A7820">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38F159C">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2C11ED80">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54FBEE6E">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因未有效指挥和维护停车秩序，致使周边交通拥堵或者诱发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停车事故、交通事故的，或者一年内2次以上同类违法行为受到告诫或处罚的，视为情节严重。</w:t>
            </w:r>
          </w:p>
          <w:p w14:paraId="1AD29E24">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vMerge w:val="continue"/>
            <w:noWrap w:val="0"/>
            <w:vAlign w:val="center"/>
          </w:tcPr>
          <w:p w14:paraId="751749E0">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14:paraId="3FCB595D">
            <w:pPr>
              <w:spacing w:line="232" w:lineRule="exact"/>
              <w:jc w:val="center"/>
              <w:rPr>
                <w:rFonts w:ascii="宋体" w:hAnsi="宋体" w:eastAsia="宋体"/>
                <w:color w:val="auto"/>
                <w:sz w:val="15"/>
                <w:szCs w:val="15"/>
                <w:highlight w:val="none"/>
              </w:rPr>
            </w:pPr>
          </w:p>
        </w:tc>
      </w:tr>
      <w:tr w14:paraId="5EC5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38" w:hRule="atLeast"/>
        </w:trPr>
        <w:tc>
          <w:tcPr>
            <w:tcW w:w="714" w:type="dxa"/>
            <w:vMerge w:val="restart"/>
            <w:noWrap w:val="0"/>
            <w:vAlign w:val="center"/>
          </w:tcPr>
          <w:p w14:paraId="3DEB0F2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vMerge w:val="restart"/>
            <w:noWrap w:val="0"/>
            <w:vAlign w:val="center"/>
          </w:tcPr>
          <w:p w14:paraId="7D15963F">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停车场管理单位未对停车管理员进行专业培训、考核</w:t>
            </w:r>
          </w:p>
        </w:tc>
        <w:tc>
          <w:tcPr>
            <w:tcW w:w="2981" w:type="dxa"/>
            <w:vMerge w:val="restart"/>
            <w:noWrap w:val="0"/>
            <w:vAlign w:val="center"/>
          </w:tcPr>
          <w:p w14:paraId="5E093F96">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noWrap w:val="0"/>
            <w:vAlign w:val="center"/>
          </w:tcPr>
          <w:p w14:paraId="67385D9A">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4BE4E88F">
            <w:pPr>
              <w:spacing w:line="212" w:lineRule="exact"/>
              <w:jc w:val="center"/>
              <w:rPr>
                <w:rFonts w:ascii="宋体" w:hAnsi="宋体" w:eastAsia="宋体" w:cs="宋体"/>
                <w:color w:val="auto"/>
                <w:kern w:val="0"/>
                <w:sz w:val="15"/>
                <w:szCs w:val="15"/>
                <w:highlight w:val="none"/>
              </w:rPr>
            </w:pPr>
          </w:p>
        </w:tc>
        <w:tc>
          <w:tcPr>
            <w:tcW w:w="2376" w:type="dxa"/>
            <w:noWrap w:val="0"/>
            <w:vAlign w:val="center"/>
          </w:tcPr>
          <w:p w14:paraId="06D5ACC0">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14:paraId="62C38106">
            <w:pPr>
              <w:spacing w:line="212" w:lineRule="exact"/>
              <w:rPr>
                <w:rFonts w:ascii="宋体" w:hAnsi="宋体" w:eastAsia="宋体" w:cs="宋体"/>
                <w:color w:val="auto"/>
                <w:kern w:val="0"/>
                <w:sz w:val="15"/>
                <w:szCs w:val="15"/>
                <w:highlight w:val="none"/>
              </w:rPr>
            </w:pPr>
          </w:p>
        </w:tc>
        <w:tc>
          <w:tcPr>
            <w:tcW w:w="2020" w:type="dxa"/>
            <w:gridSpan w:val="2"/>
            <w:noWrap w:val="0"/>
            <w:vAlign w:val="center"/>
          </w:tcPr>
          <w:p w14:paraId="12FD366D">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1304" w:type="dxa"/>
            <w:gridSpan w:val="2"/>
            <w:vMerge w:val="restart"/>
            <w:noWrap w:val="0"/>
            <w:vAlign w:val="center"/>
          </w:tcPr>
          <w:p w14:paraId="4B39E99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7210A6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7BFB1AA6">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C4633900</w:t>
            </w:r>
          </w:p>
        </w:tc>
      </w:tr>
      <w:tr w14:paraId="706D0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29" w:hRule="atLeast"/>
        </w:trPr>
        <w:tc>
          <w:tcPr>
            <w:tcW w:w="714" w:type="dxa"/>
            <w:vMerge w:val="continue"/>
            <w:noWrap w:val="0"/>
            <w:vAlign w:val="center"/>
          </w:tcPr>
          <w:p w14:paraId="09163AB0">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630D4307">
            <w:pPr>
              <w:spacing w:line="212" w:lineRule="exact"/>
              <w:rPr>
                <w:rFonts w:ascii="宋体" w:hAnsi="宋体" w:eastAsia="宋体" w:cs="宋体"/>
                <w:color w:val="auto"/>
                <w:sz w:val="15"/>
                <w:szCs w:val="15"/>
                <w:highlight w:val="none"/>
              </w:rPr>
            </w:pPr>
          </w:p>
        </w:tc>
        <w:tc>
          <w:tcPr>
            <w:tcW w:w="2981" w:type="dxa"/>
            <w:vMerge w:val="continue"/>
            <w:noWrap w:val="0"/>
            <w:vAlign w:val="center"/>
          </w:tcPr>
          <w:p w14:paraId="1E99868E">
            <w:pPr>
              <w:spacing w:line="212" w:lineRule="exact"/>
              <w:rPr>
                <w:rFonts w:ascii="宋体" w:hAnsi="宋体" w:eastAsia="宋体" w:cs="宋体"/>
                <w:color w:val="auto"/>
                <w:sz w:val="15"/>
                <w:szCs w:val="15"/>
                <w:highlight w:val="none"/>
              </w:rPr>
            </w:pPr>
          </w:p>
        </w:tc>
        <w:tc>
          <w:tcPr>
            <w:tcW w:w="851" w:type="dxa"/>
            <w:noWrap w:val="0"/>
            <w:vAlign w:val="center"/>
          </w:tcPr>
          <w:p w14:paraId="48C82840">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0CA40BFC">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58863E5">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经核实，管理单位长达半年以上未对管理员进行培训考核，或者存在3名以上管理员同时未参与培训、考核的情形，系数1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7AFC976A">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5F335D10">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系数规定的情形之一，或者一年内2次以上同类违法行为受到告诫或处罚的，视为情节严重。</w:t>
            </w:r>
          </w:p>
          <w:p w14:paraId="7A422711">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vMerge w:val="continue"/>
            <w:noWrap w:val="0"/>
            <w:vAlign w:val="center"/>
          </w:tcPr>
          <w:p w14:paraId="48BB14BA">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14:paraId="3626C388">
            <w:pPr>
              <w:spacing w:line="232" w:lineRule="exact"/>
              <w:jc w:val="center"/>
              <w:rPr>
                <w:rFonts w:ascii="宋体" w:hAnsi="宋体" w:eastAsia="宋体"/>
                <w:color w:val="auto"/>
                <w:sz w:val="15"/>
                <w:szCs w:val="15"/>
                <w:highlight w:val="none"/>
              </w:rPr>
            </w:pPr>
          </w:p>
        </w:tc>
      </w:tr>
      <w:tr w14:paraId="3E36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95" w:hRule="atLeast"/>
        </w:trPr>
        <w:tc>
          <w:tcPr>
            <w:tcW w:w="714" w:type="dxa"/>
            <w:vMerge w:val="restart"/>
            <w:noWrap w:val="0"/>
            <w:vAlign w:val="center"/>
          </w:tcPr>
          <w:p w14:paraId="0BD96B3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vMerge w:val="restart"/>
            <w:noWrap w:val="0"/>
            <w:vAlign w:val="center"/>
          </w:tcPr>
          <w:p w14:paraId="07E0DCF7">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停车场管理单位在停车区域从事影响车辆安全停放的</w:t>
            </w:r>
            <w:r>
              <w:rPr>
                <w:rFonts w:hint="eastAsia" w:ascii="宋体" w:hAnsi="宋体" w:eastAsia="宋体"/>
                <w:color w:val="auto"/>
                <w:sz w:val="15"/>
                <w:szCs w:val="15"/>
                <w:highlight w:val="none"/>
                <w:shd w:val="clear" w:color="auto" w:fill="auto"/>
              </w:rPr>
              <w:t>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经</w:t>
            </w:r>
            <w:r>
              <w:rPr>
                <w:rFonts w:hint="eastAsia" w:ascii="宋体" w:hAnsi="宋体" w:eastAsia="宋体"/>
                <w:color w:val="auto"/>
                <w:sz w:val="15"/>
                <w:szCs w:val="15"/>
                <w:highlight w:val="none"/>
              </w:rPr>
              <w:t>营活动</w:t>
            </w:r>
          </w:p>
        </w:tc>
        <w:tc>
          <w:tcPr>
            <w:tcW w:w="2981" w:type="dxa"/>
            <w:vMerge w:val="restart"/>
            <w:noWrap w:val="0"/>
            <w:vAlign w:val="center"/>
          </w:tcPr>
          <w:p w14:paraId="229C4DA3">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noWrap w:val="0"/>
            <w:vAlign w:val="center"/>
          </w:tcPr>
          <w:p w14:paraId="6DC31BCE">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5B18906A">
            <w:pPr>
              <w:spacing w:line="212" w:lineRule="exact"/>
              <w:jc w:val="center"/>
              <w:rPr>
                <w:rFonts w:ascii="宋体" w:hAnsi="宋体" w:eastAsia="宋体" w:cs="宋体"/>
                <w:color w:val="auto"/>
                <w:kern w:val="0"/>
                <w:sz w:val="15"/>
                <w:szCs w:val="15"/>
                <w:highlight w:val="none"/>
              </w:rPr>
            </w:pPr>
          </w:p>
        </w:tc>
        <w:tc>
          <w:tcPr>
            <w:tcW w:w="2376" w:type="dxa"/>
            <w:noWrap w:val="0"/>
            <w:vAlign w:val="center"/>
          </w:tcPr>
          <w:p w14:paraId="237DB2F2">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14:paraId="15846543">
            <w:pPr>
              <w:spacing w:line="212" w:lineRule="exact"/>
              <w:rPr>
                <w:rFonts w:ascii="宋体" w:hAnsi="宋体" w:eastAsia="宋体" w:cs="宋体"/>
                <w:color w:val="auto"/>
                <w:kern w:val="0"/>
                <w:sz w:val="15"/>
                <w:szCs w:val="15"/>
                <w:highlight w:val="none"/>
              </w:rPr>
            </w:pPr>
          </w:p>
        </w:tc>
        <w:tc>
          <w:tcPr>
            <w:tcW w:w="2020" w:type="dxa"/>
            <w:gridSpan w:val="2"/>
            <w:noWrap w:val="0"/>
            <w:vAlign w:val="center"/>
          </w:tcPr>
          <w:p w14:paraId="1DC968FA">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1304" w:type="dxa"/>
            <w:gridSpan w:val="2"/>
            <w:vMerge w:val="restart"/>
            <w:noWrap w:val="0"/>
            <w:vAlign w:val="center"/>
          </w:tcPr>
          <w:p w14:paraId="2A862E6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BD05993">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0DA87558">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C4634000</w:t>
            </w:r>
          </w:p>
        </w:tc>
      </w:tr>
      <w:tr w14:paraId="0B4C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42" w:hRule="atLeast"/>
        </w:trPr>
        <w:tc>
          <w:tcPr>
            <w:tcW w:w="714" w:type="dxa"/>
            <w:vMerge w:val="continue"/>
            <w:noWrap w:val="0"/>
            <w:vAlign w:val="center"/>
          </w:tcPr>
          <w:p w14:paraId="27799FB8">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1AF3267A">
            <w:pPr>
              <w:spacing w:line="212" w:lineRule="exact"/>
              <w:rPr>
                <w:rFonts w:ascii="宋体" w:hAnsi="宋体" w:eastAsia="宋体"/>
                <w:color w:val="auto"/>
                <w:sz w:val="15"/>
                <w:szCs w:val="15"/>
                <w:highlight w:val="none"/>
              </w:rPr>
            </w:pPr>
          </w:p>
        </w:tc>
        <w:tc>
          <w:tcPr>
            <w:tcW w:w="2981" w:type="dxa"/>
            <w:vMerge w:val="continue"/>
            <w:noWrap w:val="0"/>
            <w:vAlign w:val="center"/>
          </w:tcPr>
          <w:p w14:paraId="0F657B41">
            <w:pPr>
              <w:spacing w:line="212" w:lineRule="exact"/>
              <w:rPr>
                <w:rFonts w:ascii="宋体" w:hAnsi="宋体" w:eastAsia="宋体"/>
                <w:color w:val="auto"/>
                <w:sz w:val="15"/>
                <w:szCs w:val="15"/>
                <w:highlight w:val="none"/>
              </w:rPr>
            </w:pPr>
          </w:p>
        </w:tc>
        <w:tc>
          <w:tcPr>
            <w:tcW w:w="851" w:type="dxa"/>
            <w:noWrap w:val="0"/>
            <w:vAlign w:val="center"/>
          </w:tcPr>
          <w:p w14:paraId="0B349760">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6C103697">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89A2B0A">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一年内群众投诉3次以上，或者致使周边交通拥堵的，或者因上述原因诱发停车事故或者交通事故的，系数1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32356A5B">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630EAEFF">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致使周边交通拥堵或者诱发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停车事故、交通事故的，或者一年内2次以上同类违法行为受到告诫或处罚的，视为情节严重。</w:t>
            </w:r>
          </w:p>
          <w:p w14:paraId="74FD5813">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vMerge w:val="continue"/>
            <w:noWrap w:val="0"/>
            <w:vAlign w:val="center"/>
          </w:tcPr>
          <w:p w14:paraId="76AF5C41">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14:paraId="4E94C66F">
            <w:pPr>
              <w:spacing w:line="232" w:lineRule="exact"/>
              <w:jc w:val="center"/>
              <w:rPr>
                <w:rFonts w:ascii="宋体" w:hAnsi="宋体" w:eastAsia="宋体"/>
                <w:color w:val="auto"/>
                <w:sz w:val="15"/>
                <w:szCs w:val="15"/>
                <w:highlight w:val="none"/>
              </w:rPr>
            </w:pPr>
          </w:p>
        </w:tc>
      </w:tr>
      <w:tr w14:paraId="0345A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67" w:hRule="atLeast"/>
        </w:trPr>
        <w:tc>
          <w:tcPr>
            <w:tcW w:w="714" w:type="dxa"/>
            <w:vMerge w:val="restart"/>
            <w:noWrap w:val="0"/>
            <w:vAlign w:val="center"/>
          </w:tcPr>
          <w:p w14:paraId="1FE616E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vMerge w:val="restart"/>
            <w:noWrap w:val="0"/>
            <w:vAlign w:val="center"/>
          </w:tcPr>
          <w:p w14:paraId="6CEF261A">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停车场管理单位未建立投诉处理制度</w:t>
            </w:r>
          </w:p>
        </w:tc>
        <w:tc>
          <w:tcPr>
            <w:tcW w:w="2981" w:type="dxa"/>
            <w:vMerge w:val="restart"/>
            <w:noWrap w:val="0"/>
            <w:vAlign w:val="center"/>
          </w:tcPr>
          <w:p w14:paraId="5B242B06">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noWrap w:val="0"/>
            <w:vAlign w:val="center"/>
          </w:tcPr>
          <w:p w14:paraId="6690ECE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2C643821">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4B40911A">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1F98EAD8">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2A3F9A13">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1304" w:type="dxa"/>
            <w:gridSpan w:val="2"/>
            <w:vMerge w:val="restart"/>
            <w:noWrap w:val="0"/>
            <w:vAlign w:val="center"/>
          </w:tcPr>
          <w:p w14:paraId="634213D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55685C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08540610">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C4634100</w:t>
            </w:r>
          </w:p>
        </w:tc>
      </w:tr>
      <w:tr w14:paraId="0AC8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932" w:hRule="atLeast"/>
        </w:trPr>
        <w:tc>
          <w:tcPr>
            <w:tcW w:w="714" w:type="dxa"/>
            <w:vMerge w:val="continue"/>
            <w:noWrap w:val="0"/>
            <w:vAlign w:val="center"/>
          </w:tcPr>
          <w:p w14:paraId="4B49BFE6">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14A62D76">
            <w:pPr>
              <w:spacing w:line="232" w:lineRule="exact"/>
              <w:rPr>
                <w:rFonts w:ascii="宋体" w:hAnsi="宋体" w:eastAsia="宋体"/>
                <w:color w:val="auto"/>
                <w:sz w:val="15"/>
                <w:szCs w:val="15"/>
                <w:highlight w:val="none"/>
              </w:rPr>
            </w:pPr>
          </w:p>
        </w:tc>
        <w:tc>
          <w:tcPr>
            <w:tcW w:w="2981" w:type="dxa"/>
            <w:vMerge w:val="continue"/>
            <w:noWrap w:val="0"/>
            <w:vAlign w:val="center"/>
          </w:tcPr>
          <w:p w14:paraId="522FA4F4">
            <w:pPr>
              <w:spacing w:line="232" w:lineRule="exact"/>
              <w:rPr>
                <w:rFonts w:ascii="宋体" w:hAnsi="宋体" w:eastAsia="宋体"/>
                <w:color w:val="auto"/>
                <w:sz w:val="15"/>
                <w:szCs w:val="15"/>
                <w:highlight w:val="none"/>
              </w:rPr>
            </w:pPr>
          </w:p>
        </w:tc>
        <w:tc>
          <w:tcPr>
            <w:tcW w:w="851" w:type="dxa"/>
            <w:noWrap w:val="0"/>
            <w:vAlign w:val="center"/>
          </w:tcPr>
          <w:p w14:paraId="4AFEA22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46941F5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081141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54487E7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72B4321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群众3次以上投诉，或者诱发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停车事故、交通事故、治安事件的，或者一年内2次以上同类违法行为受到告诫或处罚的，视为情节严重。</w:t>
            </w:r>
          </w:p>
          <w:p w14:paraId="788B63CE">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vMerge w:val="continue"/>
            <w:noWrap w:val="0"/>
            <w:vAlign w:val="center"/>
          </w:tcPr>
          <w:p w14:paraId="573C2A65">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14:paraId="421FF54C">
            <w:pPr>
              <w:spacing w:line="232" w:lineRule="exact"/>
              <w:jc w:val="center"/>
              <w:rPr>
                <w:rFonts w:ascii="宋体" w:hAnsi="宋体" w:eastAsia="宋体"/>
                <w:color w:val="auto"/>
                <w:sz w:val="15"/>
                <w:szCs w:val="15"/>
                <w:highlight w:val="none"/>
              </w:rPr>
            </w:pPr>
          </w:p>
        </w:tc>
      </w:tr>
      <w:tr w14:paraId="41CB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61" w:hRule="atLeast"/>
        </w:trPr>
        <w:tc>
          <w:tcPr>
            <w:tcW w:w="714" w:type="dxa"/>
            <w:vMerge w:val="restart"/>
            <w:noWrap w:val="0"/>
            <w:vAlign w:val="center"/>
          </w:tcPr>
          <w:p w14:paraId="2A20F2A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vMerge w:val="restart"/>
            <w:noWrap w:val="0"/>
            <w:vAlign w:val="center"/>
          </w:tcPr>
          <w:p w14:paraId="7E7BEEC7">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停车场管理单位未遵守国家和</w:t>
            </w:r>
            <w:r>
              <w:rPr>
                <w:rFonts w:hint="eastAsia" w:ascii="宋体" w:hAnsi="宋体" w:eastAsia="宋体"/>
                <w:color w:val="auto"/>
                <w:sz w:val="15"/>
                <w:szCs w:val="15"/>
                <w:highlight w:val="none"/>
                <w:shd w:val="clear" w:color="auto" w:fill="auto"/>
              </w:rPr>
              <w:t>本市其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相关停车管理服务规范和标准</w:t>
            </w:r>
          </w:p>
        </w:tc>
        <w:tc>
          <w:tcPr>
            <w:tcW w:w="2981" w:type="dxa"/>
            <w:vMerge w:val="restart"/>
            <w:noWrap w:val="0"/>
            <w:vAlign w:val="center"/>
          </w:tcPr>
          <w:p w14:paraId="4A4B5E67">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noWrap w:val="0"/>
            <w:vAlign w:val="center"/>
          </w:tcPr>
          <w:p w14:paraId="6199174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43CE327F">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40A3576B">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724FB140">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13C8DD0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5F2CFB0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AE64BF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3087B44A">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C4634200</w:t>
            </w:r>
          </w:p>
        </w:tc>
      </w:tr>
      <w:tr w14:paraId="00B0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842" w:hRule="atLeast"/>
        </w:trPr>
        <w:tc>
          <w:tcPr>
            <w:tcW w:w="714" w:type="dxa"/>
            <w:vMerge w:val="continue"/>
            <w:noWrap w:val="0"/>
            <w:vAlign w:val="center"/>
          </w:tcPr>
          <w:p w14:paraId="5E6BF284">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32F8F74C">
            <w:pPr>
              <w:spacing w:line="232" w:lineRule="exact"/>
              <w:rPr>
                <w:rFonts w:ascii="宋体" w:hAnsi="宋体" w:eastAsia="宋体"/>
                <w:color w:val="auto"/>
                <w:sz w:val="15"/>
                <w:szCs w:val="15"/>
                <w:highlight w:val="none"/>
              </w:rPr>
            </w:pPr>
          </w:p>
        </w:tc>
        <w:tc>
          <w:tcPr>
            <w:tcW w:w="2981" w:type="dxa"/>
            <w:vMerge w:val="continue"/>
            <w:noWrap w:val="0"/>
            <w:vAlign w:val="center"/>
          </w:tcPr>
          <w:p w14:paraId="20042CE1">
            <w:pPr>
              <w:spacing w:line="232" w:lineRule="exact"/>
              <w:rPr>
                <w:rFonts w:ascii="宋体" w:hAnsi="宋体" w:eastAsia="宋体"/>
                <w:color w:val="auto"/>
                <w:sz w:val="15"/>
                <w:szCs w:val="15"/>
                <w:highlight w:val="none"/>
              </w:rPr>
            </w:pPr>
          </w:p>
        </w:tc>
        <w:tc>
          <w:tcPr>
            <w:tcW w:w="851" w:type="dxa"/>
            <w:noWrap w:val="0"/>
            <w:vAlign w:val="center"/>
          </w:tcPr>
          <w:p w14:paraId="5723BF6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216297A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0C6AC7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625DE68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530DDC9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群众3次以上投诉，或者诱发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停车事故、交通事故、治安事件的，或者一年内2次以上同类违法行为受到告诫或处罚的，视为情节严重。</w:t>
            </w:r>
          </w:p>
          <w:p w14:paraId="76C19CD2">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noWrap w:val="0"/>
            <w:vAlign w:val="center"/>
          </w:tcPr>
          <w:p w14:paraId="436F336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E042DC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467B1CB8">
            <w:pPr>
              <w:spacing w:line="232" w:lineRule="exact"/>
              <w:jc w:val="center"/>
              <w:rPr>
                <w:rFonts w:hint="eastAsia" w:ascii="宋体" w:hAnsi="宋体" w:eastAsia="宋体"/>
                <w:color w:val="auto"/>
                <w:sz w:val="15"/>
                <w:szCs w:val="15"/>
                <w:highlight w:val="none"/>
              </w:rPr>
            </w:pPr>
          </w:p>
        </w:tc>
      </w:tr>
      <w:tr w14:paraId="5D1E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58" w:hRule="atLeast"/>
        </w:trPr>
        <w:tc>
          <w:tcPr>
            <w:tcW w:w="714" w:type="dxa"/>
            <w:noWrap w:val="0"/>
            <w:vAlign w:val="center"/>
          </w:tcPr>
          <w:p w14:paraId="232CA37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14:paraId="3004129D">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停车场未按规定24小时开放</w:t>
            </w:r>
          </w:p>
        </w:tc>
        <w:tc>
          <w:tcPr>
            <w:tcW w:w="2981" w:type="dxa"/>
            <w:noWrap w:val="0"/>
            <w:vAlign w:val="center"/>
          </w:tcPr>
          <w:p w14:paraId="1F661EFD">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违反条款：第二十一条第二款；处罚条款：第三十四条，责令限期改正，并处5000元以上1万元以下罚款。</w:t>
            </w:r>
          </w:p>
        </w:tc>
        <w:tc>
          <w:tcPr>
            <w:tcW w:w="851" w:type="dxa"/>
            <w:noWrap w:val="0"/>
            <w:vAlign w:val="center"/>
          </w:tcPr>
          <w:p w14:paraId="005655D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213FD42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686F16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08BA0F6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1890178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适用于中心城范围内向社会开放并收费的停车场；按规定实行限时的临时停车场除外。 </w:t>
            </w:r>
          </w:p>
        </w:tc>
        <w:tc>
          <w:tcPr>
            <w:tcW w:w="1304" w:type="dxa"/>
            <w:gridSpan w:val="2"/>
            <w:noWrap w:val="0"/>
            <w:vAlign w:val="center"/>
          </w:tcPr>
          <w:p w14:paraId="7A93BC8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174791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03DE562">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C4634300</w:t>
            </w:r>
          </w:p>
        </w:tc>
      </w:tr>
      <w:tr w14:paraId="28DAE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490" w:hRule="atLeast"/>
        </w:trPr>
        <w:tc>
          <w:tcPr>
            <w:tcW w:w="714" w:type="dxa"/>
            <w:noWrap w:val="0"/>
            <w:vAlign w:val="center"/>
          </w:tcPr>
          <w:p w14:paraId="63FB973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14:paraId="060E1E33">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擅自设置地桩、地锁等障碍物</w:t>
            </w:r>
          </w:p>
        </w:tc>
        <w:tc>
          <w:tcPr>
            <w:tcW w:w="2981" w:type="dxa"/>
            <w:noWrap w:val="0"/>
            <w:vAlign w:val="center"/>
          </w:tcPr>
          <w:p w14:paraId="51C8C1F4">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违反条款：第二十七条第一款；处罚条款：第三十七条</w:t>
            </w:r>
            <w:r>
              <w:rPr>
                <w:rFonts w:hint="eastAsia" w:ascii="宋体" w:hAnsi="宋体" w:eastAsia="宋体"/>
                <w:color w:val="auto"/>
                <w:sz w:val="15"/>
                <w:szCs w:val="15"/>
                <w:highlight w:val="none"/>
                <w:lang w:eastAsia="zh-CN"/>
              </w:rPr>
              <w:t>第一款</w:t>
            </w:r>
            <w:r>
              <w:rPr>
                <w:rFonts w:hint="eastAsia" w:ascii="宋体" w:hAnsi="宋体" w:eastAsia="宋体"/>
                <w:color w:val="auto"/>
                <w:sz w:val="15"/>
                <w:szCs w:val="15"/>
                <w:highlight w:val="none"/>
              </w:rPr>
              <w:t>，责令停止违法行为，恢复原状，并处500元以上5000元以下罚款。</w:t>
            </w:r>
          </w:p>
        </w:tc>
        <w:tc>
          <w:tcPr>
            <w:tcW w:w="851" w:type="dxa"/>
            <w:noWrap w:val="0"/>
            <w:vAlign w:val="center"/>
          </w:tcPr>
          <w:p w14:paraId="6A6836F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1537269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21E48F9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一年内群众投诉3次以上的，系数1；2.设置地桩、地锁等障碍物数量2个，系数1；3个，系数2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4个，系数3；5个，系数4；6个，系数5；</w:t>
            </w:r>
            <w:r>
              <w:rPr>
                <w:rFonts w:hint="eastAsia" w:ascii="宋体" w:hAnsi="宋体" w:eastAsia="宋体" w:cs="宋体"/>
                <w:color w:val="auto"/>
                <w:kern w:val="0"/>
                <w:sz w:val="15"/>
                <w:szCs w:val="15"/>
                <w:highlight w:val="none"/>
              </w:rPr>
              <w:t>以此</w:t>
            </w:r>
            <w:r>
              <w:rPr>
                <w:rFonts w:hint="eastAsia" w:ascii="宋体" w:hAnsi="宋体" w:eastAsia="宋体" w:cs="宋体"/>
                <w:color w:val="auto"/>
                <w:kern w:val="0"/>
                <w:sz w:val="15"/>
                <w:szCs w:val="15"/>
                <w:highlight w:val="none"/>
                <w:lang w:eastAsia="zh-CN"/>
              </w:rPr>
              <w:t>类推，</w:t>
            </w:r>
            <w:r>
              <w:rPr>
                <w:rFonts w:hint="eastAsia" w:ascii="宋体" w:hAnsi="宋体" w:eastAsia="宋体" w:cs="宋体"/>
                <w:color w:val="auto"/>
                <w:kern w:val="0"/>
                <w:sz w:val="15"/>
                <w:szCs w:val="15"/>
                <w:highlight w:val="none"/>
                <w:lang w:val="en-US" w:eastAsia="zh-CN"/>
              </w:rPr>
              <w:t>10个及以上的，系数9</w:t>
            </w:r>
            <w:r>
              <w:rPr>
                <w:rFonts w:hint="eastAsia" w:ascii="宋体" w:hAnsi="宋体" w:eastAsia="宋体" w:cs="宋体"/>
                <w:color w:val="auto"/>
                <w:kern w:val="0"/>
                <w:sz w:val="15"/>
                <w:szCs w:val="15"/>
                <w:highlight w:val="none"/>
              </w:rPr>
              <w:t>；3.存在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严重影响通行和市容秩序、致使公共安全等事件的，系数9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14:paraId="30B43FD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46CC09D8">
            <w:pPr>
              <w:spacing w:line="232" w:lineRule="exact"/>
              <w:rPr>
                <w:rFonts w:ascii="宋体" w:hAnsi="宋体" w:eastAsia="宋体"/>
                <w:color w:val="auto"/>
                <w:sz w:val="15"/>
                <w:szCs w:val="15"/>
                <w:highlight w:val="none"/>
              </w:rPr>
            </w:pPr>
          </w:p>
        </w:tc>
        <w:tc>
          <w:tcPr>
            <w:tcW w:w="1304" w:type="dxa"/>
            <w:gridSpan w:val="2"/>
            <w:noWrap w:val="0"/>
            <w:vAlign w:val="center"/>
          </w:tcPr>
          <w:p w14:paraId="7089CE4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373D9D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D02E539">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C4634400</w:t>
            </w:r>
          </w:p>
        </w:tc>
      </w:tr>
      <w:tr w14:paraId="56C6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65" w:hRule="atLeast"/>
        </w:trPr>
        <w:tc>
          <w:tcPr>
            <w:tcW w:w="14587" w:type="dxa"/>
            <w:gridSpan w:val="13"/>
            <w:noWrap w:val="0"/>
            <w:vAlign w:val="center"/>
          </w:tcPr>
          <w:p w14:paraId="73431B36">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31" w:name="_Toc744429173"/>
            <w:bookmarkStart w:id="132" w:name="_Toc1557995543"/>
            <w:bookmarkStart w:id="133" w:name="_Toc110851478"/>
            <w:r>
              <w:rPr>
                <w:rFonts w:hint="eastAsia" w:ascii="宋体" w:hAnsi="宋体" w:eastAsia="宋体"/>
                <w:color w:val="auto"/>
                <w:sz w:val="21"/>
                <w:szCs w:val="21"/>
                <w:highlight w:val="none"/>
              </w:rPr>
              <w:t>《北京市</w:t>
            </w:r>
            <w:r>
              <w:rPr>
                <w:rFonts w:ascii="宋体" w:hAnsi="宋体" w:eastAsia="宋体"/>
                <w:color w:val="auto"/>
                <w:sz w:val="21"/>
                <w:szCs w:val="21"/>
                <w:highlight w:val="none"/>
              </w:rPr>
              <w:t>机动车停车条例</w:t>
            </w:r>
            <w:r>
              <w:rPr>
                <w:rFonts w:hint="eastAsia" w:ascii="宋体" w:hAnsi="宋体" w:eastAsia="宋体"/>
                <w:color w:val="auto"/>
                <w:sz w:val="21"/>
                <w:szCs w:val="21"/>
                <w:highlight w:val="none"/>
              </w:rPr>
              <w:t>》案由6项</w:t>
            </w:r>
            <w:bookmarkEnd w:id="131"/>
            <w:bookmarkEnd w:id="132"/>
            <w:bookmarkEnd w:id="133"/>
          </w:p>
        </w:tc>
        <w:tc>
          <w:tcPr>
            <w:tcW w:w="1869" w:type="dxa"/>
            <w:noWrap w:val="0"/>
            <w:vAlign w:val="center"/>
          </w:tcPr>
          <w:p w14:paraId="69C2ED33">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14:paraId="5C73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44" w:hRule="atLeast"/>
        </w:trPr>
        <w:tc>
          <w:tcPr>
            <w:tcW w:w="714" w:type="dxa"/>
            <w:noWrap w:val="0"/>
            <w:vAlign w:val="center"/>
          </w:tcPr>
          <w:p w14:paraId="1A0943F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66140E19">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未如实报送停车设施设置情况</w:t>
            </w:r>
          </w:p>
        </w:tc>
        <w:tc>
          <w:tcPr>
            <w:tcW w:w="2981" w:type="dxa"/>
            <w:noWrap w:val="0"/>
            <w:vAlign w:val="center"/>
          </w:tcPr>
          <w:p w14:paraId="2C21E8D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w:t>
            </w:r>
          </w:p>
          <w:p w14:paraId="1C27087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处罚条款：第二十一条第三款，责令限期改正；逾期未改正的，处1万元罚款。</w:t>
            </w:r>
          </w:p>
        </w:tc>
        <w:tc>
          <w:tcPr>
            <w:tcW w:w="851" w:type="dxa"/>
            <w:noWrap w:val="0"/>
            <w:vAlign w:val="center"/>
          </w:tcPr>
          <w:p w14:paraId="7A4C79D3">
            <w:pPr>
              <w:spacing w:line="232" w:lineRule="exact"/>
              <w:rPr>
                <w:rFonts w:ascii="宋体" w:hAnsi="宋体" w:eastAsia="宋体" w:cs="宋体"/>
                <w:color w:val="auto"/>
                <w:kern w:val="0"/>
                <w:sz w:val="15"/>
                <w:szCs w:val="15"/>
                <w:highlight w:val="none"/>
              </w:rPr>
            </w:pPr>
          </w:p>
        </w:tc>
        <w:tc>
          <w:tcPr>
            <w:tcW w:w="840" w:type="dxa"/>
            <w:noWrap w:val="0"/>
            <w:vAlign w:val="center"/>
          </w:tcPr>
          <w:p w14:paraId="7CE0C014">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1262590A">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32738E9A">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73A025E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先行责令限期改正，当事人在规定期限内改正的，不予处罚；逾期未改正的，处1万元罚款。</w:t>
            </w:r>
          </w:p>
        </w:tc>
        <w:tc>
          <w:tcPr>
            <w:tcW w:w="1304" w:type="dxa"/>
            <w:gridSpan w:val="2"/>
            <w:noWrap w:val="0"/>
            <w:vAlign w:val="center"/>
          </w:tcPr>
          <w:p w14:paraId="052CE6F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F97603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165AAEBD">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C4643900</w:t>
            </w:r>
          </w:p>
        </w:tc>
      </w:tr>
      <w:tr w14:paraId="1BE7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46" w:hRule="atLeast"/>
        </w:trPr>
        <w:tc>
          <w:tcPr>
            <w:tcW w:w="714" w:type="dxa"/>
            <w:noWrap w:val="0"/>
            <w:vAlign w:val="center"/>
          </w:tcPr>
          <w:p w14:paraId="69B6AF2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14:paraId="76D66F1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未按照规定时限（或未如实）报送停车设施设置情况</w:t>
            </w:r>
          </w:p>
        </w:tc>
        <w:tc>
          <w:tcPr>
            <w:tcW w:w="2981" w:type="dxa"/>
            <w:noWrap w:val="0"/>
            <w:vAlign w:val="center"/>
          </w:tcPr>
          <w:p w14:paraId="3FE64AD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违反条款：第二十二条第一款。</w:t>
            </w:r>
          </w:p>
          <w:p w14:paraId="568446E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处罚条款：第二十二条第二款，责令限期改正；逾期未改正的，处2000元罚款。</w:t>
            </w:r>
          </w:p>
        </w:tc>
        <w:tc>
          <w:tcPr>
            <w:tcW w:w="851" w:type="dxa"/>
            <w:noWrap w:val="0"/>
            <w:vAlign w:val="center"/>
          </w:tcPr>
          <w:p w14:paraId="2DC6E924">
            <w:pPr>
              <w:spacing w:line="232" w:lineRule="exact"/>
              <w:rPr>
                <w:rFonts w:ascii="宋体" w:hAnsi="宋体" w:eastAsia="宋体" w:cs="宋体"/>
                <w:color w:val="auto"/>
                <w:kern w:val="0"/>
                <w:sz w:val="15"/>
                <w:szCs w:val="15"/>
                <w:highlight w:val="none"/>
              </w:rPr>
            </w:pPr>
          </w:p>
        </w:tc>
        <w:tc>
          <w:tcPr>
            <w:tcW w:w="840" w:type="dxa"/>
            <w:noWrap w:val="0"/>
            <w:vAlign w:val="center"/>
          </w:tcPr>
          <w:p w14:paraId="394BB8CE">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7B1DF08A">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1E8F633F">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19659957">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先行责令限期改正，当事人在规定期限内改正的，不予处罚；逾期未改正的，处2000元罚款。</w:t>
            </w:r>
          </w:p>
        </w:tc>
        <w:tc>
          <w:tcPr>
            <w:tcW w:w="1304" w:type="dxa"/>
            <w:gridSpan w:val="2"/>
            <w:noWrap w:val="0"/>
            <w:vAlign w:val="center"/>
          </w:tcPr>
          <w:p w14:paraId="1771F4B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2555F54">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C41D374">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C4644000</w:t>
            </w:r>
          </w:p>
        </w:tc>
      </w:tr>
      <w:tr w14:paraId="076E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75" w:hRule="atLeast"/>
        </w:trPr>
        <w:tc>
          <w:tcPr>
            <w:tcW w:w="714" w:type="dxa"/>
            <w:noWrap w:val="0"/>
            <w:vAlign w:val="center"/>
          </w:tcPr>
          <w:p w14:paraId="037F9E3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14:paraId="4CDD07C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公共停车设施未按照标准配建停车诱导设施（进出车辆信息采集及号牌系统、与所在区域停车诱导系统实时对接）</w:t>
            </w:r>
          </w:p>
        </w:tc>
        <w:tc>
          <w:tcPr>
            <w:tcW w:w="2981" w:type="dxa"/>
            <w:noWrap w:val="0"/>
            <w:vAlign w:val="center"/>
          </w:tcPr>
          <w:p w14:paraId="1F6EFD8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违反条款：第二十四条第二款。</w:t>
            </w:r>
          </w:p>
          <w:p w14:paraId="38B13FF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处罚条款：第二十四条第三款，责令限期改正；逾期未改正的，处1万元罚款。</w:t>
            </w:r>
          </w:p>
        </w:tc>
        <w:tc>
          <w:tcPr>
            <w:tcW w:w="851" w:type="dxa"/>
            <w:noWrap w:val="0"/>
            <w:vAlign w:val="center"/>
          </w:tcPr>
          <w:p w14:paraId="59611FBB">
            <w:pPr>
              <w:spacing w:line="232" w:lineRule="exact"/>
              <w:rPr>
                <w:rFonts w:ascii="宋体" w:hAnsi="宋体" w:eastAsia="宋体" w:cs="宋体"/>
                <w:color w:val="auto"/>
                <w:kern w:val="0"/>
                <w:sz w:val="15"/>
                <w:szCs w:val="15"/>
                <w:highlight w:val="none"/>
              </w:rPr>
            </w:pPr>
          </w:p>
        </w:tc>
        <w:tc>
          <w:tcPr>
            <w:tcW w:w="840" w:type="dxa"/>
            <w:noWrap w:val="0"/>
            <w:vAlign w:val="center"/>
          </w:tcPr>
          <w:p w14:paraId="5CB65095">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119A9705">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796F842C">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3FFD595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先行责令限期改正，当事人在规定期限内改正的，不予处罚；逾期未改正的，处1万元罚款。</w:t>
            </w:r>
          </w:p>
        </w:tc>
        <w:tc>
          <w:tcPr>
            <w:tcW w:w="1304" w:type="dxa"/>
            <w:gridSpan w:val="2"/>
            <w:noWrap w:val="0"/>
            <w:vAlign w:val="center"/>
          </w:tcPr>
          <w:p w14:paraId="6993A6E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ED0D99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E9A863A">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C4644200</w:t>
            </w:r>
          </w:p>
        </w:tc>
      </w:tr>
      <w:tr w14:paraId="5D8C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091" w:hRule="atLeast"/>
        </w:trPr>
        <w:tc>
          <w:tcPr>
            <w:tcW w:w="714" w:type="dxa"/>
            <w:noWrap w:val="0"/>
            <w:vAlign w:val="center"/>
          </w:tcPr>
          <w:p w14:paraId="45D2F6F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14:paraId="40A404B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擅自设置固定或者可移动障碍物</w:t>
            </w:r>
          </w:p>
        </w:tc>
        <w:tc>
          <w:tcPr>
            <w:tcW w:w="2981" w:type="dxa"/>
            <w:noWrap w:val="0"/>
            <w:vAlign w:val="center"/>
          </w:tcPr>
          <w:p w14:paraId="5C92F7B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违反条款：第二十六条第一款。</w:t>
            </w:r>
          </w:p>
          <w:p w14:paraId="0108296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处罚条款：第二十六条第二款，责令停止违法行为，恢复原状，并处500元以上1000元以下罚款。</w:t>
            </w:r>
          </w:p>
        </w:tc>
        <w:tc>
          <w:tcPr>
            <w:tcW w:w="851" w:type="dxa"/>
            <w:noWrap w:val="0"/>
            <w:vAlign w:val="center"/>
          </w:tcPr>
          <w:p w14:paraId="1B071849">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w:t>
            </w:r>
          </w:p>
        </w:tc>
        <w:tc>
          <w:tcPr>
            <w:tcW w:w="840" w:type="dxa"/>
            <w:noWrap w:val="0"/>
            <w:vAlign w:val="center"/>
          </w:tcPr>
          <w:p w14:paraId="37AAF55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7EEB51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7608C10D">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01418C49">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该条规定的障碍物包括地桩、地锁等固定式障碍物和废旧桌椅、自行车等可移动障碍物，和《办法》规定的“地桩、地锁等障碍物”有所区别。</w:t>
            </w:r>
          </w:p>
        </w:tc>
        <w:tc>
          <w:tcPr>
            <w:tcW w:w="1304" w:type="dxa"/>
            <w:gridSpan w:val="2"/>
            <w:noWrap w:val="0"/>
            <w:vAlign w:val="center"/>
          </w:tcPr>
          <w:p w14:paraId="6FEAEE3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DCBA8D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59938FE">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C4644400</w:t>
            </w:r>
          </w:p>
        </w:tc>
      </w:tr>
      <w:tr w14:paraId="39E8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14" w:hRule="atLeast"/>
        </w:trPr>
        <w:tc>
          <w:tcPr>
            <w:tcW w:w="714" w:type="dxa"/>
            <w:noWrap w:val="0"/>
            <w:vAlign w:val="center"/>
          </w:tcPr>
          <w:p w14:paraId="5DF7E52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14:paraId="7D3FDE7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停车场未按规定24小时开放</w:t>
            </w:r>
          </w:p>
        </w:tc>
        <w:tc>
          <w:tcPr>
            <w:tcW w:w="2981" w:type="dxa"/>
            <w:noWrap w:val="0"/>
            <w:vAlign w:val="center"/>
          </w:tcPr>
          <w:p w14:paraId="523059A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违反条款：第三十二条第二款。</w:t>
            </w:r>
          </w:p>
          <w:p w14:paraId="79F33E5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处罚条款：第三十二条第二款，责令限期改正，并处5000元以上1万元以下罚款。</w:t>
            </w:r>
          </w:p>
        </w:tc>
        <w:tc>
          <w:tcPr>
            <w:tcW w:w="851" w:type="dxa"/>
            <w:noWrap w:val="0"/>
            <w:vAlign w:val="center"/>
          </w:tcPr>
          <w:p w14:paraId="1F2B0F5E">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5000</w:t>
            </w:r>
          </w:p>
        </w:tc>
        <w:tc>
          <w:tcPr>
            <w:tcW w:w="840" w:type="dxa"/>
            <w:noWrap w:val="0"/>
            <w:vAlign w:val="center"/>
          </w:tcPr>
          <w:p w14:paraId="7F38BA5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1FEB1B8">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11687D8B">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6A6C53A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1.仅限于中心城区范围内经营性停车设施；2.《条例》未涉及的停车设施经营单位应遵守的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规定，依据《办法》第二十一条规定执行。</w:t>
            </w:r>
          </w:p>
        </w:tc>
        <w:tc>
          <w:tcPr>
            <w:tcW w:w="1304" w:type="dxa"/>
            <w:gridSpan w:val="2"/>
            <w:noWrap w:val="0"/>
            <w:vAlign w:val="center"/>
          </w:tcPr>
          <w:p w14:paraId="1F91DFF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648E25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AE7DD02">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C4644100</w:t>
            </w:r>
          </w:p>
        </w:tc>
      </w:tr>
      <w:tr w14:paraId="085B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98" w:hRule="atLeast"/>
        </w:trPr>
        <w:tc>
          <w:tcPr>
            <w:tcW w:w="714" w:type="dxa"/>
            <w:noWrap w:val="0"/>
            <w:vAlign w:val="center"/>
          </w:tcPr>
          <w:p w14:paraId="0D613B7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14:paraId="4E2DD00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违反规划将停车设施改作他用</w:t>
            </w:r>
          </w:p>
        </w:tc>
        <w:tc>
          <w:tcPr>
            <w:tcW w:w="2981" w:type="dxa"/>
            <w:noWrap w:val="0"/>
            <w:vAlign w:val="center"/>
          </w:tcPr>
          <w:p w14:paraId="03ECCFD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违反条款：第三十三条第一款。</w:t>
            </w:r>
          </w:p>
          <w:p w14:paraId="272945E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处罚条款：第三十三条第四款，责令限期改正、恢复原状，并处每个泊位1万元罚款。</w:t>
            </w:r>
          </w:p>
        </w:tc>
        <w:tc>
          <w:tcPr>
            <w:tcW w:w="851" w:type="dxa"/>
            <w:noWrap w:val="0"/>
            <w:vAlign w:val="center"/>
          </w:tcPr>
          <w:p w14:paraId="34912444">
            <w:pPr>
              <w:spacing w:line="232" w:lineRule="exact"/>
              <w:rPr>
                <w:rFonts w:ascii="宋体" w:hAnsi="宋体" w:eastAsia="宋体" w:cs="宋体"/>
                <w:color w:val="auto"/>
                <w:kern w:val="0"/>
                <w:sz w:val="15"/>
                <w:szCs w:val="15"/>
                <w:highlight w:val="none"/>
              </w:rPr>
            </w:pPr>
          </w:p>
        </w:tc>
        <w:tc>
          <w:tcPr>
            <w:tcW w:w="840" w:type="dxa"/>
            <w:noWrap w:val="0"/>
            <w:vAlign w:val="center"/>
          </w:tcPr>
          <w:p w14:paraId="5B7FFBCA">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675641EF">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25EA730D">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1796BE9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按照规定执行，处每个泊位1万元罚款。</w:t>
            </w:r>
          </w:p>
        </w:tc>
        <w:tc>
          <w:tcPr>
            <w:tcW w:w="1304" w:type="dxa"/>
            <w:gridSpan w:val="2"/>
            <w:noWrap w:val="0"/>
            <w:vAlign w:val="center"/>
          </w:tcPr>
          <w:p w14:paraId="6E45479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A0863F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D3545D4">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C4644300</w:t>
            </w:r>
          </w:p>
        </w:tc>
      </w:tr>
      <w:tr w14:paraId="0B1B5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86" w:hRule="atLeast"/>
        </w:trPr>
        <w:tc>
          <w:tcPr>
            <w:tcW w:w="14587" w:type="dxa"/>
            <w:gridSpan w:val="13"/>
            <w:noWrap w:val="0"/>
            <w:vAlign w:val="center"/>
          </w:tcPr>
          <w:p w14:paraId="10E32C57">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34" w:name="_Toc110851479"/>
            <w:bookmarkStart w:id="135" w:name="_Toc880763206"/>
            <w:bookmarkStart w:id="136" w:name="_Toc67594986"/>
            <w:r>
              <w:rPr>
                <w:rFonts w:hint="eastAsia" w:ascii="宋体" w:hAnsi="宋体" w:eastAsia="宋体"/>
                <w:color w:val="auto"/>
                <w:sz w:val="21"/>
                <w:szCs w:val="21"/>
                <w:highlight w:val="none"/>
              </w:rPr>
              <w:t>《北京市非机动车停车管理办法》《北京市</w:t>
            </w:r>
            <w:r>
              <w:rPr>
                <w:rFonts w:ascii="宋体" w:hAnsi="宋体" w:eastAsia="宋体"/>
                <w:color w:val="auto"/>
                <w:sz w:val="21"/>
                <w:szCs w:val="21"/>
                <w:highlight w:val="none"/>
              </w:rPr>
              <w:t>非机动车</w:t>
            </w:r>
            <w:r>
              <w:rPr>
                <w:rFonts w:hint="eastAsia" w:ascii="宋体" w:hAnsi="宋体" w:eastAsia="宋体"/>
                <w:color w:val="auto"/>
                <w:sz w:val="21"/>
                <w:szCs w:val="21"/>
                <w:highlight w:val="none"/>
              </w:rPr>
              <w:t>管理</w:t>
            </w:r>
            <w:r>
              <w:rPr>
                <w:rFonts w:ascii="宋体" w:hAnsi="宋体" w:eastAsia="宋体"/>
                <w:color w:val="auto"/>
                <w:sz w:val="21"/>
                <w:szCs w:val="21"/>
                <w:highlight w:val="none"/>
              </w:rPr>
              <w:t>条例</w:t>
            </w:r>
            <w:r>
              <w:rPr>
                <w:rFonts w:hint="eastAsia" w:ascii="宋体" w:hAnsi="宋体" w:eastAsia="宋体"/>
                <w:color w:val="auto"/>
                <w:sz w:val="21"/>
                <w:szCs w:val="21"/>
                <w:highlight w:val="none"/>
              </w:rPr>
              <w:t>》案由</w:t>
            </w: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项</w:t>
            </w:r>
            <w:bookmarkEnd w:id="134"/>
            <w:bookmarkEnd w:id="135"/>
            <w:bookmarkEnd w:id="136"/>
          </w:p>
        </w:tc>
        <w:tc>
          <w:tcPr>
            <w:tcW w:w="1869" w:type="dxa"/>
            <w:noWrap w:val="0"/>
            <w:vAlign w:val="center"/>
          </w:tcPr>
          <w:p w14:paraId="0D5091EE">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14:paraId="06CE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17" w:hRule="atLeast"/>
        </w:trPr>
        <w:tc>
          <w:tcPr>
            <w:tcW w:w="714" w:type="dxa"/>
            <w:tcBorders>
              <w:top w:val="single" w:color="000000" w:sz="4" w:space="0"/>
              <w:left w:val="single" w:color="000000" w:sz="4" w:space="0"/>
              <w:bottom w:val="single" w:color="000000" w:sz="4" w:space="0"/>
              <w:right w:val="single" w:color="000000" w:sz="4" w:space="0"/>
            </w:tcBorders>
            <w:noWrap w:val="0"/>
            <w:vAlign w:val="center"/>
          </w:tcPr>
          <w:p w14:paraId="76ACA706">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6A1289B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非机动车公共停车场未对公众开放</w:t>
            </w:r>
          </w:p>
        </w:tc>
        <w:tc>
          <w:tcPr>
            <w:tcW w:w="2981" w:type="dxa"/>
            <w:tcBorders>
              <w:top w:val="single" w:color="000000" w:sz="4" w:space="0"/>
              <w:left w:val="single" w:color="000000" w:sz="4" w:space="0"/>
              <w:bottom w:val="single" w:color="000000" w:sz="4" w:space="0"/>
              <w:right w:val="single" w:color="000000" w:sz="4" w:space="0"/>
            </w:tcBorders>
            <w:noWrap w:val="0"/>
            <w:vAlign w:val="center"/>
          </w:tcPr>
          <w:p w14:paraId="5C17DA9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违反条款：《北京市非机动车停车管理办法》第九条第一款；</w:t>
            </w:r>
          </w:p>
          <w:p w14:paraId="4162F6C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745718A6">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92D6F7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tcBorders>
              <w:top w:val="single" w:color="000000" w:sz="4" w:space="0"/>
              <w:left w:val="single" w:color="000000" w:sz="4" w:space="0"/>
              <w:bottom w:val="single" w:color="000000" w:sz="4" w:space="0"/>
              <w:right w:val="single" w:color="000000" w:sz="4" w:space="0"/>
            </w:tcBorders>
            <w:noWrap w:val="0"/>
            <w:vAlign w:val="center"/>
          </w:tcPr>
          <w:p w14:paraId="26B5E4C7">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tcBorders>
              <w:top w:val="single" w:color="000000" w:sz="4" w:space="0"/>
              <w:left w:val="single" w:color="000000" w:sz="4" w:space="0"/>
              <w:bottom w:val="single" w:color="000000" w:sz="4" w:space="0"/>
              <w:right w:val="single" w:color="000000" w:sz="4" w:space="0"/>
            </w:tcBorders>
            <w:noWrap w:val="0"/>
            <w:vAlign w:val="center"/>
          </w:tcPr>
          <w:p w14:paraId="0EE11C6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tcBorders>
              <w:top w:val="single" w:color="000000" w:sz="4" w:space="0"/>
              <w:left w:val="single" w:color="000000" w:sz="4" w:space="0"/>
              <w:bottom w:val="single" w:color="000000" w:sz="4" w:space="0"/>
              <w:right w:val="single" w:color="000000" w:sz="4" w:space="0"/>
            </w:tcBorders>
            <w:noWrap w:val="0"/>
            <w:vAlign w:val="center"/>
          </w:tcPr>
          <w:p w14:paraId="2E90538A">
            <w:pPr>
              <w:spacing w:line="232" w:lineRule="exact"/>
              <w:jc w:val="center"/>
              <w:rPr>
                <w:rFonts w:ascii="宋体" w:hAnsi="宋体" w:eastAsia="宋体"/>
                <w:color w:val="auto"/>
                <w:sz w:val="15"/>
                <w:szCs w:val="15"/>
                <w:highlight w:val="none"/>
              </w:rPr>
            </w:pPr>
          </w:p>
        </w:tc>
        <w:tc>
          <w:tcPr>
            <w:tcW w:w="1304" w:type="dxa"/>
            <w:gridSpan w:val="2"/>
            <w:tcBorders>
              <w:top w:val="single" w:color="000000" w:sz="4" w:space="0"/>
              <w:left w:val="single" w:color="000000" w:sz="4" w:space="0"/>
              <w:bottom w:val="single" w:color="000000" w:sz="4" w:space="0"/>
              <w:right w:val="single" w:color="000000" w:sz="4" w:space="0"/>
            </w:tcBorders>
            <w:noWrap w:val="0"/>
            <w:vAlign w:val="center"/>
          </w:tcPr>
          <w:p w14:paraId="7CFD7EB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18CBA7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50596965">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C4634500</w:t>
            </w:r>
          </w:p>
        </w:tc>
      </w:tr>
      <w:tr w14:paraId="4DB9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75" w:hRule="atLeast"/>
        </w:trPr>
        <w:tc>
          <w:tcPr>
            <w:tcW w:w="714" w:type="dxa"/>
            <w:tcBorders>
              <w:top w:val="single" w:color="000000" w:sz="4" w:space="0"/>
              <w:left w:val="single" w:color="000000" w:sz="4" w:space="0"/>
              <w:bottom w:val="single" w:color="000000" w:sz="4" w:space="0"/>
              <w:right w:val="single" w:color="000000" w:sz="4" w:space="0"/>
            </w:tcBorders>
            <w:noWrap w:val="0"/>
            <w:vAlign w:val="center"/>
          </w:tcPr>
          <w:p w14:paraId="160431C8">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2</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2677F61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擅自侵占、停止使用非机动车公共停车场或者将其挪作他用</w:t>
            </w:r>
          </w:p>
        </w:tc>
        <w:tc>
          <w:tcPr>
            <w:tcW w:w="2981" w:type="dxa"/>
            <w:tcBorders>
              <w:top w:val="single" w:color="000000" w:sz="4" w:space="0"/>
              <w:left w:val="single" w:color="000000" w:sz="4" w:space="0"/>
              <w:bottom w:val="single" w:color="000000" w:sz="4" w:space="0"/>
              <w:right w:val="single" w:color="000000" w:sz="4" w:space="0"/>
            </w:tcBorders>
            <w:noWrap w:val="0"/>
            <w:vAlign w:val="center"/>
          </w:tcPr>
          <w:p w14:paraId="7B011FE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违反条款：《北京市非机动车停车管理办法》第九条第一款；</w:t>
            </w:r>
          </w:p>
          <w:p w14:paraId="1A0F594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58A37299">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06273DE">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tcBorders>
              <w:top w:val="single" w:color="000000" w:sz="4" w:space="0"/>
              <w:left w:val="single" w:color="000000" w:sz="4" w:space="0"/>
              <w:bottom w:val="single" w:color="000000" w:sz="4" w:space="0"/>
              <w:right w:val="single" w:color="000000" w:sz="4" w:space="0"/>
            </w:tcBorders>
            <w:noWrap w:val="0"/>
            <w:vAlign w:val="center"/>
          </w:tcPr>
          <w:p w14:paraId="63760934">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tcBorders>
              <w:top w:val="single" w:color="000000" w:sz="4" w:space="0"/>
              <w:left w:val="single" w:color="000000" w:sz="4" w:space="0"/>
              <w:bottom w:val="single" w:color="000000" w:sz="4" w:space="0"/>
              <w:right w:val="single" w:color="000000" w:sz="4" w:space="0"/>
            </w:tcBorders>
            <w:noWrap w:val="0"/>
            <w:vAlign w:val="center"/>
          </w:tcPr>
          <w:p w14:paraId="58FA33F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tcBorders>
              <w:top w:val="single" w:color="000000" w:sz="4" w:space="0"/>
              <w:left w:val="single" w:color="000000" w:sz="4" w:space="0"/>
              <w:bottom w:val="single" w:color="000000" w:sz="4" w:space="0"/>
              <w:right w:val="single" w:color="000000" w:sz="4" w:space="0"/>
            </w:tcBorders>
            <w:noWrap w:val="0"/>
            <w:vAlign w:val="center"/>
          </w:tcPr>
          <w:p w14:paraId="4A4C504A">
            <w:pPr>
              <w:spacing w:line="232" w:lineRule="exact"/>
              <w:ind w:firstLine="150" w:firstLineChars="100"/>
              <w:jc w:val="center"/>
              <w:rPr>
                <w:rFonts w:ascii="宋体" w:hAnsi="宋体" w:eastAsia="宋体"/>
                <w:color w:val="auto"/>
                <w:sz w:val="15"/>
                <w:szCs w:val="15"/>
                <w:highlight w:val="none"/>
              </w:rPr>
            </w:pPr>
          </w:p>
        </w:tc>
        <w:tc>
          <w:tcPr>
            <w:tcW w:w="1304" w:type="dxa"/>
            <w:gridSpan w:val="2"/>
            <w:tcBorders>
              <w:top w:val="single" w:color="000000" w:sz="4" w:space="0"/>
              <w:left w:val="single" w:color="000000" w:sz="4" w:space="0"/>
              <w:bottom w:val="single" w:color="000000" w:sz="4" w:space="0"/>
              <w:right w:val="single" w:color="000000" w:sz="4" w:space="0"/>
            </w:tcBorders>
            <w:noWrap w:val="0"/>
            <w:vAlign w:val="center"/>
          </w:tcPr>
          <w:p w14:paraId="4227027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31D387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042E3FE5">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C4634500</w:t>
            </w:r>
          </w:p>
        </w:tc>
      </w:tr>
      <w:tr w14:paraId="5DB4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49" w:hRule="atLeast"/>
        </w:trPr>
        <w:tc>
          <w:tcPr>
            <w:tcW w:w="714" w:type="dxa"/>
            <w:vMerge w:val="restart"/>
            <w:tcBorders>
              <w:top w:val="single" w:color="000000" w:sz="4" w:space="0"/>
              <w:left w:val="single" w:color="000000" w:sz="4" w:space="0"/>
              <w:right w:val="single" w:color="000000" w:sz="4" w:space="0"/>
            </w:tcBorders>
            <w:noWrap w:val="0"/>
            <w:vAlign w:val="center"/>
          </w:tcPr>
          <w:p w14:paraId="0D94651E">
            <w:pPr>
              <w:spacing w:before="100" w:beforeAutospacing="1" w:after="100" w:afterAutospacing="1" w:line="232" w:lineRule="exact"/>
              <w:jc w:val="center"/>
              <w:rPr>
                <w:rFonts w:ascii="宋体" w:hAnsi="宋体" w:eastAsia="宋体" w:cs="Arial"/>
                <w:color w:val="auto"/>
                <w:kern w:val="0"/>
                <w:sz w:val="15"/>
                <w:szCs w:val="15"/>
                <w:highlight w:val="none"/>
              </w:rPr>
            </w:pPr>
            <w:r>
              <w:rPr>
                <w:rFonts w:ascii="宋体" w:hAnsi="宋体" w:eastAsia="宋体" w:cs="Arial"/>
                <w:color w:val="auto"/>
                <w:kern w:val="0"/>
                <w:sz w:val="15"/>
                <w:szCs w:val="15"/>
                <w:highlight w:val="none"/>
              </w:rPr>
              <w:t>3</w:t>
            </w:r>
          </w:p>
        </w:tc>
        <w:tc>
          <w:tcPr>
            <w:tcW w:w="1626" w:type="dxa"/>
            <w:gridSpan w:val="2"/>
            <w:vMerge w:val="restart"/>
            <w:tcBorders>
              <w:top w:val="single" w:color="000000" w:sz="4" w:space="0"/>
              <w:left w:val="single" w:color="000000" w:sz="4" w:space="0"/>
              <w:right w:val="single" w:color="000000" w:sz="4" w:space="0"/>
            </w:tcBorders>
            <w:noWrap w:val="0"/>
            <w:vAlign w:val="center"/>
          </w:tcPr>
          <w:p w14:paraId="01231FB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非机动车公共停车场未按规范设置</w:t>
            </w:r>
          </w:p>
        </w:tc>
        <w:tc>
          <w:tcPr>
            <w:tcW w:w="2981" w:type="dxa"/>
            <w:noWrap w:val="0"/>
            <w:vAlign w:val="center"/>
          </w:tcPr>
          <w:p w14:paraId="4582465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违反条款：《北京市非机动车管理条例》第二十二条第一款；</w:t>
            </w:r>
          </w:p>
          <w:p w14:paraId="103B8E5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14:paraId="585143D3">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noWrap w:val="0"/>
            <w:vAlign w:val="center"/>
          </w:tcPr>
          <w:p w14:paraId="5976E5D8">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2376" w:type="dxa"/>
            <w:vMerge w:val="restart"/>
            <w:tcBorders>
              <w:top w:val="single" w:color="000000" w:sz="4" w:space="0"/>
              <w:left w:val="single" w:color="000000" w:sz="4" w:space="0"/>
              <w:right w:val="single" w:color="000000" w:sz="4" w:space="0"/>
            </w:tcBorders>
            <w:noWrap w:val="0"/>
            <w:vAlign w:val="center"/>
          </w:tcPr>
          <w:p w14:paraId="4F7BE51D">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735E57D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tcBorders>
              <w:top w:val="single" w:color="000000" w:sz="4" w:space="0"/>
              <w:left w:val="single" w:color="000000" w:sz="4" w:space="0"/>
              <w:bottom w:val="single" w:color="auto" w:sz="4" w:space="0"/>
              <w:right w:val="single" w:color="000000" w:sz="4" w:space="0"/>
            </w:tcBorders>
            <w:noWrap w:val="0"/>
            <w:vAlign w:val="center"/>
          </w:tcPr>
          <w:p w14:paraId="75D65F48">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适应于非经营性停车场。</w:t>
            </w:r>
          </w:p>
          <w:p w14:paraId="03AD521E">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1304" w:type="dxa"/>
            <w:gridSpan w:val="2"/>
            <w:vMerge w:val="restart"/>
            <w:tcBorders>
              <w:top w:val="single" w:color="000000" w:sz="4" w:space="0"/>
              <w:left w:val="single" w:color="000000" w:sz="4" w:space="0"/>
              <w:right w:val="single" w:color="000000" w:sz="4" w:space="0"/>
            </w:tcBorders>
            <w:noWrap w:val="0"/>
            <w:vAlign w:val="center"/>
          </w:tcPr>
          <w:p w14:paraId="6796A09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83FFA3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tcBorders>
              <w:top w:val="single" w:color="000000" w:sz="4" w:space="0"/>
              <w:left w:val="single" w:color="000000" w:sz="4" w:space="0"/>
              <w:right w:val="single" w:color="000000" w:sz="4" w:space="0"/>
            </w:tcBorders>
            <w:noWrap w:val="0"/>
            <w:vAlign w:val="center"/>
          </w:tcPr>
          <w:p w14:paraId="1DE601F3">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C4644800</w:t>
            </w:r>
          </w:p>
        </w:tc>
      </w:tr>
      <w:tr w14:paraId="2D917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87" w:hRule="atLeast"/>
        </w:trPr>
        <w:tc>
          <w:tcPr>
            <w:tcW w:w="714" w:type="dxa"/>
            <w:vMerge w:val="continue"/>
            <w:tcBorders>
              <w:left w:val="single" w:color="000000" w:sz="4" w:space="0"/>
              <w:right w:val="single" w:color="000000" w:sz="4" w:space="0"/>
            </w:tcBorders>
            <w:noWrap w:val="0"/>
            <w:vAlign w:val="center"/>
          </w:tcPr>
          <w:p w14:paraId="790696FF">
            <w:pPr>
              <w:spacing w:before="100" w:beforeAutospacing="1" w:after="100" w:afterAutospacing="1" w:line="232" w:lineRule="exact"/>
              <w:jc w:val="center"/>
              <w:rPr>
                <w:rFonts w:ascii="宋体" w:hAnsi="宋体" w:eastAsia="宋体" w:cs="Arial"/>
                <w:b/>
                <w:color w:val="auto"/>
                <w:kern w:val="0"/>
                <w:sz w:val="15"/>
                <w:szCs w:val="15"/>
                <w:highlight w:val="none"/>
              </w:rPr>
            </w:pPr>
          </w:p>
        </w:tc>
        <w:tc>
          <w:tcPr>
            <w:tcW w:w="1626" w:type="dxa"/>
            <w:gridSpan w:val="2"/>
            <w:vMerge w:val="continue"/>
            <w:tcBorders>
              <w:left w:val="single" w:color="000000" w:sz="4" w:space="0"/>
              <w:right w:val="single" w:color="000000" w:sz="4" w:space="0"/>
            </w:tcBorders>
            <w:noWrap w:val="0"/>
            <w:vAlign w:val="center"/>
          </w:tcPr>
          <w:p w14:paraId="574717E0">
            <w:pPr>
              <w:spacing w:line="232" w:lineRule="exact"/>
              <w:rPr>
                <w:rFonts w:ascii="宋体" w:hAnsi="宋体" w:eastAsia="宋体"/>
                <w:color w:val="auto"/>
                <w:sz w:val="15"/>
                <w:szCs w:val="15"/>
                <w:highlight w:val="none"/>
              </w:rPr>
            </w:pPr>
          </w:p>
        </w:tc>
        <w:tc>
          <w:tcPr>
            <w:tcW w:w="2981" w:type="dxa"/>
            <w:noWrap w:val="0"/>
            <w:vAlign w:val="center"/>
          </w:tcPr>
          <w:p w14:paraId="013D11C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违反条款：《北京市非机动车管理条例》第二十二条第一款；</w:t>
            </w:r>
          </w:p>
          <w:p w14:paraId="435656D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14:paraId="2625C65F">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noWrap w:val="0"/>
            <w:vAlign w:val="center"/>
          </w:tcPr>
          <w:p w14:paraId="5092E5B6">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2376" w:type="dxa"/>
            <w:vMerge w:val="continue"/>
            <w:tcBorders>
              <w:left w:val="single" w:color="000000" w:sz="4" w:space="0"/>
              <w:right w:val="single" w:color="000000" w:sz="4" w:space="0"/>
            </w:tcBorders>
            <w:noWrap w:val="0"/>
            <w:vAlign w:val="center"/>
          </w:tcPr>
          <w:p w14:paraId="77E1F6EB">
            <w:pPr>
              <w:spacing w:line="232" w:lineRule="exact"/>
              <w:rPr>
                <w:rFonts w:ascii="宋体" w:hAnsi="宋体" w:eastAsia="宋体"/>
                <w:color w:val="auto"/>
                <w:sz w:val="15"/>
                <w:szCs w:val="15"/>
                <w:highlight w:val="none"/>
              </w:rPr>
            </w:pPr>
          </w:p>
        </w:tc>
        <w:tc>
          <w:tcPr>
            <w:tcW w:w="1875" w:type="dxa"/>
            <w:gridSpan w:val="2"/>
            <w:noWrap w:val="0"/>
            <w:vAlign w:val="center"/>
          </w:tcPr>
          <w:p w14:paraId="54905DD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2</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tcBorders>
              <w:top w:val="single" w:color="000000" w:sz="4" w:space="0"/>
              <w:left w:val="single" w:color="000000" w:sz="4" w:space="0"/>
              <w:bottom w:val="single" w:color="auto" w:sz="4" w:space="0"/>
              <w:right w:val="single" w:color="000000" w:sz="4" w:space="0"/>
            </w:tcBorders>
            <w:noWrap w:val="0"/>
            <w:vAlign w:val="center"/>
          </w:tcPr>
          <w:p w14:paraId="7D16E76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适用于经营性停车场。</w:t>
            </w:r>
          </w:p>
          <w:p w14:paraId="366E7FA0">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需要做出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p w14:paraId="48791FD2">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1304" w:type="dxa"/>
            <w:gridSpan w:val="2"/>
            <w:vMerge w:val="continue"/>
            <w:tcBorders>
              <w:left w:val="single" w:color="000000" w:sz="4" w:space="0"/>
              <w:right w:val="single" w:color="000000" w:sz="4" w:space="0"/>
            </w:tcBorders>
            <w:noWrap w:val="0"/>
            <w:vAlign w:val="center"/>
          </w:tcPr>
          <w:p w14:paraId="3D397413">
            <w:pPr>
              <w:spacing w:line="232" w:lineRule="exact"/>
              <w:jc w:val="center"/>
              <w:rPr>
                <w:rFonts w:ascii="宋体" w:hAnsi="宋体" w:eastAsia="宋体"/>
                <w:color w:val="auto"/>
                <w:sz w:val="15"/>
                <w:szCs w:val="15"/>
                <w:highlight w:val="none"/>
              </w:rPr>
            </w:pPr>
          </w:p>
        </w:tc>
        <w:tc>
          <w:tcPr>
            <w:tcW w:w="1869" w:type="dxa"/>
            <w:vMerge w:val="continue"/>
            <w:tcBorders>
              <w:left w:val="single" w:color="000000" w:sz="4" w:space="0"/>
              <w:right w:val="single" w:color="000000" w:sz="4" w:space="0"/>
            </w:tcBorders>
            <w:noWrap w:val="0"/>
            <w:vAlign w:val="center"/>
          </w:tcPr>
          <w:p w14:paraId="0301957D">
            <w:pPr>
              <w:spacing w:line="232" w:lineRule="exact"/>
              <w:jc w:val="center"/>
              <w:rPr>
                <w:rFonts w:hint="eastAsia" w:ascii="宋体" w:hAnsi="宋体" w:eastAsia="宋体"/>
                <w:color w:val="auto"/>
                <w:sz w:val="15"/>
                <w:szCs w:val="15"/>
                <w:highlight w:val="none"/>
                <w:lang w:eastAsia="zh"/>
              </w:rPr>
            </w:pPr>
          </w:p>
        </w:tc>
      </w:tr>
      <w:tr w14:paraId="5BE8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91" w:hRule="atLeast"/>
        </w:trPr>
        <w:tc>
          <w:tcPr>
            <w:tcW w:w="714" w:type="dxa"/>
            <w:vMerge w:val="continue"/>
            <w:tcBorders>
              <w:left w:val="single" w:color="000000" w:sz="4" w:space="0"/>
              <w:bottom w:val="single" w:color="auto" w:sz="4" w:space="0"/>
              <w:right w:val="single" w:color="000000" w:sz="4" w:space="0"/>
            </w:tcBorders>
            <w:noWrap w:val="0"/>
            <w:vAlign w:val="center"/>
          </w:tcPr>
          <w:p w14:paraId="0D5C3D81">
            <w:pPr>
              <w:spacing w:before="100" w:beforeAutospacing="1" w:after="100" w:afterAutospacing="1" w:line="232" w:lineRule="exact"/>
              <w:jc w:val="center"/>
              <w:rPr>
                <w:rFonts w:ascii="宋体" w:hAnsi="宋体" w:eastAsia="宋体" w:cs="Arial"/>
                <w:b/>
                <w:color w:val="auto"/>
                <w:kern w:val="0"/>
                <w:sz w:val="15"/>
                <w:szCs w:val="15"/>
                <w:highlight w:val="none"/>
              </w:rPr>
            </w:pPr>
          </w:p>
        </w:tc>
        <w:tc>
          <w:tcPr>
            <w:tcW w:w="1626" w:type="dxa"/>
            <w:gridSpan w:val="2"/>
            <w:vMerge w:val="continue"/>
            <w:tcBorders>
              <w:left w:val="single" w:color="000000" w:sz="4" w:space="0"/>
              <w:bottom w:val="single" w:color="auto" w:sz="4" w:space="0"/>
              <w:right w:val="single" w:color="000000" w:sz="4" w:space="0"/>
            </w:tcBorders>
            <w:noWrap w:val="0"/>
            <w:vAlign w:val="center"/>
          </w:tcPr>
          <w:p w14:paraId="3C7C9AA2">
            <w:pPr>
              <w:spacing w:line="232" w:lineRule="exact"/>
              <w:rPr>
                <w:rFonts w:ascii="宋体" w:hAnsi="宋体" w:eastAsia="宋体" w:cs="Arial"/>
                <w:color w:val="auto"/>
                <w:kern w:val="0"/>
                <w:sz w:val="15"/>
                <w:szCs w:val="15"/>
                <w:highlight w:val="none"/>
              </w:rPr>
            </w:pPr>
          </w:p>
        </w:tc>
        <w:tc>
          <w:tcPr>
            <w:tcW w:w="2981" w:type="dxa"/>
            <w:noWrap w:val="0"/>
            <w:vAlign w:val="center"/>
          </w:tcPr>
          <w:p w14:paraId="7BBCCA6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违反条款：《北京市非机动车管理条例》第二十二条第二款；</w:t>
            </w:r>
          </w:p>
          <w:p w14:paraId="671E730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14:paraId="1E836B4D">
            <w:pPr>
              <w:spacing w:before="100" w:beforeAutospacing="1" w:after="100" w:afterAutospacing="1" w:line="232" w:lineRule="exact"/>
              <w:jc w:val="center"/>
              <w:rPr>
                <w:rFonts w:ascii="宋体" w:hAnsi="宋体" w:eastAsia="宋体" w:cs="Arial"/>
                <w:color w:val="auto"/>
                <w:kern w:val="0"/>
                <w:sz w:val="15"/>
                <w:szCs w:val="15"/>
                <w:highlight w:val="none"/>
              </w:rPr>
            </w:pPr>
            <w:r>
              <w:rPr>
                <w:rFonts w:ascii="宋体" w:hAnsi="宋体" w:eastAsia="宋体" w:cs="Arial"/>
                <w:color w:val="auto"/>
                <w:kern w:val="0"/>
                <w:sz w:val="15"/>
                <w:szCs w:val="15"/>
                <w:highlight w:val="none"/>
              </w:rPr>
              <w:t>2</w:t>
            </w:r>
            <w:r>
              <w:rPr>
                <w:rFonts w:hint="eastAsia" w:ascii="宋体" w:hAnsi="宋体" w:eastAsia="宋体" w:cs="Arial"/>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noWrap w:val="0"/>
            <w:vAlign w:val="center"/>
          </w:tcPr>
          <w:p w14:paraId="52B8DC33">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2376" w:type="dxa"/>
            <w:vMerge w:val="continue"/>
            <w:tcBorders>
              <w:left w:val="single" w:color="000000" w:sz="4" w:space="0"/>
              <w:bottom w:val="single" w:color="auto" w:sz="4" w:space="0"/>
              <w:right w:val="single" w:color="000000" w:sz="4" w:space="0"/>
            </w:tcBorders>
            <w:noWrap w:val="0"/>
            <w:vAlign w:val="center"/>
          </w:tcPr>
          <w:p w14:paraId="2B5C0567">
            <w:pPr>
              <w:spacing w:line="232" w:lineRule="exact"/>
              <w:rPr>
                <w:rFonts w:ascii="宋体" w:hAnsi="宋体" w:eastAsia="宋体"/>
                <w:color w:val="auto"/>
                <w:sz w:val="15"/>
                <w:szCs w:val="15"/>
                <w:highlight w:val="none"/>
              </w:rPr>
            </w:pPr>
          </w:p>
        </w:tc>
        <w:tc>
          <w:tcPr>
            <w:tcW w:w="1875" w:type="dxa"/>
            <w:gridSpan w:val="2"/>
            <w:noWrap w:val="0"/>
            <w:vAlign w:val="center"/>
          </w:tcPr>
          <w:p w14:paraId="5BA7CBB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2</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tcBorders>
              <w:top w:val="single" w:color="000000" w:sz="4" w:space="0"/>
              <w:left w:val="single" w:color="000000" w:sz="4" w:space="0"/>
              <w:bottom w:val="single" w:color="auto" w:sz="4" w:space="0"/>
              <w:right w:val="single" w:color="000000" w:sz="4" w:space="0"/>
            </w:tcBorders>
            <w:noWrap w:val="0"/>
            <w:vAlign w:val="center"/>
          </w:tcPr>
          <w:p w14:paraId="698DEB5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适用于经营性停车场。</w:t>
            </w:r>
          </w:p>
          <w:p w14:paraId="19230E28">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需要做出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p w14:paraId="0F53C17F">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1304" w:type="dxa"/>
            <w:gridSpan w:val="2"/>
            <w:vMerge w:val="continue"/>
            <w:tcBorders>
              <w:left w:val="single" w:color="000000" w:sz="4" w:space="0"/>
              <w:bottom w:val="single" w:color="auto" w:sz="4" w:space="0"/>
              <w:right w:val="single" w:color="000000" w:sz="4" w:space="0"/>
            </w:tcBorders>
            <w:noWrap w:val="0"/>
            <w:vAlign w:val="center"/>
          </w:tcPr>
          <w:p w14:paraId="251846C9">
            <w:pPr>
              <w:spacing w:line="232" w:lineRule="exact"/>
              <w:jc w:val="center"/>
              <w:rPr>
                <w:rFonts w:ascii="宋体" w:hAnsi="宋体" w:eastAsia="宋体"/>
                <w:color w:val="auto"/>
                <w:sz w:val="15"/>
                <w:szCs w:val="15"/>
                <w:highlight w:val="none"/>
              </w:rPr>
            </w:pPr>
          </w:p>
        </w:tc>
        <w:tc>
          <w:tcPr>
            <w:tcW w:w="1869" w:type="dxa"/>
            <w:vMerge w:val="continue"/>
            <w:tcBorders>
              <w:left w:val="single" w:color="000000" w:sz="4" w:space="0"/>
              <w:bottom w:val="single" w:color="auto" w:sz="4" w:space="0"/>
              <w:right w:val="single" w:color="000000" w:sz="4" w:space="0"/>
            </w:tcBorders>
            <w:noWrap w:val="0"/>
            <w:vAlign w:val="center"/>
          </w:tcPr>
          <w:p w14:paraId="1BC9A4E5">
            <w:pPr>
              <w:spacing w:line="232" w:lineRule="exact"/>
              <w:jc w:val="center"/>
              <w:rPr>
                <w:rFonts w:hint="eastAsia" w:ascii="宋体" w:hAnsi="宋体" w:eastAsia="宋体"/>
                <w:color w:val="auto"/>
                <w:sz w:val="15"/>
                <w:szCs w:val="15"/>
                <w:highlight w:val="none"/>
                <w:lang w:eastAsia="zh"/>
              </w:rPr>
            </w:pPr>
          </w:p>
        </w:tc>
      </w:tr>
      <w:tr w14:paraId="6DDEE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65" w:hRule="atLeast"/>
        </w:trPr>
        <w:tc>
          <w:tcPr>
            <w:tcW w:w="714" w:type="dxa"/>
            <w:vMerge w:val="restart"/>
            <w:noWrap w:val="0"/>
            <w:vAlign w:val="center"/>
          </w:tcPr>
          <w:p w14:paraId="6A444A5A">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4</w:t>
            </w:r>
          </w:p>
        </w:tc>
        <w:tc>
          <w:tcPr>
            <w:tcW w:w="1626" w:type="dxa"/>
            <w:gridSpan w:val="2"/>
            <w:vMerge w:val="restart"/>
            <w:noWrap w:val="0"/>
            <w:vAlign w:val="center"/>
          </w:tcPr>
          <w:p w14:paraId="680CD9EE">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非机动车公共停车场未建立并落实各项管理和服务制度</w:t>
            </w:r>
          </w:p>
        </w:tc>
        <w:tc>
          <w:tcPr>
            <w:tcW w:w="2981" w:type="dxa"/>
            <w:noWrap w:val="0"/>
            <w:vAlign w:val="center"/>
          </w:tcPr>
          <w:p w14:paraId="03A3D4F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违反条款：《北京市非机动车停车管理办法》第十一条第一款第（二）项；</w:t>
            </w:r>
          </w:p>
          <w:p w14:paraId="04FD5A7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noWrap w:val="0"/>
            <w:vAlign w:val="center"/>
          </w:tcPr>
          <w:p w14:paraId="7004C1B6">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500</w:t>
            </w:r>
          </w:p>
        </w:tc>
        <w:tc>
          <w:tcPr>
            <w:tcW w:w="840" w:type="dxa"/>
            <w:noWrap w:val="0"/>
            <w:vAlign w:val="center"/>
          </w:tcPr>
          <w:p w14:paraId="53A4B6B8">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2376" w:type="dxa"/>
            <w:noWrap w:val="0"/>
            <w:vAlign w:val="center"/>
          </w:tcPr>
          <w:p w14:paraId="47A78E02">
            <w:pPr>
              <w:spacing w:line="232" w:lineRule="exact"/>
              <w:rPr>
                <w:rFonts w:hint="eastAsia" w:ascii="宋体" w:hAnsi="宋体" w:eastAsia="宋体" w:cs="Arial"/>
                <w:color w:val="auto"/>
                <w:kern w:val="0"/>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225E39AA">
            <w:pPr>
              <w:keepNext w:val="0"/>
              <w:keepLines w:val="0"/>
              <w:pageBreakBefore w:val="0"/>
              <w:kinsoku/>
              <w:overflowPunct/>
              <w:topLinePunct w:val="0"/>
              <w:autoSpaceDE/>
              <w:autoSpaceDN/>
              <w:bidi w:val="0"/>
              <w:adjustRightInd/>
              <w:snapToGrid/>
              <w:spacing w:before="100" w:beforeAutospacing="1" w:after="100" w:afterAutospacing="1" w:line="240" w:lineRule="auto"/>
              <w:jc w:val="left"/>
              <w:rPr>
                <w:rFonts w:ascii="宋体" w:hAnsi="宋体" w:eastAsia="宋体" w:cs="Arial"/>
                <w:color w:val="auto"/>
                <w:kern w:val="0"/>
                <w:sz w:val="15"/>
                <w:szCs w:val="15"/>
                <w:highlight w:val="none"/>
              </w:rPr>
            </w:pPr>
            <w:r>
              <w:rPr>
                <w:rFonts w:hint="eastAsia" w:ascii="宋体" w:hAnsi="宋体" w:eastAsia="宋体"/>
                <w:strike w:val="0"/>
                <w:dstrike w:val="0"/>
                <w:color w:val="auto"/>
                <w:sz w:val="15"/>
                <w:szCs w:val="15"/>
                <w:highlight w:val="none"/>
                <w:u w:val="none"/>
              </w:rPr>
              <w:t>罚款数额＝</w:t>
            </w:r>
            <w:r>
              <w:rPr>
                <w:rFonts w:hint="eastAsia" w:ascii="宋体" w:hAnsi="宋体" w:eastAsia="宋体"/>
                <w:strike w:val="0"/>
                <w:dstrike w:val="0"/>
                <w:color w:val="auto"/>
                <w:sz w:val="15"/>
                <w:szCs w:val="15"/>
                <w:highlight w:val="none"/>
                <w:u w:val="none"/>
                <w:lang w:val="en-US" w:eastAsia="zh-CN"/>
              </w:rPr>
              <w:t>5</w:t>
            </w:r>
            <w:r>
              <w:rPr>
                <w:rFonts w:hint="eastAsia" w:ascii="宋体" w:hAnsi="宋体" w:eastAsia="宋体"/>
                <w:strike w:val="0"/>
                <w:dstrike w:val="0"/>
                <w:color w:val="auto"/>
                <w:sz w:val="15"/>
                <w:szCs w:val="15"/>
                <w:highlight w:val="none"/>
                <w:u w:val="none"/>
              </w:rPr>
              <w:t>00×（1+</w:t>
            </w:r>
            <w:r>
              <w:rPr>
                <w:rFonts w:hint="eastAsia" w:ascii="宋体" w:hAnsi="宋体" w:eastAsia="宋体"/>
                <w:strike w:val="0"/>
                <w:dstrike w:val="0"/>
                <w:color w:val="auto"/>
                <w:sz w:val="15"/>
                <w:szCs w:val="15"/>
                <w:highlight w:val="none"/>
                <w:u w:val="none"/>
                <w:lang w:eastAsia="zh-CN"/>
              </w:rPr>
              <w:t>情节</w:t>
            </w:r>
            <w:r>
              <w:rPr>
                <w:rFonts w:hint="eastAsia" w:ascii="宋体" w:hAnsi="宋体" w:eastAsia="宋体"/>
                <w:strike w:val="0"/>
                <w:dstrike w:val="0"/>
                <w:color w:val="auto"/>
                <w:sz w:val="15"/>
                <w:szCs w:val="15"/>
                <w:highlight w:val="none"/>
                <w:u w:val="none"/>
              </w:rPr>
              <w:t>系数）</w:t>
            </w:r>
          </w:p>
        </w:tc>
        <w:tc>
          <w:tcPr>
            <w:tcW w:w="2020" w:type="dxa"/>
            <w:gridSpan w:val="2"/>
            <w:noWrap w:val="0"/>
            <w:vAlign w:val="center"/>
          </w:tcPr>
          <w:p w14:paraId="20F5DE89">
            <w:pPr>
              <w:keepNext w:val="0"/>
              <w:keepLines w:val="0"/>
              <w:pageBreakBefore w:val="0"/>
              <w:kinsoku/>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val="en-US" w:eastAsia="zh-CN"/>
              </w:rPr>
              <w:t>2026年5月1日前</w:t>
            </w:r>
            <w:r>
              <w:rPr>
                <w:rFonts w:hint="eastAsia" w:ascii="宋体" w:hAnsi="宋体" w:eastAsia="宋体"/>
                <w:strike w:val="0"/>
                <w:dstrike w:val="0"/>
                <w:color w:val="auto"/>
                <w:sz w:val="15"/>
                <w:szCs w:val="15"/>
                <w:highlight w:val="none"/>
                <w:u w:val="none"/>
              </w:rPr>
              <w:t>按照《北京市非机动车管理条例》进行查处。</w:t>
            </w:r>
          </w:p>
        </w:tc>
        <w:tc>
          <w:tcPr>
            <w:tcW w:w="1304" w:type="dxa"/>
            <w:gridSpan w:val="2"/>
            <w:noWrap w:val="0"/>
            <w:vAlign w:val="center"/>
          </w:tcPr>
          <w:p w14:paraId="7CFE058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E64B18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067F7DA">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C4634700</w:t>
            </w:r>
          </w:p>
        </w:tc>
      </w:tr>
      <w:tr w14:paraId="14AA0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24" w:hRule="atLeast"/>
        </w:trPr>
        <w:tc>
          <w:tcPr>
            <w:tcW w:w="714" w:type="dxa"/>
            <w:vMerge w:val="continue"/>
            <w:noWrap w:val="0"/>
            <w:vAlign w:val="center"/>
          </w:tcPr>
          <w:p w14:paraId="21B78DD7">
            <w:pPr>
              <w:spacing w:before="100" w:beforeAutospacing="1" w:after="100" w:afterAutospacing="1" w:line="232" w:lineRule="exact"/>
              <w:jc w:val="center"/>
              <w:rPr>
                <w:rFonts w:ascii="宋体" w:hAnsi="宋体" w:eastAsia="宋体" w:cs="Arial"/>
                <w:color w:val="auto"/>
                <w:kern w:val="0"/>
                <w:sz w:val="15"/>
                <w:szCs w:val="15"/>
                <w:highlight w:val="none"/>
              </w:rPr>
            </w:pPr>
          </w:p>
        </w:tc>
        <w:tc>
          <w:tcPr>
            <w:tcW w:w="1626" w:type="dxa"/>
            <w:gridSpan w:val="2"/>
            <w:vMerge w:val="continue"/>
            <w:noWrap w:val="0"/>
            <w:vAlign w:val="center"/>
          </w:tcPr>
          <w:p w14:paraId="6F50F52B">
            <w:pPr>
              <w:spacing w:before="100" w:beforeAutospacing="1" w:after="100" w:afterAutospacing="1" w:line="232" w:lineRule="exact"/>
              <w:jc w:val="center"/>
              <w:rPr>
                <w:rFonts w:ascii="宋体" w:hAnsi="宋体" w:eastAsia="宋体" w:cs="Arial"/>
                <w:color w:val="auto"/>
                <w:kern w:val="0"/>
                <w:sz w:val="15"/>
                <w:szCs w:val="15"/>
                <w:highlight w:val="none"/>
              </w:rPr>
            </w:pPr>
          </w:p>
        </w:tc>
        <w:tc>
          <w:tcPr>
            <w:tcW w:w="2981" w:type="dxa"/>
            <w:noWrap w:val="0"/>
            <w:vAlign w:val="center"/>
          </w:tcPr>
          <w:p w14:paraId="10CDA42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noWrap w:val="0"/>
            <w:vAlign w:val="center"/>
          </w:tcPr>
          <w:p w14:paraId="04756683">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1000</w:t>
            </w:r>
          </w:p>
        </w:tc>
        <w:tc>
          <w:tcPr>
            <w:tcW w:w="840" w:type="dxa"/>
            <w:noWrap w:val="0"/>
            <w:vAlign w:val="center"/>
          </w:tcPr>
          <w:p w14:paraId="6EAA689E">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2376" w:type="dxa"/>
            <w:noWrap w:val="0"/>
            <w:vAlign w:val="center"/>
          </w:tcPr>
          <w:p w14:paraId="704724E8">
            <w:pPr>
              <w:spacing w:line="232" w:lineRule="exact"/>
              <w:rPr>
                <w:rFonts w:hint="eastAsia" w:ascii="宋体" w:hAnsi="宋体" w:eastAsia="宋体" w:cs="Arial"/>
                <w:color w:val="auto"/>
                <w:kern w:val="0"/>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69C599CF">
            <w:pPr>
              <w:keepNext w:val="0"/>
              <w:keepLines w:val="0"/>
              <w:pageBreakBefore w:val="0"/>
              <w:kinsoku/>
              <w:overflowPunct/>
              <w:topLinePunct w:val="0"/>
              <w:autoSpaceDE/>
              <w:autoSpaceDN/>
              <w:bidi w:val="0"/>
              <w:adjustRightInd/>
              <w:snapToGrid/>
              <w:spacing w:before="100" w:beforeAutospacing="1" w:after="100" w:afterAutospacing="1" w:line="240" w:lineRule="auto"/>
              <w:jc w:val="left"/>
              <w:rPr>
                <w:rFonts w:ascii="宋体" w:hAnsi="宋体" w:eastAsia="宋体" w:cs="Arial"/>
                <w:color w:val="auto"/>
                <w:kern w:val="0"/>
                <w:sz w:val="15"/>
                <w:szCs w:val="15"/>
                <w:highlight w:val="none"/>
              </w:rPr>
            </w:pPr>
            <w:r>
              <w:rPr>
                <w:rFonts w:hint="eastAsia" w:ascii="宋体" w:hAnsi="宋体" w:eastAsia="宋体"/>
                <w:strike w:val="0"/>
                <w:dstrike w:val="0"/>
                <w:color w:val="auto"/>
                <w:sz w:val="15"/>
                <w:szCs w:val="15"/>
                <w:highlight w:val="none"/>
                <w:u w:val="none"/>
              </w:rPr>
              <w:t>罚款数额＝</w:t>
            </w:r>
            <w:r>
              <w:rPr>
                <w:rFonts w:hint="eastAsia" w:ascii="宋体" w:hAnsi="宋体" w:eastAsia="宋体"/>
                <w:strike w:val="0"/>
                <w:dstrike w:val="0"/>
                <w:color w:val="auto"/>
                <w:sz w:val="15"/>
                <w:szCs w:val="15"/>
                <w:highlight w:val="none"/>
                <w:u w:val="none"/>
                <w:lang w:val="en-US" w:eastAsia="zh-CN"/>
              </w:rPr>
              <w:t>10</w:t>
            </w:r>
            <w:r>
              <w:rPr>
                <w:rFonts w:hint="eastAsia" w:ascii="宋体" w:hAnsi="宋体" w:eastAsia="宋体"/>
                <w:strike w:val="0"/>
                <w:dstrike w:val="0"/>
                <w:color w:val="auto"/>
                <w:sz w:val="15"/>
                <w:szCs w:val="15"/>
                <w:highlight w:val="none"/>
                <w:u w:val="none"/>
              </w:rPr>
              <w:t>00×（1+</w:t>
            </w:r>
            <w:r>
              <w:rPr>
                <w:rFonts w:hint="eastAsia" w:ascii="宋体" w:hAnsi="宋体" w:eastAsia="宋体"/>
                <w:strike w:val="0"/>
                <w:dstrike w:val="0"/>
                <w:color w:val="auto"/>
                <w:sz w:val="15"/>
                <w:szCs w:val="15"/>
                <w:highlight w:val="none"/>
                <w:u w:val="none"/>
                <w:lang w:eastAsia="zh-CN"/>
              </w:rPr>
              <w:t>情节</w:t>
            </w:r>
            <w:r>
              <w:rPr>
                <w:rFonts w:hint="eastAsia" w:ascii="宋体" w:hAnsi="宋体" w:eastAsia="宋体"/>
                <w:strike w:val="0"/>
                <w:dstrike w:val="0"/>
                <w:color w:val="auto"/>
                <w:sz w:val="15"/>
                <w:szCs w:val="15"/>
                <w:highlight w:val="none"/>
                <w:u w:val="none"/>
              </w:rPr>
              <w:t>系数）</w:t>
            </w:r>
          </w:p>
        </w:tc>
        <w:tc>
          <w:tcPr>
            <w:tcW w:w="2020" w:type="dxa"/>
            <w:gridSpan w:val="2"/>
            <w:noWrap w:val="0"/>
            <w:vAlign w:val="center"/>
          </w:tcPr>
          <w:p w14:paraId="24915F0C">
            <w:pPr>
              <w:keepNext w:val="0"/>
              <w:keepLines w:val="0"/>
              <w:pageBreakBefore w:val="0"/>
              <w:kinsoku/>
              <w:overflowPunct/>
              <w:topLinePunct w:val="0"/>
              <w:autoSpaceDE/>
              <w:autoSpaceDN/>
              <w:bidi w:val="0"/>
              <w:adjustRightInd/>
              <w:snapToGrid/>
              <w:spacing w:before="100" w:beforeAutospacing="1" w:after="100" w:afterAutospacing="1" w:line="240" w:lineRule="auto"/>
              <w:jc w:val="both"/>
              <w:rPr>
                <w:rFonts w:ascii="宋体" w:hAnsi="宋体" w:eastAsia="宋体" w:cs="Arial"/>
                <w:color w:val="auto"/>
                <w:kern w:val="0"/>
                <w:sz w:val="15"/>
                <w:szCs w:val="15"/>
                <w:highlight w:val="none"/>
              </w:rPr>
            </w:pPr>
            <w:r>
              <w:rPr>
                <w:rFonts w:hint="eastAsia" w:ascii="宋体" w:hAnsi="宋体" w:eastAsia="宋体"/>
                <w:strike w:val="0"/>
                <w:dstrike w:val="0"/>
                <w:color w:val="auto"/>
                <w:sz w:val="15"/>
                <w:szCs w:val="15"/>
                <w:highlight w:val="none"/>
                <w:u w:val="none"/>
                <w:lang w:val="en-US" w:eastAsia="zh-CN"/>
              </w:rPr>
              <w:t>2026年5月1日起废止</w:t>
            </w:r>
          </w:p>
        </w:tc>
        <w:tc>
          <w:tcPr>
            <w:tcW w:w="1304" w:type="dxa"/>
            <w:gridSpan w:val="2"/>
            <w:noWrap w:val="0"/>
            <w:vAlign w:val="center"/>
          </w:tcPr>
          <w:p w14:paraId="43840B23">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FAC743D">
            <w:pPr>
              <w:spacing w:line="232" w:lineRule="exact"/>
              <w:jc w:val="center"/>
              <w:rPr>
                <w:rFonts w:ascii="宋体" w:hAnsi="宋体" w:eastAsia="宋体" w:cs="Arial"/>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E9595AE">
            <w:pPr>
              <w:spacing w:line="232" w:lineRule="exact"/>
              <w:jc w:val="center"/>
              <w:rPr>
                <w:rFonts w:hint="eastAsia" w:ascii="宋体" w:hAnsi="宋体" w:eastAsia="宋体"/>
                <w:color w:val="auto"/>
                <w:sz w:val="15"/>
                <w:szCs w:val="15"/>
                <w:highlight w:val="none"/>
                <w:lang w:eastAsia="zh"/>
              </w:rPr>
            </w:pPr>
          </w:p>
        </w:tc>
      </w:tr>
      <w:tr w14:paraId="1B72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14:paraId="39A7CA13">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626" w:type="dxa"/>
            <w:gridSpan w:val="2"/>
            <w:noWrap w:val="0"/>
            <w:vAlign w:val="center"/>
          </w:tcPr>
          <w:p w14:paraId="046A950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非机动车公共停车场的经营、管理单位拒绝接受指导和监督检查</w:t>
            </w:r>
          </w:p>
        </w:tc>
        <w:tc>
          <w:tcPr>
            <w:tcW w:w="2981" w:type="dxa"/>
            <w:noWrap w:val="0"/>
            <w:vAlign w:val="center"/>
          </w:tcPr>
          <w:p w14:paraId="11EC473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违反条款：《北京市非机动车停车管理办法》第十一条第一款第（三）项；</w:t>
            </w:r>
          </w:p>
          <w:p w14:paraId="2E169E4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noWrap w:val="0"/>
            <w:vAlign w:val="center"/>
          </w:tcPr>
          <w:p w14:paraId="51B46599">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14:paraId="69F2A83E">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427CFDC1">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2CA5760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5F4BEBB1">
            <w:pPr>
              <w:spacing w:line="232" w:lineRule="exact"/>
              <w:jc w:val="center"/>
              <w:rPr>
                <w:rFonts w:ascii="宋体" w:hAnsi="宋体" w:eastAsia="宋体"/>
                <w:color w:val="auto"/>
                <w:sz w:val="15"/>
                <w:szCs w:val="15"/>
                <w:highlight w:val="none"/>
              </w:rPr>
            </w:pPr>
          </w:p>
        </w:tc>
        <w:tc>
          <w:tcPr>
            <w:tcW w:w="1304" w:type="dxa"/>
            <w:gridSpan w:val="2"/>
            <w:noWrap w:val="0"/>
            <w:vAlign w:val="center"/>
          </w:tcPr>
          <w:p w14:paraId="3F4164B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68D9F3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002E8D2E">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C4634800</w:t>
            </w:r>
          </w:p>
        </w:tc>
      </w:tr>
      <w:tr w14:paraId="3ECB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81" w:hRule="atLeast"/>
        </w:trPr>
        <w:tc>
          <w:tcPr>
            <w:tcW w:w="714" w:type="dxa"/>
            <w:vMerge w:val="restart"/>
            <w:noWrap w:val="0"/>
            <w:vAlign w:val="center"/>
          </w:tcPr>
          <w:p w14:paraId="7C7BA736">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6</w:t>
            </w:r>
          </w:p>
        </w:tc>
        <w:tc>
          <w:tcPr>
            <w:tcW w:w="1626" w:type="dxa"/>
            <w:gridSpan w:val="2"/>
            <w:vMerge w:val="restart"/>
            <w:noWrap w:val="0"/>
            <w:vAlign w:val="center"/>
          </w:tcPr>
          <w:p w14:paraId="01A8617B">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未保证非机动车公共停车场内的停车秩序（环境卫生、停车安全）</w:t>
            </w:r>
          </w:p>
        </w:tc>
        <w:tc>
          <w:tcPr>
            <w:tcW w:w="2981" w:type="dxa"/>
            <w:noWrap w:val="0"/>
            <w:vAlign w:val="center"/>
          </w:tcPr>
          <w:p w14:paraId="24A8CDDB">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违反条款：《北京市非机动车停车管理办法》第十一条第一款第（五）项；</w:t>
            </w:r>
          </w:p>
          <w:p w14:paraId="570932CA">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noWrap w:val="0"/>
            <w:vAlign w:val="center"/>
          </w:tcPr>
          <w:p w14:paraId="18396758">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500</w:t>
            </w:r>
          </w:p>
        </w:tc>
        <w:tc>
          <w:tcPr>
            <w:tcW w:w="840" w:type="dxa"/>
            <w:noWrap w:val="0"/>
            <w:vAlign w:val="center"/>
          </w:tcPr>
          <w:p w14:paraId="7F6C4004">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2376" w:type="dxa"/>
            <w:noWrap w:val="0"/>
            <w:vAlign w:val="center"/>
          </w:tcPr>
          <w:p w14:paraId="00BCFF45">
            <w:pPr>
              <w:spacing w:line="190"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137D940D">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6B09D985">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适用于查处“未保证良好的环境卫生”行为。</w:t>
            </w:r>
          </w:p>
        </w:tc>
        <w:tc>
          <w:tcPr>
            <w:tcW w:w="1304" w:type="dxa"/>
            <w:gridSpan w:val="2"/>
            <w:noWrap w:val="0"/>
            <w:vAlign w:val="center"/>
          </w:tcPr>
          <w:p w14:paraId="72F9A7E1">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570E4ED">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471F5030">
            <w:pPr>
              <w:spacing w:line="19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C4634900</w:t>
            </w:r>
          </w:p>
        </w:tc>
      </w:tr>
      <w:tr w14:paraId="543BF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09" w:hRule="atLeast"/>
        </w:trPr>
        <w:tc>
          <w:tcPr>
            <w:tcW w:w="714" w:type="dxa"/>
            <w:vMerge w:val="continue"/>
            <w:noWrap w:val="0"/>
            <w:vAlign w:val="center"/>
          </w:tcPr>
          <w:p w14:paraId="75368E57">
            <w:pPr>
              <w:spacing w:before="100" w:beforeAutospacing="1" w:after="100" w:afterAutospacing="1" w:line="232" w:lineRule="exact"/>
              <w:jc w:val="center"/>
              <w:rPr>
                <w:rFonts w:ascii="宋体" w:hAnsi="宋体" w:eastAsia="宋体" w:cs="Arial"/>
                <w:b/>
                <w:color w:val="auto"/>
                <w:kern w:val="0"/>
                <w:sz w:val="15"/>
                <w:szCs w:val="15"/>
                <w:highlight w:val="none"/>
              </w:rPr>
            </w:pPr>
          </w:p>
        </w:tc>
        <w:tc>
          <w:tcPr>
            <w:tcW w:w="1626" w:type="dxa"/>
            <w:gridSpan w:val="2"/>
            <w:vMerge w:val="continue"/>
            <w:noWrap w:val="0"/>
            <w:vAlign w:val="center"/>
          </w:tcPr>
          <w:p w14:paraId="387DF07D">
            <w:pPr>
              <w:spacing w:line="204" w:lineRule="exact"/>
              <w:rPr>
                <w:rFonts w:ascii="宋体" w:hAnsi="宋体" w:eastAsia="宋体"/>
                <w:color w:val="auto"/>
                <w:sz w:val="15"/>
                <w:szCs w:val="15"/>
                <w:highlight w:val="none"/>
              </w:rPr>
            </w:pPr>
          </w:p>
        </w:tc>
        <w:tc>
          <w:tcPr>
            <w:tcW w:w="2981" w:type="dxa"/>
            <w:noWrap w:val="0"/>
            <w:vAlign w:val="center"/>
          </w:tcPr>
          <w:p w14:paraId="48A0A524">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违反条款：《北京市非机动车管理条例》第二十三条第（二）项。</w:t>
            </w:r>
          </w:p>
          <w:p w14:paraId="1CFE38B0">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noWrap w:val="0"/>
            <w:vAlign w:val="center"/>
          </w:tcPr>
          <w:p w14:paraId="50B582EA">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r>
              <w:rPr>
                <w:rFonts w:ascii="宋体" w:hAnsi="宋体" w:eastAsia="宋体" w:cs="Arial"/>
                <w:color w:val="auto"/>
                <w:kern w:val="0"/>
                <w:sz w:val="15"/>
                <w:szCs w:val="15"/>
                <w:highlight w:val="none"/>
              </w:rPr>
              <w:t>000</w:t>
            </w:r>
          </w:p>
        </w:tc>
        <w:tc>
          <w:tcPr>
            <w:tcW w:w="840" w:type="dxa"/>
            <w:noWrap w:val="0"/>
            <w:vAlign w:val="center"/>
          </w:tcPr>
          <w:p w14:paraId="6F4B6660">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2376" w:type="dxa"/>
            <w:noWrap w:val="0"/>
            <w:vAlign w:val="center"/>
          </w:tcPr>
          <w:p w14:paraId="3D160582">
            <w:pPr>
              <w:spacing w:line="190" w:lineRule="exact"/>
              <w:rPr>
                <w:rFonts w:hint="eastAsia" w:ascii="宋体" w:hAnsi="宋体" w:eastAsia="宋体" w:cs="Arial"/>
                <w:color w:val="auto"/>
                <w:kern w:val="0"/>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7C56ABC9">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1F8D18CF">
            <w:pPr>
              <w:spacing w:line="19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适用于查处“未保障停车场内的停车秩序和停车安全”行为。</w:t>
            </w:r>
          </w:p>
          <w:p w14:paraId="347B026F">
            <w:pPr>
              <w:spacing w:line="190"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1304" w:type="dxa"/>
            <w:gridSpan w:val="2"/>
            <w:noWrap w:val="0"/>
            <w:vAlign w:val="center"/>
          </w:tcPr>
          <w:p w14:paraId="7C42654E">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8EA5FC1">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27482D43">
            <w:pPr>
              <w:spacing w:line="190" w:lineRule="exact"/>
              <w:jc w:val="center"/>
              <w:rPr>
                <w:rFonts w:hint="eastAsia" w:ascii="宋体" w:hAnsi="宋体" w:eastAsia="宋体"/>
                <w:color w:val="auto"/>
                <w:sz w:val="15"/>
                <w:szCs w:val="15"/>
                <w:highlight w:val="none"/>
                <w:lang w:eastAsia="zh"/>
              </w:rPr>
            </w:pPr>
          </w:p>
        </w:tc>
      </w:tr>
      <w:tr w14:paraId="457C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55" w:hRule="atLeast"/>
        </w:trPr>
        <w:tc>
          <w:tcPr>
            <w:tcW w:w="714" w:type="dxa"/>
            <w:noWrap w:val="0"/>
            <w:vAlign w:val="center"/>
          </w:tcPr>
          <w:p w14:paraId="2482F54F">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s="Arial"/>
                <w:b/>
                <w:color w:val="auto"/>
                <w:kern w:val="0"/>
                <w:sz w:val="15"/>
                <w:szCs w:val="15"/>
                <w:highlight w:val="none"/>
                <w:lang w:eastAsia="zh-CN"/>
              </w:rPr>
            </w:pPr>
            <w:bookmarkStart w:id="137" w:name="_Toc2072679585"/>
            <w:bookmarkStart w:id="138" w:name="_Toc110851480"/>
            <w:r>
              <w:rPr>
                <w:rFonts w:hint="eastAsia" w:ascii="宋体" w:hAnsi="宋体" w:eastAsia="宋体"/>
                <w:color w:val="auto"/>
                <w:sz w:val="15"/>
                <w:szCs w:val="15"/>
                <w:highlight w:val="none"/>
                <w:lang w:val="en-US" w:eastAsia="zh-CN"/>
              </w:rPr>
              <w:t>7</w:t>
            </w:r>
          </w:p>
        </w:tc>
        <w:tc>
          <w:tcPr>
            <w:tcW w:w="1626" w:type="dxa"/>
            <w:gridSpan w:val="2"/>
            <w:noWrap w:val="0"/>
            <w:vAlign w:val="center"/>
          </w:tcPr>
          <w:p w14:paraId="70769312">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lang w:eastAsia="zh-CN"/>
              </w:rPr>
              <w:t>非机动车在步行绿道、滨水步道通行</w:t>
            </w:r>
          </w:p>
        </w:tc>
        <w:tc>
          <w:tcPr>
            <w:tcW w:w="2981" w:type="dxa"/>
            <w:noWrap w:val="0"/>
            <w:vAlign w:val="center"/>
          </w:tcPr>
          <w:p w14:paraId="29DA36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《北京市非机动车管理条例》第二十七条第一款；</w:t>
            </w:r>
          </w:p>
          <w:p w14:paraId="2A02DB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处罚条款：《北京市非机动车管理条例》第四</w:t>
            </w:r>
            <w:r>
              <w:rPr>
                <w:rFonts w:hint="eastAsia" w:ascii="宋体" w:hAnsi="宋体" w:eastAsia="宋体" w:cs="宋体"/>
                <w:color w:val="auto"/>
                <w:sz w:val="15"/>
                <w:szCs w:val="15"/>
                <w:highlight w:val="none"/>
                <w:lang w:eastAsia="zh-CN"/>
              </w:rPr>
              <w:t>十七</w:t>
            </w:r>
            <w:r>
              <w:rPr>
                <w:rFonts w:hint="eastAsia" w:ascii="宋体" w:hAnsi="宋体" w:eastAsia="宋体" w:cs="宋体"/>
                <w:color w:val="auto"/>
                <w:sz w:val="15"/>
                <w:szCs w:val="15"/>
                <w:highlight w:val="none"/>
              </w:rPr>
              <w:t xml:space="preserve">条 </w:t>
            </w:r>
            <w:r>
              <w:rPr>
                <w:rFonts w:hint="eastAsia" w:ascii="宋体" w:hAnsi="宋体" w:eastAsia="宋体" w:cs="宋体"/>
                <w:color w:val="auto"/>
                <w:sz w:val="15"/>
                <w:szCs w:val="15"/>
                <w:highlight w:val="none"/>
                <w:lang w:val="en-US" w:eastAsia="zh-CN"/>
              </w:rPr>
              <w:t xml:space="preserve">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851" w:type="dxa"/>
            <w:noWrap w:val="0"/>
            <w:vAlign w:val="center"/>
          </w:tcPr>
          <w:p w14:paraId="16F573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Arial"/>
                <w:color w:val="auto"/>
                <w:kern w:val="0"/>
                <w:sz w:val="15"/>
                <w:szCs w:val="15"/>
                <w:highlight w:val="none"/>
              </w:rPr>
            </w:pPr>
          </w:p>
        </w:tc>
        <w:tc>
          <w:tcPr>
            <w:tcW w:w="840" w:type="dxa"/>
            <w:noWrap w:val="0"/>
            <w:vAlign w:val="center"/>
          </w:tcPr>
          <w:p w14:paraId="15E630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Arial"/>
                <w:color w:val="auto"/>
                <w:kern w:val="0"/>
                <w:sz w:val="15"/>
                <w:szCs w:val="15"/>
                <w:highlight w:val="none"/>
              </w:rPr>
            </w:pPr>
          </w:p>
        </w:tc>
        <w:tc>
          <w:tcPr>
            <w:tcW w:w="2376" w:type="dxa"/>
            <w:noWrap w:val="0"/>
            <w:vAlign w:val="center"/>
          </w:tcPr>
          <w:p w14:paraId="787D5EF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strike w:val="0"/>
                <w:dstrike w:val="0"/>
                <w:color w:val="auto"/>
                <w:sz w:val="15"/>
                <w:szCs w:val="15"/>
                <w:highlight w:val="none"/>
              </w:rPr>
            </w:pPr>
          </w:p>
        </w:tc>
        <w:tc>
          <w:tcPr>
            <w:tcW w:w="1875" w:type="dxa"/>
            <w:gridSpan w:val="2"/>
            <w:noWrap w:val="0"/>
            <w:vAlign w:val="center"/>
          </w:tcPr>
          <w:p w14:paraId="194BF5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p>
        </w:tc>
        <w:tc>
          <w:tcPr>
            <w:tcW w:w="2020" w:type="dxa"/>
            <w:gridSpan w:val="2"/>
            <w:noWrap w:val="0"/>
            <w:vAlign w:val="center"/>
          </w:tcPr>
          <w:p w14:paraId="0A94C9A2">
            <w:pP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2"/>
                <w:sz w:val="15"/>
                <w:szCs w:val="15"/>
                <w:highlight w:val="none"/>
                <w:lang w:val="en-US" w:eastAsia="zh-CN" w:bidi="ar-SA"/>
              </w:rPr>
              <w:t>初次</w:t>
            </w:r>
            <w:r>
              <w:rPr>
                <w:rFonts w:hint="eastAsia" w:ascii="宋体" w:hAnsi="宋体" w:cs="宋体"/>
                <w:color w:val="auto"/>
                <w:kern w:val="2"/>
                <w:sz w:val="15"/>
                <w:szCs w:val="15"/>
                <w:highlight w:val="none"/>
                <w:lang w:val="en-US" w:eastAsia="zh-CN" w:bidi="ar-SA"/>
              </w:rPr>
              <w:t>违反</w:t>
            </w:r>
            <w:r>
              <w:rPr>
                <w:rFonts w:hint="eastAsia" w:ascii="宋体" w:hAnsi="宋体" w:eastAsia="宋体" w:cs="宋体"/>
                <w:color w:val="auto"/>
                <w:kern w:val="2"/>
                <w:sz w:val="15"/>
                <w:szCs w:val="15"/>
                <w:highlight w:val="none"/>
                <w:lang w:val="en-US" w:eastAsia="zh-CN" w:bidi="ar-SA"/>
              </w:rPr>
              <w:t>且拒不改正的，警告；</w:t>
            </w:r>
          </w:p>
          <w:p w14:paraId="2402C651">
            <w:pPr>
              <w:rPr>
                <w:rFonts w:hint="default"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2"/>
                <w:sz w:val="15"/>
                <w:szCs w:val="15"/>
                <w:highlight w:val="none"/>
                <w:lang w:val="en-US" w:eastAsia="zh-CN" w:bidi="ar-SA"/>
              </w:rPr>
              <w:t>再次</w:t>
            </w:r>
            <w:r>
              <w:rPr>
                <w:rFonts w:hint="eastAsia" w:ascii="宋体" w:hAnsi="宋体" w:cs="宋体"/>
                <w:color w:val="auto"/>
                <w:kern w:val="2"/>
                <w:sz w:val="15"/>
                <w:szCs w:val="15"/>
                <w:highlight w:val="none"/>
                <w:lang w:val="en-US" w:eastAsia="zh-CN" w:bidi="ar-SA"/>
              </w:rPr>
              <w:t>违反</w:t>
            </w:r>
            <w:r>
              <w:rPr>
                <w:rFonts w:hint="eastAsia" w:ascii="宋体" w:hAnsi="宋体" w:eastAsia="宋体" w:cs="宋体"/>
                <w:color w:val="auto"/>
                <w:kern w:val="2"/>
                <w:sz w:val="15"/>
                <w:szCs w:val="15"/>
                <w:highlight w:val="none"/>
                <w:lang w:val="en-US" w:eastAsia="zh-CN" w:bidi="ar-SA"/>
              </w:rPr>
              <w:t>的，处以罚款。</w:t>
            </w:r>
          </w:p>
          <w:p w14:paraId="0AE821FF">
            <w:pPr>
              <w:pStyle w:val="9"/>
              <w:keepNext w:val="0"/>
              <w:keepLines w:val="0"/>
              <w:pageBreakBefore w:val="0"/>
              <w:kinsoku/>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kern w:val="2"/>
                <w:sz w:val="15"/>
                <w:szCs w:val="15"/>
                <w:highlight w:val="none"/>
                <w:lang w:val="en-US" w:eastAsia="zh-CN" w:bidi="ar-SA"/>
              </w:rPr>
              <w:t>（2026年5月1日开始执行）</w:t>
            </w:r>
          </w:p>
        </w:tc>
        <w:tc>
          <w:tcPr>
            <w:tcW w:w="1304" w:type="dxa"/>
            <w:gridSpan w:val="2"/>
            <w:noWrap w:val="0"/>
            <w:vAlign w:val="center"/>
          </w:tcPr>
          <w:p w14:paraId="3DF92C79">
            <w:pPr>
              <w:keepNext w:val="0"/>
              <w:keepLines w:val="0"/>
              <w:pageBreakBefore w:val="0"/>
              <w:kinsoku/>
              <w:overflowPunct/>
              <w:topLinePunct w:val="0"/>
              <w:autoSpaceDE/>
              <w:autoSpaceDN/>
              <w:bidi w:val="0"/>
              <w:adjustRightInd/>
              <w:snapToGrid/>
              <w:spacing w:line="240" w:lineRule="auto"/>
              <w:jc w:val="center"/>
              <w:rPr>
                <w:rFonts w:hint="eastAsia" w:ascii="宋体" w:hAnsi="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市级、</w:t>
            </w:r>
          </w:p>
          <w:p w14:paraId="3DE55EF4">
            <w:pPr>
              <w:keepNext w:val="0"/>
              <w:keepLines w:val="0"/>
              <w:pageBreakBefore w:val="0"/>
              <w:kinsoku/>
              <w:overflowPunct/>
              <w:topLinePunct w:val="0"/>
              <w:autoSpaceDE/>
              <w:autoSpaceDN/>
              <w:bidi w:val="0"/>
              <w:adjustRightInd/>
              <w:snapToGrid/>
              <w:spacing w:line="240" w:lineRule="auto"/>
              <w:jc w:val="center"/>
              <w:rPr>
                <w:rFonts w:hint="eastAsia" w:ascii="宋体" w:hAnsi="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区级、</w:t>
            </w:r>
          </w:p>
          <w:p w14:paraId="245BA3C9">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14:paraId="79EE4A46">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待新增</w:t>
            </w:r>
          </w:p>
        </w:tc>
      </w:tr>
      <w:tr w14:paraId="79D91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55" w:hRule="atLeast"/>
        </w:trPr>
        <w:tc>
          <w:tcPr>
            <w:tcW w:w="714" w:type="dxa"/>
            <w:noWrap w:val="0"/>
            <w:vAlign w:val="center"/>
          </w:tcPr>
          <w:p w14:paraId="17D8D158">
            <w:pPr>
              <w:keepNext w:val="0"/>
              <w:keepLines w:val="0"/>
              <w:pageBreakBefore w:val="0"/>
              <w:kinsoku/>
              <w:overflowPunct/>
              <w:topLinePunct w:val="0"/>
              <w:autoSpaceDE/>
              <w:autoSpaceDN/>
              <w:bidi w:val="0"/>
              <w:adjustRightInd/>
              <w:snapToGrid/>
              <w:spacing w:line="240" w:lineRule="auto"/>
              <w:jc w:val="center"/>
              <w:rPr>
                <w:rFonts w:ascii="宋体" w:hAnsi="宋体" w:eastAsia="宋体" w:cs="Arial"/>
                <w:b/>
                <w:color w:val="auto"/>
                <w:kern w:val="0"/>
                <w:sz w:val="15"/>
                <w:szCs w:val="15"/>
                <w:highlight w:val="none"/>
              </w:rPr>
            </w:pPr>
            <w:r>
              <w:rPr>
                <w:rFonts w:hint="eastAsia" w:ascii="宋体" w:hAnsi="宋体" w:eastAsia="宋体"/>
                <w:color w:val="auto"/>
                <w:sz w:val="15"/>
                <w:szCs w:val="15"/>
                <w:highlight w:val="none"/>
                <w:lang w:val="en-US" w:eastAsia="zh-CN"/>
              </w:rPr>
              <w:t>8</w:t>
            </w:r>
          </w:p>
        </w:tc>
        <w:tc>
          <w:tcPr>
            <w:tcW w:w="1626" w:type="dxa"/>
            <w:gridSpan w:val="2"/>
            <w:noWrap w:val="0"/>
            <w:vAlign w:val="center"/>
          </w:tcPr>
          <w:p w14:paraId="20B7854A">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lang w:eastAsia="zh-CN"/>
              </w:rPr>
              <w:t>侵占、擅自停止使用非机动车停车设施或者将停车设施挪作他用</w:t>
            </w:r>
          </w:p>
        </w:tc>
        <w:tc>
          <w:tcPr>
            <w:tcW w:w="2981" w:type="dxa"/>
            <w:noWrap w:val="0"/>
            <w:vAlign w:val="center"/>
          </w:tcPr>
          <w:p w14:paraId="5EB2A7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三十条</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六</w:t>
            </w:r>
            <w:r>
              <w:rPr>
                <w:rFonts w:hint="eastAsia" w:ascii="宋体" w:hAnsi="宋体" w:eastAsia="宋体" w:cs="宋体"/>
                <w:color w:val="auto"/>
                <w:sz w:val="15"/>
                <w:szCs w:val="15"/>
                <w:highlight w:val="none"/>
              </w:rPr>
              <w:t>款；</w:t>
            </w:r>
          </w:p>
          <w:p w14:paraId="0F3882B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四十八</w:t>
            </w:r>
            <w:r>
              <w:rPr>
                <w:rFonts w:hint="eastAsia" w:ascii="宋体" w:hAnsi="宋体" w:eastAsia="宋体" w:cs="宋体"/>
                <w:color w:val="auto"/>
                <w:sz w:val="15"/>
                <w:szCs w:val="15"/>
                <w:highlight w:val="none"/>
              </w:rPr>
              <w:t xml:space="preserve">条 </w:t>
            </w:r>
            <w:r>
              <w:rPr>
                <w:rFonts w:hint="eastAsia" w:ascii="宋体" w:hAnsi="宋体" w:eastAsia="宋体" w:cs="宋体"/>
                <w:color w:val="auto"/>
                <w:sz w:val="15"/>
                <w:szCs w:val="15"/>
                <w:highlight w:val="none"/>
                <w:lang w:val="en-US" w:eastAsia="zh-CN"/>
              </w:rPr>
              <w:t xml:space="preserve"> 违反本条例第三十条第六款规定，侵占、擅自停止使用非机动车停车设施或者将其挪作他用的，由城市管理综合行政执法部门责令改正，处五百元以上一千元以下罚款。</w:t>
            </w:r>
          </w:p>
        </w:tc>
        <w:tc>
          <w:tcPr>
            <w:tcW w:w="851" w:type="dxa"/>
            <w:noWrap w:val="0"/>
            <w:vAlign w:val="center"/>
          </w:tcPr>
          <w:p w14:paraId="79631A2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w:t>
            </w:r>
          </w:p>
        </w:tc>
        <w:tc>
          <w:tcPr>
            <w:tcW w:w="840" w:type="dxa"/>
            <w:noWrap w:val="0"/>
            <w:vAlign w:val="center"/>
          </w:tcPr>
          <w:p w14:paraId="5964A0F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65B6998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color w:val="auto"/>
                <w:sz w:val="15"/>
                <w:szCs w:val="15"/>
                <w:highlight w:val="none"/>
                <w:lang w:val="en-US" w:eastAsia="zh-CN"/>
              </w:rPr>
            </w:pPr>
            <w:r>
              <w:rPr>
                <w:rFonts w:hint="default" w:ascii="宋体" w:hAnsi="宋体" w:eastAsia="宋体" w:cs="宋体"/>
                <w:color w:val="auto"/>
                <w:sz w:val="15"/>
                <w:szCs w:val="15"/>
                <w:highlight w:val="none"/>
                <w:lang w:val="en-US" w:eastAsia="zh-CN"/>
              </w:rPr>
              <w:t>存在基准2.1.3规定情形的，系数按照相关规定确定</w:t>
            </w:r>
            <w:r>
              <w:rPr>
                <w:rFonts w:hint="eastAsia" w:ascii="宋体" w:hAnsi="宋体" w:eastAsia="宋体" w:cs="宋体"/>
                <w:color w:val="auto"/>
                <w:sz w:val="15"/>
                <w:szCs w:val="15"/>
                <w:highlight w:val="none"/>
                <w:lang w:val="en-US" w:eastAsia="zh-CN"/>
              </w:rPr>
              <w:t>。</w:t>
            </w:r>
          </w:p>
          <w:p w14:paraId="1C155137">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rPr>
            </w:pPr>
          </w:p>
        </w:tc>
        <w:tc>
          <w:tcPr>
            <w:tcW w:w="1875" w:type="dxa"/>
            <w:gridSpan w:val="2"/>
            <w:noWrap w:val="0"/>
            <w:vAlign w:val="center"/>
          </w:tcPr>
          <w:p w14:paraId="59761492">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00×（1＋</w:t>
            </w:r>
            <w:r>
              <w:rPr>
                <w:rFonts w:hint="eastAsia" w:ascii="宋体" w:hAnsi="宋体" w:eastAsia="宋体" w:cs="宋体"/>
                <w:color w:val="auto"/>
                <w:sz w:val="15"/>
                <w:szCs w:val="15"/>
                <w:highlight w:val="none"/>
                <w:lang w:eastAsia="zh-CN"/>
              </w:rPr>
              <w:t>情节系数</w:t>
            </w:r>
            <w:r>
              <w:rPr>
                <w:rFonts w:hint="eastAsia" w:ascii="宋体" w:hAnsi="宋体" w:eastAsia="宋体" w:cs="宋体"/>
                <w:color w:val="auto"/>
                <w:sz w:val="15"/>
                <w:szCs w:val="15"/>
                <w:highlight w:val="none"/>
              </w:rPr>
              <w:t>）</w:t>
            </w:r>
          </w:p>
        </w:tc>
        <w:tc>
          <w:tcPr>
            <w:tcW w:w="2020" w:type="dxa"/>
            <w:gridSpan w:val="2"/>
            <w:noWrap w:val="0"/>
            <w:vAlign w:val="center"/>
          </w:tcPr>
          <w:p w14:paraId="77721ACB">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2026年5月1日开始执行</w:t>
            </w:r>
            <w:r>
              <w:rPr>
                <w:rFonts w:hint="eastAsia" w:ascii="宋体" w:hAnsi="宋体" w:eastAsia="宋体" w:cs="宋体"/>
                <w:color w:val="auto"/>
                <w:sz w:val="15"/>
                <w:szCs w:val="15"/>
                <w:highlight w:val="none"/>
                <w:lang w:eastAsia="zh-CN"/>
              </w:rPr>
              <w:t>）</w:t>
            </w:r>
          </w:p>
        </w:tc>
        <w:tc>
          <w:tcPr>
            <w:tcW w:w="1304" w:type="dxa"/>
            <w:gridSpan w:val="2"/>
            <w:noWrap w:val="0"/>
            <w:vAlign w:val="center"/>
          </w:tcPr>
          <w:p w14:paraId="42040FA5">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strike w:val="0"/>
                <w:dstrike w:val="0"/>
                <w:color w:val="auto"/>
                <w:sz w:val="15"/>
                <w:szCs w:val="15"/>
                <w:highlight w:val="none"/>
                <w:u w:val="none"/>
                <w:lang w:eastAsia="zh-CN"/>
              </w:rPr>
              <w:t>街道</w:t>
            </w:r>
          </w:p>
          <w:p w14:paraId="4797DD31">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乡镇</w:t>
            </w:r>
          </w:p>
        </w:tc>
        <w:tc>
          <w:tcPr>
            <w:tcW w:w="1869" w:type="dxa"/>
            <w:noWrap w:val="0"/>
            <w:vAlign w:val="center"/>
          </w:tcPr>
          <w:p w14:paraId="69E6F21C">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cs="宋体"/>
                <w:color w:val="auto"/>
                <w:kern w:val="0"/>
                <w:sz w:val="15"/>
                <w:szCs w:val="15"/>
                <w:highlight w:val="none"/>
                <w:lang w:eastAsia="zh-CN"/>
              </w:rPr>
              <w:t>待新增</w:t>
            </w:r>
          </w:p>
        </w:tc>
      </w:tr>
      <w:tr w14:paraId="47AE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55" w:hRule="atLeast"/>
        </w:trPr>
        <w:tc>
          <w:tcPr>
            <w:tcW w:w="714" w:type="dxa"/>
            <w:noWrap w:val="0"/>
            <w:vAlign w:val="center"/>
          </w:tcPr>
          <w:p w14:paraId="3A0B18E1">
            <w:pPr>
              <w:keepNext w:val="0"/>
              <w:keepLines w:val="0"/>
              <w:pageBreakBefore w:val="0"/>
              <w:kinsoku/>
              <w:overflowPunct/>
              <w:topLinePunct w:val="0"/>
              <w:autoSpaceDE/>
              <w:autoSpaceDN/>
              <w:bidi w:val="0"/>
              <w:adjustRightInd/>
              <w:snapToGrid/>
              <w:spacing w:line="240" w:lineRule="auto"/>
              <w:jc w:val="center"/>
              <w:rPr>
                <w:rFonts w:ascii="宋体" w:hAnsi="宋体" w:eastAsia="宋体" w:cs="Arial"/>
                <w:b/>
                <w:color w:val="auto"/>
                <w:kern w:val="0"/>
                <w:sz w:val="15"/>
                <w:szCs w:val="15"/>
                <w:highlight w:val="none"/>
              </w:rPr>
            </w:pPr>
            <w:r>
              <w:rPr>
                <w:rFonts w:hint="eastAsia" w:ascii="宋体" w:hAnsi="宋体" w:eastAsia="宋体"/>
                <w:color w:val="auto"/>
                <w:sz w:val="15"/>
                <w:szCs w:val="15"/>
                <w:highlight w:val="none"/>
                <w:lang w:val="en-US" w:eastAsia="zh-CN"/>
              </w:rPr>
              <w:t>9</w:t>
            </w:r>
          </w:p>
        </w:tc>
        <w:tc>
          <w:tcPr>
            <w:tcW w:w="1626" w:type="dxa"/>
            <w:gridSpan w:val="2"/>
            <w:noWrap w:val="0"/>
            <w:vAlign w:val="center"/>
          </w:tcPr>
          <w:p w14:paraId="036B86A5">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lang w:eastAsia="zh-CN"/>
              </w:rPr>
              <w:t>未按要求设置标识</w:t>
            </w:r>
            <w:r>
              <w:rPr>
                <w:rFonts w:hint="eastAsia" w:ascii="宋体" w:hAnsi="宋体" w:cs="宋体"/>
                <w:color w:val="auto"/>
                <w:sz w:val="15"/>
                <w:szCs w:val="15"/>
                <w:highlight w:val="none"/>
                <w:lang w:eastAsia="zh-CN"/>
              </w:rPr>
              <w:t>、标线</w:t>
            </w:r>
            <w:r>
              <w:rPr>
                <w:rFonts w:hint="eastAsia" w:ascii="宋体" w:hAnsi="宋体" w:eastAsia="宋体" w:cs="宋体"/>
                <w:color w:val="auto"/>
                <w:sz w:val="15"/>
                <w:szCs w:val="15"/>
                <w:highlight w:val="none"/>
                <w:lang w:eastAsia="zh-CN"/>
              </w:rPr>
              <w:t>及设施</w:t>
            </w:r>
          </w:p>
        </w:tc>
        <w:tc>
          <w:tcPr>
            <w:tcW w:w="2981" w:type="dxa"/>
            <w:noWrap w:val="0"/>
            <w:vAlign w:val="center"/>
          </w:tcPr>
          <w:p w14:paraId="002A5D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三十二条</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一</w:t>
            </w:r>
            <w:r>
              <w:rPr>
                <w:rFonts w:hint="eastAsia" w:ascii="宋体" w:hAnsi="宋体" w:eastAsia="宋体" w:cs="宋体"/>
                <w:color w:val="auto"/>
                <w:sz w:val="15"/>
                <w:szCs w:val="15"/>
                <w:highlight w:val="none"/>
              </w:rPr>
              <w:t>款；</w:t>
            </w:r>
          </w:p>
          <w:p w14:paraId="2AA9486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四十九</w:t>
            </w:r>
            <w:r>
              <w:rPr>
                <w:rFonts w:hint="eastAsia" w:ascii="宋体" w:hAnsi="宋体" w:eastAsia="宋体" w:cs="宋体"/>
                <w:color w:val="auto"/>
                <w:sz w:val="15"/>
                <w:szCs w:val="15"/>
                <w:highlight w:val="none"/>
              </w:rPr>
              <w:t>条</w:t>
            </w:r>
            <w:r>
              <w:rPr>
                <w:rFonts w:hint="eastAsia" w:ascii="宋体" w:hAnsi="宋体" w:eastAsia="宋体" w:cs="宋体"/>
                <w:color w:val="auto"/>
                <w:sz w:val="15"/>
                <w:szCs w:val="15"/>
                <w:highlight w:val="none"/>
                <w:lang w:val="en-US" w:eastAsia="zh-CN"/>
              </w:rPr>
              <w:t xml:space="preserve"> 非机动车停车场产权单位或者管理、使用单位违反本条例第三十二条第一款、第二款规定的，由城市管理综合行政执法部门责令改正，处一千元以上五千元以下罚款。</w:t>
            </w:r>
          </w:p>
        </w:tc>
        <w:tc>
          <w:tcPr>
            <w:tcW w:w="851" w:type="dxa"/>
            <w:noWrap w:val="0"/>
            <w:vAlign w:val="center"/>
          </w:tcPr>
          <w:p w14:paraId="1921219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color w:val="auto"/>
                <w:sz w:val="15"/>
                <w:szCs w:val="15"/>
                <w:highlight w:val="none"/>
                <w:lang w:val="en-US" w:eastAsia="zh-CN"/>
              </w:rPr>
              <w:t>1000</w:t>
            </w:r>
          </w:p>
        </w:tc>
        <w:tc>
          <w:tcPr>
            <w:tcW w:w="840" w:type="dxa"/>
            <w:noWrap w:val="0"/>
            <w:vAlign w:val="center"/>
          </w:tcPr>
          <w:p w14:paraId="7F192DC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14:paraId="0F09A95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strike w:val="0"/>
                <w:dstrike w:val="0"/>
                <w:color w:val="auto"/>
                <w:sz w:val="15"/>
                <w:szCs w:val="15"/>
                <w:highlight w:val="none"/>
              </w:rPr>
            </w:pPr>
            <w:r>
              <w:rPr>
                <w:rFonts w:hint="default" w:ascii="宋体" w:hAnsi="宋体" w:eastAsia="宋体" w:cs="宋体"/>
                <w:color w:val="auto"/>
                <w:sz w:val="15"/>
                <w:szCs w:val="15"/>
                <w:highlight w:val="none"/>
                <w:lang w:val="en-US" w:eastAsia="zh-CN"/>
              </w:rPr>
              <w:t>存在基准2.1.3规定情形的，系数按照相关规定确定</w:t>
            </w:r>
            <w:r>
              <w:rPr>
                <w:rFonts w:hint="eastAsia" w:ascii="宋体" w:hAnsi="宋体" w:eastAsia="宋体" w:cs="宋体"/>
                <w:color w:val="auto"/>
                <w:sz w:val="15"/>
                <w:szCs w:val="15"/>
                <w:highlight w:val="none"/>
                <w:lang w:val="en-US" w:eastAsia="zh-CN"/>
              </w:rPr>
              <w:t>。</w:t>
            </w:r>
          </w:p>
        </w:tc>
        <w:tc>
          <w:tcPr>
            <w:tcW w:w="1875" w:type="dxa"/>
            <w:gridSpan w:val="2"/>
            <w:noWrap w:val="0"/>
            <w:vAlign w:val="center"/>
          </w:tcPr>
          <w:p w14:paraId="63DBE829">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eastAsia="zh-CN"/>
              </w:rPr>
              <w:t>10</w:t>
            </w:r>
            <w:r>
              <w:rPr>
                <w:rFonts w:hint="eastAsia" w:ascii="宋体" w:hAnsi="宋体" w:eastAsia="宋体" w:cs="宋体"/>
                <w:color w:val="auto"/>
                <w:sz w:val="15"/>
                <w:szCs w:val="15"/>
                <w:highlight w:val="none"/>
              </w:rPr>
              <w:t>00×（1＋</w:t>
            </w:r>
            <w:r>
              <w:rPr>
                <w:rFonts w:hint="eastAsia" w:ascii="宋体" w:hAnsi="宋体" w:eastAsia="宋体" w:cs="宋体"/>
                <w:color w:val="auto"/>
                <w:sz w:val="15"/>
                <w:szCs w:val="15"/>
                <w:highlight w:val="none"/>
                <w:lang w:eastAsia="zh-CN"/>
              </w:rPr>
              <w:t>情节系数</w:t>
            </w:r>
            <w:r>
              <w:rPr>
                <w:rFonts w:hint="eastAsia" w:ascii="宋体" w:hAnsi="宋体" w:eastAsia="宋体" w:cs="宋体"/>
                <w:color w:val="auto"/>
                <w:sz w:val="15"/>
                <w:szCs w:val="15"/>
                <w:highlight w:val="none"/>
              </w:rPr>
              <w:t>）</w:t>
            </w:r>
          </w:p>
        </w:tc>
        <w:tc>
          <w:tcPr>
            <w:tcW w:w="2020" w:type="dxa"/>
            <w:gridSpan w:val="2"/>
            <w:noWrap w:val="0"/>
            <w:vAlign w:val="center"/>
          </w:tcPr>
          <w:p w14:paraId="28C5865B">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2026年5月1日开始执行</w:t>
            </w:r>
            <w:r>
              <w:rPr>
                <w:rFonts w:hint="eastAsia" w:ascii="宋体" w:hAnsi="宋体" w:eastAsia="宋体" w:cs="宋体"/>
                <w:color w:val="auto"/>
                <w:sz w:val="15"/>
                <w:szCs w:val="15"/>
                <w:highlight w:val="none"/>
                <w:lang w:eastAsia="zh-CN"/>
              </w:rPr>
              <w:t>）</w:t>
            </w:r>
          </w:p>
        </w:tc>
        <w:tc>
          <w:tcPr>
            <w:tcW w:w="1304" w:type="dxa"/>
            <w:gridSpan w:val="2"/>
            <w:noWrap w:val="0"/>
            <w:vAlign w:val="center"/>
          </w:tcPr>
          <w:p w14:paraId="4F06439D">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strike w:val="0"/>
                <w:dstrike w:val="0"/>
                <w:color w:val="auto"/>
                <w:sz w:val="15"/>
                <w:szCs w:val="15"/>
                <w:highlight w:val="none"/>
                <w:u w:val="none"/>
                <w:lang w:eastAsia="zh-CN"/>
              </w:rPr>
              <w:t>街道</w:t>
            </w:r>
          </w:p>
          <w:p w14:paraId="005A3256">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乡镇</w:t>
            </w:r>
          </w:p>
        </w:tc>
        <w:tc>
          <w:tcPr>
            <w:tcW w:w="1869" w:type="dxa"/>
            <w:noWrap w:val="0"/>
            <w:vAlign w:val="center"/>
          </w:tcPr>
          <w:p w14:paraId="7BFC21DC">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cs="宋体"/>
                <w:color w:val="auto"/>
                <w:kern w:val="0"/>
                <w:sz w:val="15"/>
                <w:szCs w:val="15"/>
                <w:highlight w:val="none"/>
                <w:lang w:eastAsia="zh-CN"/>
              </w:rPr>
              <w:t>待新增</w:t>
            </w:r>
          </w:p>
        </w:tc>
      </w:tr>
      <w:tr w14:paraId="157BE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55" w:hRule="atLeast"/>
        </w:trPr>
        <w:tc>
          <w:tcPr>
            <w:tcW w:w="714" w:type="dxa"/>
            <w:noWrap w:val="0"/>
            <w:vAlign w:val="center"/>
          </w:tcPr>
          <w:p w14:paraId="0C8E2ED9">
            <w:pPr>
              <w:keepNext w:val="0"/>
              <w:keepLines w:val="0"/>
              <w:pageBreakBefore w:val="0"/>
              <w:kinsoku/>
              <w:overflowPunct/>
              <w:topLinePunct w:val="0"/>
              <w:autoSpaceDE/>
              <w:autoSpaceDN/>
              <w:bidi w:val="0"/>
              <w:adjustRightInd/>
              <w:snapToGrid/>
              <w:spacing w:line="240" w:lineRule="auto"/>
              <w:jc w:val="center"/>
              <w:rPr>
                <w:rFonts w:hint="default" w:ascii="宋体" w:hAnsi="宋体" w:eastAsia="宋体" w:cs="Arial"/>
                <w:b/>
                <w:color w:val="auto"/>
                <w:kern w:val="0"/>
                <w:sz w:val="15"/>
                <w:szCs w:val="15"/>
                <w:highlight w:val="none"/>
                <w:lang w:val="en-US"/>
              </w:rPr>
            </w:pPr>
            <w:r>
              <w:rPr>
                <w:rFonts w:hint="eastAsia" w:ascii="宋体" w:hAnsi="宋体" w:eastAsia="宋体"/>
                <w:strike w:val="0"/>
                <w:dstrike w:val="0"/>
                <w:color w:val="auto"/>
                <w:sz w:val="15"/>
                <w:szCs w:val="15"/>
                <w:highlight w:val="none"/>
                <w:u w:val="none"/>
                <w:lang w:val="en-US" w:eastAsia="zh-CN"/>
              </w:rPr>
              <w:t>10</w:t>
            </w:r>
          </w:p>
        </w:tc>
        <w:tc>
          <w:tcPr>
            <w:tcW w:w="1626" w:type="dxa"/>
            <w:gridSpan w:val="2"/>
            <w:noWrap w:val="0"/>
            <w:vAlign w:val="center"/>
          </w:tcPr>
          <w:p w14:paraId="661E75D6">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strike w:val="0"/>
                <w:dstrike w:val="0"/>
                <w:color w:val="auto"/>
                <w:sz w:val="15"/>
                <w:szCs w:val="15"/>
                <w:highlight w:val="none"/>
                <w:u w:val="none"/>
                <w:lang w:eastAsia="zh-CN"/>
              </w:rPr>
              <w:t>未按要求设置收费价格公示牌或未安排专人负责服务和管理</w:t>
            </w:r>
          </w:p>
        </w:tc>
        <w:tc>
          <w:tcPr>
            <w:tcW w:w="2981" w:type="dxa"/>
            <w:noWrap w:val="0"/>
            <w:vAlign w:val="center"/>
          </w:tcPr>
          <w:p w14:paraId="0B2058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trike w:val="0"/>
                <w:dstrike w:val="0"/>
                <w:color w:val="auto"/>
                <w:sz w:val="15"/>
                <w:szCs w:val="15"/>
                <w:highlight w:val="none"/>
                <w:u w:val="none"/>
              </w:rPr>
            </w:pPr>
            <w:r>
              <w:rPr>
                <w:rFonts w:hint="eastAsia" w:ascii="宋体" w:hAnsi="宋体" w:eastAsia="宋体" w:cs="宋体"/>
                <w:strike w:val="0"/>
                <w:dstrike w:val="0"/>
                <w:color w:val="auto"/>
                <w:sz w:val="15"/>
                <w:szCs w:val="15"/>
                <w:highlight w:val="none"/>
                <w:u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三十二条</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二</w:t>
            </w:r>
            <w:r>
              <w:rPr>
                <w:rFonts w:hint="eastAsia" w:ascii="宋体" w:hAnsi="宋体" w:eastAsia="宋体" w:cs="宋体"/>
                <w:strike w:val="0"/>
                <w:dstrike w:val="0"/>
                <w:color w:val="auto"/>
                <w:sz w:val="15"/>
                <w:szCs w:val="15"/>
                <w:highlight w:val="none"/>
                <w:u w:val="none"/>
              </w:rPr>
              <w:t>款；</w:t>
            </w:r>
          </w:p>
          <w:p w14:paraId="7CE949F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olor w:val="auto"/>
                <w:sz w:val="15"/>
                <w:szCs w:val="15"/>
                <w:highlight w:val="none"/>
              </w:rPr>
            </w:pPr>
            <w:r>
              <w:rPr>
                <w:rFonts w:hint="eastAsia" w:ascii="宋体" w:hAnsi="宋体" w:eastAsia="宋体" w:cs="宋体"/>
                <w:strike w:val="0"/>
                <w:dstrike w:val="0"/>
                <w:color w:val="auto"/>
                <w:sz w:val="15"/>
                <w:szCs w:val="15"/>
                <w:highlight w:val="none"/>
                <w:u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四十九</w:t>
            </w:r>
            <w:r>
              <w:rPr>
                <w:rFonts w:hint="eastAsia" w:ascii="宋体" w:hAnsi="宋体" w:eastAsia="宋体" w:cs="宋体"/>
                <w:strike w:val="0"/>
                <w:dstrike w:val="0"/>
                <w:color w:val="auto"/>
                <w:sz w:val="15"/>
                <w:szCs w:val="15"/>
                <w:highlight w:val="none"/>
                <w:u w:val="none"/>
              </w:rPr>
              <w:t>条</w:t>
            </w:r>
            <w:r>
              <w:rPr>
                <w:rFonts w:hint="eastAsia" w:ascii="宋体" w:hAnsi="宋体" w:eastAsia="宋体" w:cs="宋体"/>
                <w:strike w:val="0"/>
                <w:dstrike w:val="0"/>
                <w:color w:val="auto"/>
                <w:sz w:val="15"/>
                <w:szCs w:val="15"/>
                <w:highlight w:val="none"/>
                <w:u w:val="none"/>
                <w:lang w:val="en-US" w:eastAsia="zh-CN"/>
              </w:rPr>
              <w:t xml:space="preserve"> 非机动车停车场产权单位或者管理、使用单位违反本条例第三十二条第一款、第二款规定的，由城市管理综合行政执法部门责令改正，处一千元以上五千元以下罚款。</w:t>
            </w:r>
          </w:p>
        </w:tc>
        <w:tc>
          <w:tcPr>
            <w:tcW w:w="851" w:type="dxa"/>
            <w:noWrap w:val="0"/>
            <w:vAlign w:val="center"/>
          </w:tcPr>
          <w:p w14:paraId="6A9DC98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strike w:val="0"/>
                <w:dstrike w:val="0"/>
                <w:color w:val="auto"/>
                <w:sz w:val="15"/>
                <w:szCs w:val="15"/>
                <w:highlight w:val="none"/>
                <w:u w:val="none"/>
                <w:lang w:val="en-US" w:eastAsia="zh-CN"/>
              </w:rPr>
              <w:t>1000</w:t>
            </w:r>
          </w:p>
        </w:tc>
        <w:tc>
          <w:tcPr>
            <w:tcW w:w="840" w:type="dxa"/>
            <w:noWrap w:val="0"/>
            <w:vAlign w:val="center"/>
          </w:tcPr>
          <w:p w14:paraId="756094B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bCs/>
                <w:strike w:val="0"/>
                <w:dstrike w:val="0"/>
                <w:color w:val="auto"/>
                <w:kern w:val="0"/>
                <w:sz w:val="15"/>
                <w:szCs w:val="15"/>
                <w:highlight w:val="none"/>
                <w:u w:val="none"/>
                <w:lang w:val="en-US" w:eastAsia="zh-CN"/>
              </w:rPr>
              <w:t>1</w:t>
            </w:r>
          </w:p>
        </w:tc>
        <w:tc>
          <w:tcPr>
            <w:tcW w:w="2376" w:type="dxa"/>
            <w:noWrap w:val="0"/>
            <w:vAlign w:val="center"/>
          </w:tcPr>
          <w:p w14:paraId="5B2CBCF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strike w:val="0"/>
                <w:dstrike w:val="0"/>
                <w:color w:val="auto"/>
                <w:sz w:val="15"/>
                <w:szCs w:val="15"/>
                <w:highlight w:val="none"/>
                <w:u w:val="none"/>
                <w:lang w:val="en-US" w:eastAsia="zh-CN"/>
              </w:rPr>
            </w:pPr>
            <w:r>
              <w:rPr>
                <w:rFonts w:hint="default" w:ascii="宋体" w:hAnsi="宋体" w:eastAsia="宋体" w:cs="宋体"/>
                <w:strike w:val="0"/>
                <w:dstrike w:val="0"/>
                <w:color w:val="auto"/>
                <w:sz w:val="15"/>
                <w:szCs w:val="15"/>
                <w:highlight w:val="none"/>
                <w:u w:val="none"/>
                <w:lang w:val="en-US" w:eastAsia="zh-CN"/>
              </w:rPr>
              <w:t>存在基准2.1.3规定情形的，系数按照相关规定确定</w:t>
            </w:r>
            <w:r>
              <w:rPr>
                <w:rFonts w:hint="eastAsia" w:ascii="宋体" w:hAnsi="宋体" w:eastAsia="宋体" w:cs="宋体"/>
                <w:strike w:val="0"/>
                <w:dstrike w:val="0"/>
                <w:color w:val="auto"/>
                <w:sz w:val="15"/>
                <w:szCs w:val="15"/>
                <w:highlight w:val="none"/>
                <w:u w:val="none"/>
                <w:lang w:val="en-US" w:eastAsia="zh-CN"/>
              </w:rPr>
              <w:t>。</w:t>
            </w:r>
          </w:p>
          <w:p w14:paraId="61BD2064">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rPr>
            </w:pPr>
          </w:p>
        </w:tc>
        <w:tc>
          <w:tcPr>
            <w:tcW w:w="1875" w:type="dxa"/>
            <w:gridSpan w:val="2"/>
            <w:noWrap w:val="0"/>
            <w:vAlign w:val="center"/>
          </w:tcPr>
          <w:p w14:paraId="510D18F3">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strike w:val="0"/>
                <w:dstrike w:val="0"/>
                <w:color w:val="auto"/>
                <w:sz w:val="15"/>
                <w:szCs w:val="15"/>
                <w:highlight w:val="none"/>
                <w:u w:val="none"/>
              </w:rPr>
              <w:t>罚款数额＝</w:t>
            </w:r>
            <w:r>
              <w:rPr>
                <w:rFonts w:hint="eastAsia" w:ascii="宋体" w:hAnsi="宋体" w:eastAsia="宋体" w:cs="宋体"/>
                <w:strike w:val="0"/>
                <w:dstrike w:val="0"/>
                <w:color w:val="auto"/>
                <w:sz w:val="15"/>
                <w:szCs w:val="15"/>
                <w:highlight w:val="none"/>
                <w:u w:val="none"/>
                <w:lang w:val="en-US" w:eastAsia="zh-CN"/>
              </w:rPr>
              <w:t>10</w:t>
            </w:r>
            <w:r>
              <w:rPr>
                <w:rFonts w:hint="eastAsia" w:ascii="宋体" w:hAnsi="宋体" w:eastAsia="宋体" w:cs="宋体"/>
                <w:strike w:val="0"/>
                <w:dstrike w:val="0"/>
                <w:color w:val="auto"/>
                <w:sz w:val="15"/>
                <w:szCs w:val="15"/>
                <w:highlight w:val="none"/>
                <w:u w:val="none"/>
              </w:rPr>
              <w:t>00×（1＋</w:t>
            </w:r>
            <w:r>
              <w:rPr>
                <w:rFonts w:hint="eastAsia" w:ascii="宋体" w:hAnsi="宋体" w:eastAsia="宋体" w:cs="宋体"/>
                <w:strike w:val="0"/>
                <w:dstrike w:val="0"/>
                <w:color w:val="auto"/>
                <w:sz w:val="15"/>
                <w:szCs w:val="15"/>
                <w:highlight w:val="none"/>
                <w:u w:val="none"/>
                <w:lang w:eastAsia="zh-CN"/>
              </w:rPr>
              <w:t>情节系数</w:t>
            </w:r>
            <w:r>
              <w:rPr>
                <w:rFonts w:hint="eastAsia" w:ascii="宋体" w:hAnsi="宋体" w:eastAsia="宋体" w:cs="宋体"/>
                <w:strike w:val="0"/>
                <w:dstrike w:val="0"/>
                <w:color w:val="auto"/>
                <w:sz w:val="15"/>
                <w:szCs w:val="15"/>
                <w:highlight w:val="none"/>
                <w:u w:val="none"/>
              </w:rPr>
              <w:t>）</w:t>
            </w:r>
          </w:p>
        </w:tc>
        <w:tc>
          <w:tcPr>
            <w:tcW w:w="2020" w:type="dxa"/>
            <w:gridSpan w:val="2"/>
            <w:noWrap w:val="0"/>
            <w:vAlign w:val="center"/>
          </w:tcPr>
          <w:p w14:paraId="6C5E1594">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strike w:val="0"/>
                <w:dstrike w:val="0"/>
                <w:color w:val="auto"/>
                <w:sz w:val="15"/>
                <w:szCs w:val="15"/>
                <w:highlight w:val="none"/>
                <w:u w:val="none"/>
                <w:lang w:eastAsia="zh-CN"/>
              </w:rPr>
              <w:t>（</w:t>
            </w:r>
            <w:r>
              <w:rPr>
                <w:rFonts w:hint="eastAsia" w:ascii="宋体" w:hAnsi="宋体" w:eastAsia="宋体" w:cs="宋体"/>
                <w:strike w:val="0"/>
                <w:dstrike w:val="0"/>
                <w:color w:val="auto"/>
                <w:sz w:val="15"/>
                <w:szCs w:val="15"/>
                <w:highlight w:val="none"/>
                <w:u w:val="none"/>
                <w:lang w:val="en-US" w:eastAsia="zh-CN"/>
              </w:rPr>
              <w:t>2026年5月1日开始执行</w:t>
            </w:r>
            <w:r>
              <w:rPr>
                <w:rFonts w:hint="eastAsia" w:ascii="宋体" w:hAnsi="宋体" w:eastAsia="宋体" w:cs="宋体"/>
                <w:strike w:val="0"/>
                <w:dstrike w:val="0"/>
                <w:color w:val="auto"/>
                <w:sz w:val="15"/>
                <w:szCs w:val="15"/>
                <w:highlight w:val="none"/>
                <w:u w:val="none"/>
                <w:lang w:eastAsia="zh-CN"/>
              </w:rPr>
              <w:t>）</w:t>
            </w:r>
          </w:p>
        </w:tc>
        <w:tc>
          <w:tcPr>
            <w:tcW w:w="1304" w:type="dxa"/>
            <w:gridSpan w:val="2"/>
            <w:noWrap w:val="0"/>
            <w:vAlign w:val="center"/>
          </w:tcPr>
          <w:p w14:paraId="6474DCF5">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strike w:val="0"/>
                <w:dstrike w:val="0"/>
                <w:color w:val="auto"/>
                <w:sz w:val="15"/>
                <w:szCs w:val="15"/>
                <w:highlight w:val="none"/>
                <w:u w:val="none"/>
                <w:lang w:eastAsia="zh-CN"/>
              </w:rPr>
              <w:t>街道</w:t>
            </w:r>
          </w:p>
          <w:p w14:paraId="498426F4">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乡镇</w:t>
            </w:r>
          </w:p>
        </w:tc>
        <w:tc>
          <w:tcPr>
            <w:tcW w:w="1869" w:type="dxa"/>
            <w:noWrap w:val="0"/>
            <w:vAlign w:val="center"/>
          </w:tcPr>
          <w:p w14:paraId="5CB92921">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cs="宋体"/>
                <w:color w:val="auto"/>
                <w:kern w:val="0"/>
                <w:sz w:val="15"/>
                <w:szCs w:val="15"/>
                <w:highlight w:val="none"/>
                <w:lang w:eastAsia="zh-CN"/>
              </w:rPr>
              <w:t>待新增</w:t>
            </w:r>
          </w:p>
        </w:tc>
      </w:tr>
      <w:tr w14:paraId="7788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73" w:hRule="atLeast"/>
        </w:trPr>
        <w:tc>
          <w:tcPr>
            <w:tcW w:w="14587" w:type="dxa"/>
            <w:gridSpan w:val="13"/>
            <w:noWrap w:val="0"/>
            <w:vAlign w:val="center"/>
          </w:tcPr>
          <w:p w14:paraId="06A0DDC8">
            <w:pPr>
              <w:pStyle w:val="2"/>
              <w:keepNext w:val="0"/>
              <w:keepLines w:val="0"/>
              <w:rPr>
                <w:rFonts w:ascii="黑体" w:hAnsi="黑体" w:eastAsia="黑体"/>
                <w:b w:val="0"/>
                <w:color w:val="auto"/>
                <w:sz w:val="24"/>
                <w:szCs w:val="24"/>
                <w:highlight w:val="none"/>
              </w:rPr>
            </w:pPr>
            <w:bookmarkStart w:id="139" w:name="_Toc272872790"/>
            <w:r>
              <w:rPr>
                <w:rFonts w:hint="eastAsia" w:ascii="黑体" w:hAnsi="黑体" w:eastAsia="黑体"/>
                <w:b w:val="0"/>
                <w:color w:val="auto"/>
                <w:sz w:val="28"/>
                <w:szCs w:val="28"/>
                <w:highlight w:val="none"/>
              </w:rPr>
              <w:t>交通运输管理方面</w:t>
            </w:r>
            <w:bookmarkEnd w:id="137"/>
            <w:bookmarkEnd w:id="138"/>
            <w:bookmarkEnd w:id="139"/>
          </w:p>
        </w:tc>
        <w:tc>
          <w:tcPr>
            <w:tcW w:w="1869" w:type="dxa"/>
            <w:noWrap w:val="0"/>
            <w:vAlign w:val="center"/>
          </w:tcPr>
          <w:p w14:paraId="5C8129DC">
            <w:pPr>
              <w:pStyle w:val="2"/>
              <w:keepNext w:val="0"/>
              <w:keepLines w:val="0"/>
              <w:rPr>
                <w:rFonts w:hint="eastAsia" w:ascii="黑体" w:hAnsi="黑体" w:eastAsia="黑体"/>
                <w:b w:val="0"/>
                <w:color w:val="auto"/>
                <w:sz w:val="28"/>
                <w:szCs w:val="28"/>
                <w:highlight w:val="none"/>
              </w:rPr>
            </w:pPr>
          </w:p>
        </w:tc>
      </w:tr>
      <w:tr w14:paraId="6286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67" w:hRule="atLeast"/>
        </w:trPr>
        <w:tc>
          <w:tcPr>
            <w:tcW w:w="14587" w:type="dxa"/>
            <w:gridSpan w:val="13"/>
            <w:noWrap w:val="0"/>
            <w:vAlign w:val="center"/>
          </w:tcPr>
          <w:p w14:paraId="30F59606">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trike w:val="0"/>
                <w:color w:val="auto"/>
                <w:sz w:val="15"/>
                <w:szCs w:val="15"/>
                <w:highlight w:val="none"/>
              </w:rPr>
            </w:pPr>
            <w:bookmarkStart w:id="140" w:name="_Toc1833599949"/>
            <w:bookmarkStart w:id="141" w:name="_Toc1003354917"/>
            <w:bookmarkStart w:id="142" w:name="_Toc110851481"/>
            <w:r>
              <w:rPr>
                <w:rFonts w:hint="eastAsia" w:ascii="宋体" w:hAnsi="宋体" w:eastAsia="宋体"/>
                <w:b/>
                <w:bCs/>
                <w:strike w:val="0"/>
                <w:dstrike w:val="0"/>
                <w:color w:val="auto"/>
                <w:sz w:val="21"/>
                <w:szCs w:val="21"/>
                <w:highlight w:val="none"/>
              </w:rPr>
              <w:t>《巡游出租汽车经营服务管理规定》案由1项</w:t>
            </w:r>
            <w:bookmarkEnd w:id="140"/>
            <w:bookmarkEnd w:id="141"/>
            <w:bookmarkEnd w:id="142"/>
          </w:p>
        </w:tc>
        <w:tc>
          <w:tcPr>
            <w:tcW w:w="1869" w:type="dxa"/>
            <w:noWrap w:val="0"/>
            <w:vAlign w:val="center"/>
          </w:tcPr>
          <w:p w14:paraId="6D675250">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b/>
                <w:bCs/>
                <w:strike w:val="0"/>
                <w:dstrike w:val="0"/>
                <w:color w:val="auto"/>
                <w:sz w:val="21"/>
                <w:szCs w:val="21"/>
                <w:highlight w:val="none"/>
              </w:rPr>
            </w:pPr>
          </w:p>
        </w:tc>
      </w:tr>
      <w:tr w14:paraId="3F9CC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943" w:hRule="atLeast"/>
        </w:trPr>
        <w:tc>
          <w:tcPr>
            <w:tcW w:w="714" w:type="dxa"/>
            <w:noWrap w:val="0"/>
            <w:vAlign w:val="center"/>
          </w:tcPr>
          <w:p w14:paraId="043E0B42">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1626" w:type="dxa"/>
            <w:gridSpan w:val="2"/>
            <w:noWrap w:val="0"/>
            <w:vAlign w:val="center"/>
          </w:tcPr>
          <w:p w14:paraId="22F20B21">
            <w:pPr>
              <w:spacing w:line="204"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无证经营出租汽车</w:t>
            </w:r>
          </w:p>
        </w:tc>
        <w:tc>
          <w:tcPr>
            <w:tcW w:w="2981" w:type="dxa"/>
            <w:noWrap w:val="0"/>
            <w:vAlign w:val="center"/>
          </w:tcPr>
          <w:p w14:paraId="44561554">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违反条款：第八条；</w:t>
            </w:r>
          </w:p>
          <w:p w14:paraId="70B00FA4">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noWrap w:val="0"/>
            <w:vAlign w:val="center"/>
          </w:tcPr>
          <w:p w14:paraId="1A221140">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5000</w:t>
            </w:r>
          </w:p>
        </w:tc>
        <w:tc>
          <w:tcPr>
            <w:tcW w:w="840" w:type="dxa"/>
            <w:noWrap w:val="0"/>
            <w:vAlign w:val="center"/>
          </w:tcPr>
          <w:p w14:paraId="08F16B3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2376" w:type="dxa"/>
            <w:noWrap w:val="0"/>
            <w:vAlign w:val="center"/>
          </w:tcPr>
          <w:p w14:paraId="3DDC42E8">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strike w:val="0"/>
                <w:dstrike w:val="0"/>
                <w:color w:val="auto"/>
                <w:sz w:val="15"/>
                <w:szCs w:val="15"/>
                <w:highlight w:val="none"/>
              </w:rPr>
              <w:t>造成秩序混乱或者较大社会影响的，系数1-3</w:t>
            </w:r>
            <w:r>
              <w:rPr>
                <w:rFonts w:hint="eastAsia" w:ascii="宋体" w:hAnsi="宋体" w:eastAsia="宋体"/>
                <w:strike w:val="0"/>
                <w:dstrike w:val="0"/>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561CAA1C">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宋体" w:hAnsi="宋体" w:eastAsia="宋体"/>
                <w:strike w:val="0"/>
                <w:dstrike w:val="0"/>
                <w:color w:val="auto"/>
                <w:sz w:val="15"/>
                <w:szCs w:val="15"/>
                <w:highlight w:val="none"/>
              </w:rPr>
            </w:pPr>
            <w:r>
              <w:rPr>
                <w:rFonts w:hint="eastAsia" w:ascii="宋体" w:hAnsi="宋体" w:eastAsia="宋体" w:cs="宋体"/>
                <w:strike w:val="0"/>
                <w:dstrike w:val="0"/>
                <w:color w:val="auto"/>
                <w:sz w:val="15"/>
                <w:szCs w:val="15"/>
                <w:highlight w:val="none"/>
              </w:rPr>
              <w:t>罚款数额＝5000×</w:t>
            </w:r>
            <w:r>
              <w:rPr>
                <w:rFonts w:hint="eastAsia" w:ascii="宋体" w:hAnsi="宋体" w:eastAsia="宋体" w:cs="宋体"/>
                <w:bCs/>
                <w:strike w:val="0"/>
                <w:dstrike w:val="0"/>
                <w:color w:val="auto"/>
                <w:sz w:val="15"/>
                <w:szCs w:val="15"/>
                <w:highlight w:val="none"/>
              </w:rPr>
              <w:t>（1＋</w:t>
            </w:r>
            <w:r>
              <w:rPr>
                <w:rFonts w:hint="eastAsia" w:ascii="宋体" w:hAnsi="宋体" w:eastAsia="宋体" w:cs="宋体"/>
                <w:bCs/>
                <w:strike w:val="0"/>
                <w:dstrike w:val="0"/>
                <w:color w:val="auto"/>
                <w:sz w:val="15"/>
                <w:szCs w:val="15"/>
                <w:highlight w:val="none"/>
                <w:lang w:eastAsia="zh-CN"/>
              </w:rPr>
              <w:t>情节系数</w:t>
            </w:r>
            <w:r>
              <w:rPr>
                <w:rFonts w:hint="eastAsia" w:ascii="宋体" w:hAnsi="宋体" w:eastAsia="宋体" w:cs="宋体"/>
                <w:bCs/>
                <w:strike w:val="0"/>
                <w:dstrike w:val="0"/>
                <w:color w:val="auto"/>
                <w:sz w:val="15"/>
                <w:szCs w:val="15"/>
                <w:highlight w:val="none"/>
              </w:rPr>
              <w:t>）</w:t>
            </w:r>
          </w:p>
        </w:tc>
        <w:tc>
          <w:tcPr>
            <w:tcW w:w="2020" w:type="dxa"/>
            <w:gridSpan w:val="2"/>
            <w:noWrap w:val="0"/>
            <w:vAlign w:val="center"/>
          </w:tcPr>
          <w:p w14:paraId="44AFE410">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sz w:val="15"/>
                <w:szCs w:val="15"/>
                <w:highlight w:val="none"/>
              </w:rPr>
            </w:pPr>
            <w:r>
              <w:rPr>
                <w:rFonts w:hint="eastAsia" w:ascii="宋体" w:hAnsi="宋体" w:eastAsia="宋体"/>
                <w:strike w:val="0"/>
                <w:dstrike w:val="0"/>
                <w:color w:val="auto"/>
                <w:sz w:val="15"/>
                <w:szCs w:val="15"/>
                <w:highlight w:val="none"/>
              </w:rPr>
              <w:t>重点站区适用本案由，参照交通执法相关裁量基准。</w:t>
            </w:r>
          </w:p>
        </w:tc>
        <w:tc>
          <w:tcPr>
            <w:tcW w:w="1304" w:type="dxa"/>
            <w:gridSpan w:val="2"/>
            <w:noWrap w:val="0"/>
            <w:vAlign w:val="center"/>
          </w:tcPr>
          <w:p w14:paraId="68F0EA45">
            <w:pPr>
              <w:spacing w:line="204"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街道</w:t>
            </w:r>
          </w:p>
          <w:p w14:paraId="6CA29FFA">
            <w:pPr>
              <w:spacing w:line="204"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乡镇</w:t>
            </w:r>
          </w:p>
        </w:tc>
        <w:tc>
          <w:tcPr>
            <w:tcW w:w="1869" w:type="dxa"/>
            <w:noWrap w:val="0"/>
            <w:vAlign w:val="center"/>
          </w:tcPr>
          <w:p w14:paraId="3A2B4BAB">
            <w:pPr>
              <w:spacing w:line="204" w:lineRule="exact"/>
              <w:jc w:val="center"/>
              <w:rPr>
                <w:rFonts w:hint="eastAsia" w:ascii="宋体" w:hAnsi="宋体" w:eastAsia="宋体"/>
                <w:strike w:val="0"/>
                <w:dstrike w:val="0"/>
                <w:color w:val="auto"/>
                <w:sz w:val="15"/>
                <w:szCs w:val="15"/>
                <w:highlight w:val="none"/>
                <w:lang w:eastAsia="zh"/>
              </w:rPr>
            </w:pPr>
            <w:r>
              <w:rPr>
                <w:rFonts w:hint="eastAsia" w:ascii="宋体" w:hAnsi="宋体"/>
                <w:strike w:val="0"/>
                <w:dstrike w:val="0"/>
                <w:color w:val="auto"/>
                <w:sz w:val="15"/>
                <w:szCs w:val="15"/>
                <w:highlight w:val="none"/>
                <w:lang w:eastAsia="zh"/>
              </w:rPr>
              <w:t>C4635000</w:t>
            </w:r>
          </w:p>
        </w:tc>
      </w:tr>
      <w:tr w14:paraId="4742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23" w:hRule="atLeast"/>
        </w:trPr>
        <w:tc>
          <w:tcPr>
            <w:tcW w:w="14587" w:type="dxa"/>
            <w:gridSpan w:val="13"/>
            <w:noWrap w:val="0"/>
            <w:vAlign w:val="center"/>
          </w:tcPr>
          <w:p w14:paraId="6F9629C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43" w:name="_Toc110851482"/>
            <w:bookmarkStart w:id="144" w:name="_Toc121789162"/>
            <w:bookmarkStart w:id="145" w:name="_Toc1464911332"/>
            <w:r>
              <w:rPr>
                <w:rFonts w:hint="eastAsia" w:ascii="宋体" w:hAnsi="宋体" w:eastAsia="宋体"/>
                <w:color w:val="auto"/>
                <w:sz w:val="21"/>
                <w:szCs w:val="21"/>
                <w:highlight w:val="none"/>
              </w:rPr>
              <w:t>《北京市查处非法客运若干规定》案由2项</w:t>
            </w:r>
            <w:bookmarkEnd w:id="143"/>
            <w:bookmarkEnd w:id="144"/>
            <w:bookmarkEnd w:id="145"/>
          </w:p>
        </w:tc>
        <w:tc>
          <w:tcPr>
            <w:tcW w:w="1869" w:type="dxa"/>
            <w:noWrap w:val="0"/>
            <w:vAlign w:val="center"/>
          </w:tcPr>
          <w:p w14:paraId="4E9537C7">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14:paraId="2BF2C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92" w:hRule="atLeast"/>
        </w:trPr>
        <w:tc>
          <w:tcPr>
            <w:tcW w:w="714" w:type="dxa"/>
            <w:vMerge w:val="restart"/>
            <w:noWrap w:val="0"/>
            <w:vAlign w:val="center"/>
          </w:tcPr>
          <w:p w14:paraId="58BF7B3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626" w:type="dxa"/>
            <w:gridSpan w:val="2"/>
            <w:vMerge w:val="restart"/>
            <w:noWrap w:val="0"/>
            <w:vAlign w:val="center"/>
          </w:tcPr>
          <w:p w14:paraId="19586A6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未经许可擅自（或组织）从事巡游出租汽车客运经营</w:t>
            </w:r>
          </w:p>
        </w:tc>
        <w:tc>
          <w:tcPr>
            <w:tcW w:w="2981" w:type="dxa"/>
            <w:vMerge w:val="restart"/>
            <w:noWrap w:val="0"/>
            <w:vAlign w:val="center"/>
          </w:tcPr>
          <w:p w14:paraId="797CEFC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违反条款：第四条；</w:t>
            </w:r>
          </w:p>
          <w:p w14:paraId="5389CEC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noWrap w:val="0"/>
            <w:vAlign w:val="center"/>
          </w:tcPr>
          <w:p w14:paraId="65FD5569">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没有违法所得或者违法所得不足2万元的，基数为10000</w:t>
            </w:r>
          </w:p>
        </w:tc>
        <w:tc>
          <w:tcPr>
            <w:tcW w:w="840" w:type="dxa"/>
            <w:noWrap w:val="0"/>
            <w:vAlign w:val="center"/>
          </w:tcPr>
          <w:p w14:paraId="6E1CE52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2037456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造成秩序混乱或者较大社会影响的，系数2-4；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对组织行为，</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2-4</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711E12A3">
            <w:pPr>
              <w:spacing w:line="232" w:lineRule="exact"/>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s="宋体"/>
                <w:bCs/>
                <w:color w:val="auto"/>
                <w:kern w:val="0"/>
                <w:sz w:val="15"/>
                <w:szCs w:val="15"/>
                <w:highlight w:val="none"/>
              </w:rPr>
              <w:t>10000×（1＋</w:t>
            </w:r>
            <w:r>
              <w:rPr>
                <w:rFonts w:hint="eastAsia" w:ascii="宋体" w:hAnsi="宋体" w:eastAsia="宋体" w:cs="宋体"/>
                <w:bCs/>
                <w:color w:val="auto"/>
                <w:kern w:val="0"/>
                <w:sz w:val="15"/>
                <w:szCs w:val="15"/>
                <w:highlight w:val="none"/>
                <w:lang w:eastAsia="zh-CN"/>
              </w:rPr>
              <w:t>情节系数</w:t>
            </w:r>
            <w:r>
              <w:rPr>
                <w:rFonts w:hint="eastAsia" w:ascii="宋体" w:hAnsi="宋体" w:eastAsia="宋体" w:cs="宋体"/>
                <w:bCs/>
                <w:color w:val="auto"/>
                <w:kern w:val="0"/>
                <w:sz w:val="15"/>
                <w:szCs w:val="15"/>
                <w:highlight w:val="none"/>
              </w:rPr>
              <w:t>）</w:t>
            </w:r>
          </w:p>
        </w:tc>
        <w:tc>
          <w:tcPr>
            <w:tcW w:w="2020" w:type="dxa"/>
            <w:gridSpan w:val="2"/>
            <w:vMerge w:val="restart"/>
            <w:noWrap w:val="0"/>
            <w:vAlign w:val="center"/>
          </w:tcPr>
          <w:p w14:paraId="4BB798B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p w14:paraId="5237FC7D">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重点站区适用本案由，参照交通执法相关裁量基准。</w:t>
            </w:r>
          </w:p>
        </w:tc>
        <w:tc>
          <w:tcPr>
            <w:tcW w:w="1304" w:type="dxa"/>
            <w:gridSpan w:val="2"/>
            <w:vMerge w:val="restart"/>
            <w:noWrap w:val="0"/>
            <w:vAlign w:val="center"/>
          </w:tcPr>
          <w:p w14:paraId="1079680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32137B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19D77C59">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C4644700</w:t>
            </w:r>
          </w:p>
        </w:tc>
      </w:tr>
      <w:tr w14:paraId="33D0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22" w:hRule="atLeast"/>
        </w:trPr>
        <w:tc>
          <w:tcPr>
            <w:tcW w:w="714" w:type="dxa"/>
            <w:vMerge w:val="continue"/>
            <w:noWrap w:val="0"/>
            <w:vAlign w:val="center"/>
          </w:tcPr>
          <w:p w14:paraId="21F44DFE">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5D66DB2A">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14:paraId="058561BB">
            <w:pPr>
              <w:spacing w:line="232" w:lineRule="exact"/>
              <w:rPr>
                <w:rFonts w:ascii="宋体" w:hAnsi="宋体" w:eastAsia="宋体" w:cs="宋体"/>
                <w:color w:val="auto"/>
                <w:kern w:val="0"/>
                <w:sz w:val="15"/>
                <w:szCs w:val="15"/>
                <w:highlight w:val="none"/>
              </w:rPr>
            </w:pPr>
          </w:p>
        </w:tc>
        <w:tc>
          <w:tcPr>
            <w:tcW w:w="851" w:type="dxa"/>
            <w:noWrap w:val="0"/>
            <w:vAlign w:val="center"/>
          </w:tcPr>
          <w:p w14:paraId="403BD3B0">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违法所得2万元以上的，基数为违法所得。</w:t>
            </w:r>
          </w:p>
        </w:tc>
        <w:tc>
          <w:tcPr>
            <w:tcW w:w="840" w:type="dxa"/>
            <w:noWrap w:val="0"/>
            <w:vAlign w:val="center"/>
          </w:tcPr>
          <w:p w14:paraId="29FF3C8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06F019C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造成秩序混乱或者较大社会影响的，系数2-4；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对组织行为，</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2-4</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77050AC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s="宋体"/>
                <w:bCs/>
                <w:color w:val="auto"/>
                <w:kern w:val="0"/>
                <w:sz w:val="15"/>
                <w:szCs w:val="15"/>
                <w:highlight w:val="none"/>
              </w:rPr>
              <w:t>违法所得×2×（1＋</w:t>
            </w:r>
            <w:r>
              <w:rPr>
                <w:rFonts w:hint="eastAsia" w:ascii="宋体" w:hAnsi="宋体" w:eastAsia="宋体" w:cs="宋体"/>
                <w:bCs/>
                <w:color w:val="auto"/>
                <w:kern w:val="0"/>
                <w:sz w:val="15"/>
                <w:szCs w:val="15"/>
                <w:highlight w:val="none"/>
                <w:lang w:eastAsia="zh-CN"/>
              </w:rPr>
              <w:t>情节系数</w:t>
            </w:r>
            <w:r>
              <w:rPr>
                <w:rFonts w:hint="eastAsia" w:ascii="宋体" w:hAnsi="宋体" w:eastAsia="宋体" w:cs="宋体"/>
                <w:bCs/>
                <w:color w:val="auto"/>
                <w:kern w:val="0"/>
                <w:sz w:val="15"/>
                <w:szCs w:val="15"/>
                <w:highlight w:val="none"/>
              </w:rPr>
              <w:t>）</w:t>
            </w:r>
          </w:p>
        </w:tc>
        <w:tc>
          <w:tcPr>
            <w:tcW w:w="2020" w:type="dxa"/>
            <w:gridSpan w:val="2"/>
            <w:vMerge w:val="continue"/>
            <w:noWrap w:val="0"/>
            <w:vAlign w:val="center"/>
          </w:tcPr>
          <w:p w14:paraId="688EA6C8">
            <w:pPr>
              <w:spacing w:line="232"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14:paraId="42810B55">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5F80C4A5">
            <w:pPr>
              <w:spacing w:line="232" w:lineRule="exact"/>
              <w:jc w:val="center"/>
              <w:rPr>
                <w:rFonts w:hint="eastAsia" w:ascii="宋体" w:hAnsi="宋体" w:eastAsia="宋体" w:cs="宋体"/>
                <w:color w:val="auto"/>
                <w:kern w:val="0"/>
                <w:sz w:val="15"/>
                <w:szCs w:val="15"/>
                <w:highlight w:val="none"/>
                <w:lang w:eastAsia="zh"/>
              </w:rPr>
            </w:pPr>
          </w:p>
        </w:tc>
      </w:tr>
      <w:tr w14:paraId="59467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69" w:hRule="atLeast"/>
        </w:trPr>
        <w:tc>
          <w:tcPr>
            <w:tcW w:w="714" w:type="dxa"/>
            <w:noWrap w:val="0"/>
            <w:vAlign w:val="center"/>
          </w:tcPr>
          <w:p w14:paraId="4597D4B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626" w:type="dxa"/>
            <w:gridSpan w:val="2"/>
            <w:noWrap w:val="0"/>
            <w:vAlign w:val="center"/>
          </w:tcPr>
          <w:p w14:paraId="28D3739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利用摩托车、三轮车、残疾人机动轮椅车等车辆从事客运经营</w:t>
            </w:r>
          </w:p>
        </w:tc>
        <w:tc>
          <w:tcPr>
            <w:tcW w:w="2981" w:type="dxa"/>
            <w:noWrap w:val="0"/>
            <w:vAlign w:val="center"/>
          </w:tcPr>
          <w:p w14:paraId="64C4FC1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违反条款：第八条第一款。 </w:t>
            </w:r>
          </w:p>
          <w:p w14:paraId="1A9DE5B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处罚条款：第八条第二款，没收车辆，没收违法所得，并可处500元以上2000元以下罚款。</w:t>
            </w:r>
          </w:p>
          <w:p w14:paraId="5092E5D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w:t>
            </w:r>
          </w:p>
        </w:tc>
        <w:tc>
          <w:tcPr>
            <w:tcW w:w="851" w:type="dxa"/>
            <w:noWrap w:val="0"/>
            <w:vAlign w:val="center"/>
          </w:tcPr>
          <w:p w14:paraId="1D4F46E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14:paraId="24845E6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76C1FA66">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造成秩序混乱或者较大社会影响的，系数1-3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6F88593B">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w:t>
            </w:r>
            <w:r>
              <w:rPr>
                <w:rFonts w:hint="eastAsia" w:ascii="宋体" w:hAnsi="宋体" w:eastAsia="宋体" w:cs="宋体"/>
                <w:bCs/>
                <w:color w:val="auto"/>
                <w:sz w:val="15"/>
                <w:szCs w:val="15"/>
                <w:highlight w:val="none"/>
              </w:rPr>
              <w:t>（1</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情节系数</w:t>
            </w:r>
            <w:r>
              <w:rPr>
                <w:rFonts w:hint="eastAsia" w:ascii="宋体" w:hAnsi="宋体" w:eastAsia="宋体" w:cs="宋体"/>
                <w:bCs/>
                <w:color w:val="auto"/>
                <w:sz w:val="15"/>
                <w:szCs w:val="15"/>
                <w:highlight w:val="none"/>
              </w:rPr>
              <w:t>）</w:t>
            </w:r>
          </w:p>
        </w:tc>
        <w:tc>
          <w:tcPr>
            <w:tcW w:w="2020" w:type="dxa"/>
            <w:gridSpan w:val="2"/>
            <w:noWrap w:val="0"/>
            <w:vAlign w:val="center"/>
          </w:tcPr>
          <w:p w14:paraId="7E61816E">
            <w:pPr>
              <w:spacing w:line="232" w:lineRule="exact"/>
              <w:jc w:val="left"/>
              <w:rPr>
                <w:rFonts w:ascii="宋体" w:hAnsi="宋体" w:eastAsia="宋体"/>
                <w:color w:val="auto"/>
                <w:sz w:val="15"/>
                <w:szCs w:val="15"/>
                <w:highlight w:val="none"/>
              </w:rPr>
            </w:pPr>
          </w:p>
          <w:p w14:paraId="469F1E85">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1304" w:type="dxa"/>
            <w:gridSpan w:val="2"/>
            <w:noWrap w:val="0"/>
            <w:vAlign w:val="center"/>
          </w:tcPr>
          <w:p w14:paraId="5BBE601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CD4F87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496AF65">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C4644600</w:t>
            </w:r>
          </w:p>
        </w:tc>
      </w:tr>
      <w:tr w14:paraId="43310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74" w:hRule="atLeast"/>
        </w:trPr>
        <w:tc>
          <w:tcPr>
            <w:tcW w:w="14587" w:type="dxa"/>
            <w:gridSpan w:val="13"/>
            <w:noWrap w:val="0"/>
            <w:vAlign w:val="center"/>
          </w:tcPr>
          <w:p w14:paraId="61D47B1A">
            <w:pPr>
              <w:pStyle w:val="2"/>
              <w:keepNext w:val="0"/>
              <w:keepLines w:val="0"/>
              <w:rPr>
                <w:rFonts w:ascii="黑体" w:hAnsi="黑体" w:eastAsia="黑体"/>
                <w:b w:val="0"/>
                <w:color w:val="auto"/>
                <w:sz w:val="24"/>
                <w:szCs w:val="24"/>
                <w:highlight w:val="none"/>
              </w:rPr>
            </w:pPr>
            <w:bookmarkStart w:id="146" w:name="_Toc360901343"/>
            <w:bookmarkStart w:id="147" w:name="_Toc110851483"/>
            <w:bookmarkStart w:id="148" w:name="_Toc2143954148"/>
            <w:r>
              <w:rPr>
                <w:rFonts w:hint="eastAsia" w:ascii="黑体" w:hAnsi="黑体" w:eastAsia="黑体"/>
                <w:b w:val="0"/>
                <w:color w:val="auto"/>
                <w:sz w:val="28"/>
                <w:szCs w:val="28"/>
                <w:highlight w:val="none"/>
              </w:rPr>
              <w:t>市场监督管理（流动无照经营）方面</w:t>
            </w:r>
            <w:bookmarkEnd w:id="146"/>
            <w:bookmarkEnd w:id="147"/>
            <w:bookmarkEnd w:id="148"/>
          </w:p>
        </w:tc>
        <w:tc>
          <w:tcPr>
            <w:tcW w:w="1869" w:type="dxa"/>
            <w:noWrap w:val="0"/>
            <w:vAlign w:val="center"/>
          </w:tcPr>
          <w:p w14:paraId="13431D51">
            <w:pPr>
              <w:pStyle w:val="2"/>
              <w:keepNext w:val="0"/>
              <w:keepLines w:val="0"/>
              <w:rPr>
                <w:rFonts w:hint="eastAsia" w:ascii="黑体" w:hAnsi="黑体" w:eastAsia="黑体"/>
                <w:b w:val="0"/>
                <w:color w:val="auto"/>
                <w:sz w:val="28"/>
                <w:szCs w:val="28"/>
                <w:highlight w:val="none"/>
              </w:rPr>
            </w:pPr>
          </w:p>
        </w:tc>
      </w:tr>
      <w:tr w14:paraId="7C75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76" w:hRule="atLeast"/>
        </w:trPr>
        <w:tc>
          <w:tcPr>
            <w:tcW w:w="14587" w:type="dxa"/>
            <w:gridSpan w:val="13"/>
            <w:noWrap w:val="0"/>
            <w:vAlign w:val="center"/>
          </w:tcPr>
          <w:p w14:paraId="2EE6F9D7">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49" w:name="_Toc704954681"/>
            <w:bookmarkStart w:id="150" w:name="_Toc1606894570"/>
            <w:bookmarkStart w:id="151" w:name="_Toc110851484"/>
            <w:r>
              <w:rPr>
                <w:rFonts w:hint="eastAsia" w:ascii="宋体" w:hAnsi="宋体" w:eastAsia="宋体"/>
                <w:color w:val="auto"/>
                <w:sz w:val="21"/>
                <w:szCs w:val="21"/>
                <w:highlight w:val="none"/>
              </w:rPr>
              <w:t>《无证</w:t>
            </w:r>
            <w:r>
              <w:rPr>
                <w:rFonts w:ascii="宋体" w:hAnsi="宋体" w:eastAsia="宋体"/>
                <w:color w:val="auto"/>
                <w:sz w:val="21"/>
                <w:szCs w:val="21"/>
                <w:highlight w:val="none"/>
              </w:rPr>
              <w:t>无照经营查处办法</w:t>
            </w:r>
            <w:r>
              <w:rPr>
                <w:rFonts w:hint="eastAsia" w:ascii="宋体" w:hAnsi="宋体" w:eastAsia="宋体"/>
                <w:color w:val="auto"/>
                <w:sz w:val="21"/>
                <w:szCs w:val="21"/>
                <w:highlight w:val="none"/>
              </w:rPr>
              <w:t>》案由3项</w:t>
            </w:r>
            <w:bookmarkEnd w:id="149"/>
            <w:bookmarkEnd w:id="150"/>
            <w:bookmarkEnd w:id="151"/>
          </w:p>
        </w:tc>
        <w:tc>
          <w:tcPr>
            <w:tcW w:w="1869" w:type="dxa"/>
            <w:noWrap w:val="0"/>
            <w:vAlign w:val="center"/>
          </w:tcPr>
          <w:p w14:paraId="3648906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14:paraId="0871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452" w:hRule="atLeast"/>
        </w:trPr>
        <w:tc>
          <w:tcPr>
            <w:tcW w:w="714" w:type="dxa"/>
            <w:noWrap w:val="0"/>
            <w:vAlign w:val="center"/>
          </w:tcPr>
          <w:p w14:paraId="256B8C4F">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w:t>
            </w:r>
          </w:p>
        </w:tc>
        <w:tc>
          <w:tcPr>
            <w:tcW w:w="1626" w:type="dxa"/>
            <w:gridSpan w:val="2"/>
            <w:noWrap w:val="0"/>
            <w:vAlign w:val="center"/>
          </w:tcPr>
          <w:p w14:paraId="1B894D02">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无照经营</w:t>
            </w:r>
          </w:p>
        </w:tc>
        <w:tc>
          <w:tcPr>
            <w:tcW w:w="2981" w:type="dxa"/>
            <w:noWrap w:val="0"/>
            <w:vAlign w:val="center"/>
          </w:tcPr>
          <w:p w14:paraId="0035786C">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违反条款：第二条；</w:t>
            </w:r>
          </w:p>
          <w:p w14:paraId="2D83CC98">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处罚条款：第十三条，责令停止违法行为，没收违法所得，并处1万元以下的罚款。</w:t>
            </w:r>
          </w:p>
        </w:tc>
        <w:tc>
          <w:tcPr>
            <w:tcW w:w="851" w:type="dxa"/>
            <w:noWrap w:val="0"/>
            <w:vAlign w:val="center"/>
          </w:tcPr>
          <w:p w14:paraId="59CFD6DE">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100</w:t>
            </w:r>
          </w:p>
        </w:tc>
        <w:tc>
          <w:tcPr>
            <w:tcW w:w="840" w:type="dxa"/>
            <w:noWrap w:val="0"/>
            <w:vAlign w:val="center"/>
          </w:tcPr>
          <w:p w14:paraId="5C626F82">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05C66A70">
            <w:pPr>
              <w:spacing w:line="232" w:lineRule="exact"/>
              <w:contextualSpacing/>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6CBD4294">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罚款数额＝100×（1＋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0FA9EE41">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1.适用于一般无照经营情形；2.占用无障碍设施或者机动车道；占用过街桥、地下过街通道；使用畜力车、农用运输车及</w:t>
            </w:r>
            <w:r>
              <w:rPr>
                <w:rFonts w:hint="eastAsia" w:ascii="宋体" w:hAnsi="宋体" w:eastAsia="宋体" w:cs="宋体"/>
                <w:bCs/>
                <w:color w:val="auto"/>
                <w:kern w:val="0"/>
                <w:sz w:val="15"/>
                <w:szCs w:val="15"/>
                <w:highlight w:val="none"/>
                <w:lang w:eastAsia="zh-CN"/>
              </w:rPr>
              <w:t>其他</w:t>
            </w:r>
            <w:r>
              <w:rPr>
                <w:rFonts w:hint="eastAsia" w:ascii="宋体" w:hAnsi="宋体" w:eastAsia="宋体" w:cs="宋体"/>
                <w:bCs/>
                <w:color w:val="auto"/>
                <w:kern w:val="0"/>
                <w:sz w:val="15"/>
                <w:szCs w:val="15"/>
                <w:highlight w:val="none"/>
              </w:rPr>
              <w:t>机动车、电动车为经营工具；经营违禁品；占用非机动车道或者</w:t>
            </w:r>
            <w:r>
              <w:rPr>
                <w:rFonts w:hint="eastAsia" w:ascii="宋体" w:hAnsi="宋体" w:eastAsia="宋体" w:cs="宋体"/>
                <w:bCs/>
                <w:color w:val="auto"/>
                <w:kern w:val="0"/>
                <w:sz w:val="15"/>
                <w:szCs w:val="15"/>
                <w:highlight w:val="none"/>
                <w:lang w:eastAsia="zh-CN"/>
              </w:rPr>
              <w:t>其他</w:t>
            </w:r>
            <w:r>
              <w:rPr>
                <w:rFonts w:hint="eastAsia" w:ascii="宋体" w:hAnsi="宋体" w:eastAsia="宋体" w:cs="宋体"/>
                <w:bCs/>
                <w:color w:val="auto"/>
                <w:kern w:val="0"/>
                <w:sz w:val="15"/>
                <w:szCs w:val="15"/>
                <w:highlight w:val="none"/>
              </w:rPr>
              <w:t>公共场所面积较大；或者造成通行秩序、市容秩序混乱等无照经营情形，原则按照“摆摊设点”案由查处；需要给予500元以下较轻罚款的，说明理由，报案审会决定按照“无照经营”案由查处。</w:t>
            </w:r>
          </w:p>
        </w:tc>
        <w:tc>
          <w:tcPr>
            <w:tcW w:w="1304" w:type="dxa"/>
            <w:gridSpan w:val="2"/>
            <w:noWrap w:val="0"/>
            <w:vAlign w:val="center"/>
          </w:tcPr>
          <w:p w14:paraId="7E9118ED">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B7E5FB1">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BF02739">
            <w:pPr>
              <w:spacing w:line="232" w:lineRule="exact"/>
              <w:contextualSpacing/>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C4635200</w:t>
            </w:r>
          </w:p>
        </w:tc>
      </w:tr>
      <w:tr w14:paraId="7224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72" w:hRule="atLeast"/>
        </w:trPr>
        <w:tc>
          <w:tcPr>
            <w:tcW w:w="714" w:type="dxa"/>
            <w:noWrap w:val="0"/>
            <w:vAlign w:val="center"/>
          </w:tcPr>
          <w:p w14:paraId="0D262C4C">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2</w:t>
            </w:r>
          </w:p>
        </w:tc>
        <w:tc>
          <w:tcPr>
            <w:tcW w:w="1626" w:type="dxa"/>
            <w:gridSpan w:val="2"/>
            <w:noWrap w:val="0"/>
            <w:vAlign w:val="center"/>
          </w:tcPr>
          <w:p w14:paraId="24F59ABB">
            <w:pPr>
              <w:spacing w:line="232" w:lineRule="exact"/>
              <w:contextualSpacing/>
              <w:rPr>
                <w:rFonts w:ascii="宋体" w:hAnsi="宋体" w:eastAsia="宋体" w:cs="宋体"/>
                <w:bCs/>
                <w:color w:val="auto"/>
                <w:kern w:val="0"/>
                <w:sz w:val="15"/>
                <w:szCs w:val="15"/>
                <w:highlight w:val="none"/>
              </w:rPr>
            </w:pPr>
            <w:r>
              <w:rPr>
                <w:rFonts w:ascii="宋体" w:hAnsi="宋体" w:eastAsia="宋体" w:cs="宋体"/>
                <w:bCs/>
                <w:color w:val="auto"/>
                <w:kern w:val="0"/>
                <w:sz w:val="15"/>
                <w:szCs w:val="15"/>
                <w:highlight w:val="none"/>
              </w:rPr>
              <w:t>为无照经营者提供</w:t>
            </w:r>
            <w:r>
              <w:rPr>
                <w:rFonts w:hint="eastAsia" w:ascii="宋体" w:hAnsi="宋体" w:eastAsia="宋体" w:cs="宋体"/>
                <w:bCs/>
                <w:color w:val="auto"/>
                <w:kern w:val="0"/>
                <w:sz w:val="15"/>
                <w:szCs w:val="15"/>
                <w:highlight w:val="none"/>
              </w:rPr>
              <w:t>场所或者条件</w:t>
            </w:r>
          </w:p>
        </w:tc>
        <w:tc>
          <w:tcPr>
            <w:tcW w:w="2981" w:type="dxa"/>
            <w:noWrap w:val="0"/>
            <w:vAlign w:val="center"/>
          </w:tcPr>
          <w:p w14:paraId="63434311">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违反条款：第十四条；</w:t>
            </w:r>
          </w:p>
          <w:p w14:paraId="66A1985F">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处罚条款：第十四条，责令停止违法行为，没收违法所得，并处</w:t>
            </w:r>
            <w:r>
              <w:rPr>
                <w:rFonts w:ascii="宋体" w:hAnsi="宋体" w:eastAsia="宋体" w:cs="宋体"/>
                <w:bCs/>
                <w:color w:val="auto"/>
                <w:kern w:val="0"/>
                <w:sz w:val="15"/>
                <w:szCs w:val="15"/>
                <w:highlight w:val="none"/>
              </w:rPr>
              <w:t>5000</w:t>
            </w:r>
            <w:r>
              <w:rPr>
                <w:rFonts w:hint="eastAsia" w:ascii="宋体" w:hAnsi="宋体" w:eastAsia="宋体" w:cs="宋体"/>
                <w:bCs/>
                <w:color w:val="auto"/>
                <w:kern w:val="0"/>
                <w:sz w:val="15"/>
                <w:szCs w:val="15"/>
                <w:highlight w:val="none"/>
              </w:rPr>
              <w:t>元以下的罚款。</w:t>
            </w:r>
          </w:p>
        </w:tc>
        <w:tc>
          <w:tcPr>
            <w:tcW w:w="851" w:type="dxa"/>
            <w:noWrap w:val="0"/>
            <w:vAlign w:val="center"/>
          </w:tcPr>
          <w:p w14:paraId="355CA758">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500</w:t>
            </w:r>
          </w:p>
        </w:tc>
        <w:tc>
          <w:tcPr>
            <w:tcW w:w="840" w:type="dxa"/>
            <w:noWrap w:val="0"/>
            <w:vAlign w:val="center"/>
          </w:tcPr>
          <w:p w14:paraId="392DBB9C">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14:paraId="1FB16B2A">
            <w:pPr>
              <w:spacing w:line="232" w:lineRule="exact"/>
              <w:contextualSpacing/>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严重</w:t>
            </w:r>
            <w:r>
              <w:rPr>
                <w:rFonts w:hint="eastAsia" w:ascii="宋体" w:hAnsi="宋体" w:eastAsia="宋体"/>
                <w:color w:val="auto"/>
                <w:sz w:val="15"/>
                <w:szCs w:val="15"/>
                <w:highlight w:val="none"/>
              </w:rPr>
              <w:t>影响的，系数</w:t>
            </w:r>
            <w:r>
              <w:rPr>
                <w:rFonts w:hint="eastAsia" w:ascii="宋体" w:hAnsi="宋体" w:eastAsia="宋体"/>
                <w:color w:val="auto"/>
                <w:sz w:val="15"/>
                <w:szCs w:val="15"/>
                <w:highlight w:val="none"/>
                <w:lang w:val="en-US" w:eastAsia="zh-CN"/>
              </w:rPr>
              <w:t>5-9</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6F87749B">
            <w:pPr>
              <w:spacing w:line="232" w:lineRule="exact"/>
              <w:contextualSpacing/>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w:t>
            </w:r>
            <w:r>
              <w:rPr>
                <w:rFonts w:hint="eastAsia" w:ascii="宋体" w:hAnsi="宋体" w:eastAsia="宋体"/>
                <w:color w:val="auto"/>
                <w:sz w:val="15"/>
                <w:szCs w:val="15"/>
                <w:highlight w:val="none"/>
              </w:rPr>
              <w:t>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14:paraId="49AF43FE">
            <w:pPr>
              <w:spacing w:line="232" w:lineRule="exact"/>
              <w:rPr>
                <w:rFonts w:ascii="宋体" w:hAnsi="宋体" w:eastAsia="宋体"/>
                <w:strike w:val="0"/>
                <w:color w:val="auto"/>
                <w:sz w:val="15"/>
                <w:szCs w:val="15"/>
                <w:highlight w:val="none"/>
              </w:rPr>
            </w:pPr>
            <w:r>
              <w:rPr>
                <w:rFonts w:hint="eastAsia" w:ascii="宋体" w:hAnsi="宋体" w:eastAsia="宋体"/>
                <w:strike w:val="0"/>
                <w:color w:val="auto"/>
                <w:sz w:val="15"/>
                <w:szCs w:val="15"/>
                <w:highlight w:val="none"/>
              </w:rPr>
              <w:t>需要给予</w:t>
            </w:r>
            <w:r>
              <w:rPr>
                <w:rFonts w:hint="eastAsia" w:ascii="宋体" w:hAnsi="宋体" w:eastAsia="宋体"/>
                <w:strike w:val="0"/>
                <w:color w:val="auto"/>
                <w:sz w:val="15"/>
                <w:szCs w:val="15"/>
                <w:highlight w:val="none"/>
                <w:lang w:eastAsia="zh-CN"/>
              </w:rPr>
              <w:t>其他</w:t>
            </w:r>
            <w:r>
              <w:rPr>
                <w:rFonts w:hint="eastAsia" w:ascii="宋体" w:hAnsi="宋体" w:eastAsia="宋体"/>
                <w:strike w:val="0"/>
                <w:color w:val="auto"/>
                <w:sz w:val="15"/>
                <w:szCs w:val="15"/>
                <w:highlight w:val="none"/>
              </w:rPr>
              <w:t>处罚额度的，报案审会决定。</w:t>
            </w:r>
          </w:p>
          <w:p w14:paraId="4A39532C">
            <w:pPr>
              <w:spacing w:line="232" w:lineRule="exact"/>
              <w:contextualSpacing/>
              <w:rPr>
                <w:rFonts w:ascii="宋体" w:hAnsi="宋体" w:eastAsia="宋体" w:cs="宋体"/>
                <w:bCs/>
                <w:color w:val="auto"/>
                <w:kern w:val="0"/>
                <w:sz w:val="15"/>
                <w:szCs w:val="15"/>
                <w:highlight w:val="none"/>
              </w:rPr>
            </w:pPr>
          </w:p>
        </w:tc>
        <w:tc>
          <w:tcPr>
            <w:tcW w:w="1304" w:type="dxa"/>
            <w:gridSpan w:val="2"/>
            <w:noWrap w:val="0"/>
            <w:vAlign w:val="center"/>
          </w:tcPr>
          <w:p w14:paraId="4172F191">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37AAE0A">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1B56EC72">
            <w:pPr>
              <w:spacing w:line="232" w:lineRule="exact"/>
              <w:contextualSpacing/>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C4643800</w:t>
            </w:r>
          </w:p>
        </w:tc>
      </w:tr>
      <w:tr w14:paraId="37BF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04" w:hRule="atLeast"/>
        </w:trPr>
        <w:tc>
          <w:tcPr>
            <w:tcW w:w="714" w:type="dxa"/>
            <w:noWrap w:val="0"/>
            <w:vAlign w:val="center"/>
          </w:tcPr>
          <w:p w14:paraId="0645875A">
            <w:pPr>
              <w:spacing w:line="232" w:lineRule="exact"/>
              <w:contextualSpacing/>
              <w:jc w:val="center"/>
              <w:rPr>
                <w:rFonts w:ascii="宋体" w:hAnsi="宋体" w:eastAsia="宋体" w:cs="宋体"/>
                <w:bCs/>
                <w:strike w:val="0"/>
                <w:dstrike w:val="0"/>
                <w:color w:val="auto"/>
                <w:kern w:val="0"/>
                <w:sz w:val="15"/>
                <w:szCs w:val="15"/>
                <w:highlight w:val="none"/>
              </w:rPr>
            </w:pPr>
            <w:r>
              <w:rPr>
                <w:rFonts w:ascii="宋体" w:hAnsi="宋体" w:eastAsia="宋体" w:cs="宋体"/>
                <w:bCs/>
                <w:strike w:val="0"/>
                <w:dstrike w:val="0"/>
                <w:color w:val="auto"/>
                <w:kern w:val="0"/>
                <w:sz w:val="15"/>
                <w:szCs w:val="15"/>
                <w:highlight w:val="none"/>
              </w:rPr>
              <w:t>3</w:t>
            </w:r>
          </w:p>
        </w:tc>
        <w:tc>
          <w:tcPr>
            <w:tcW w:w="1626" w:type="dxa"/>
            <w:gridSpan w:val="2"/>
            <w:noWrap w:val="0"/>
            <w:vAlign w:val="center"/>
          </w:tcPr>
          <w:p w14:paraId="627DC161">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无照经营（人力三轮车等业务）</w:t>
            </w:r>
          </w:p>
        </w:tc>
        <w:tc>
          <w:tcPr>
            <w:tcW w:w="2981" w:type="dxa"/>
            <w:noWrap w:val="0"/>
            <w:vAlign w:val="center"/>
          </w:tcPr>
          <w:p w14:paraId="07FADB44">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违反条款：第二条；</w:t>
            </w:r>
          </w:p>
          <w:p w14:paraId="7C0813C1">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处罚条款：第十三条，责令停止违法行为，没收违法所得，并处1万元以下的罚款。</w:t>
            </w:r>
          </w:p>
        </w:tc>
        <w:tc>
          <w:tcPr>
            <w:tcW w:w="851" w:type="dxa"/>
            <w:noWrap w:val="0"/>
            <w:vAlign w:val="center"/>
          </w:tcPr>
          <w:p w14:paraId="3D3D1212">
            <w:pPr>
              <w:spacing w:line="232" w:lineRule="exact"/>
              <w:contextualSpacing/>
              <w:jc w:val="center"/>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500</w:t>
            </w:r>
          </w:p>
        </w:tc>
        <w:tc>
          <w:tcPr>
            <w:tcW w:w="840" w:type="dxa"/>
            <w:noWrap w:val="0"/>
            <w:vAlign w:val="center"/>
          </w:tcPr>
          <w:p w14:paraId="702A194F">
            <w:pPr>
              <w:spacing w:line="232" w:lineRule="exact"/>
              <w:contextualSpacing/>
              <w:jc w:val="center"/>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1</w:t>
            </w:r>
          </w:p>
        </w:tc>
        <w:tc>
          <w:tcPr>
            <w:tcW w:w="2376" w:type="dxa"/>
            <w:noWrap w:val="0"/>
            <w:vAlign w:val="center"/>
          </w:tcPr>
          <w:p w14:paraId="24F71533">
            <w:pPr>
              <w:spacing w:line="232" w:lineRule="exact"/>
              <w:contextualSpacing/>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strike w:val="0"/>
                <w:dstrike w:val="0"/>
                <w:color w:val="auto"/>
                <w:sz w:val="15"/>
                <w:szCs w:val="15"/>
                <w:highlight w:val="none"/>
              </w:rPr>
              <w:t>造成秩序混乱或者较大社会影响的，系数1-3</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1E3C0569">
            <w:pPr>
              <w:spacing w:line="232" w:lineRule="exact"/>
              <w:contextualSpacing/>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罚款数额＝500×</w:t>
            </w:r>
            <w:r>
              <w:rPr>
                <w:rFonts w:hint="eastAsia" w:ascii="宋体" w:hAnsi="宋体" w:eastAsia="宋体" w:cs="宋体"/>
                <w:bCs/>
                <w:strike w:val="0"/>
                <w:dstrike w:val="0"/>
                <w:color w:val="auto"/>
                <w:sz w:val="15"/>
                <w:szCs w:val="15"/>
                <w:highlight w:val="none"/>
              </w:rPr>
              <w:t>（1</w:t>
            </w:r>
            <w:r>
              <w:rPr>
                <w:rFonts w:hint="eastAsia" w:ascii="宋体" w:hAnsi="宋体" w:eastAsia="宋体"/>
                <w:strike w:val="0"/>
                <w:dstrike w:val="0"/>
                <w:color w:val="auto"/>
                <w:sz w:val="15"/>
                <w:szCs w:val="15"/>
                <w:highlight w:val="none"/>
              </w:rPr>
              <w:t>＋</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cs="宋体"/>
                <w:bCs/>
                <w:strike w:val="0"/>
                <w:dstrike w:val="0"/>
                <w:color w:val="auto"/>
                <w:sz w:val="15"/>
                <w:szCs w:val="15"/>
                <w:highlight w:val="none"/>
              </w:rPr>
              <w:t>）</w:t>
            </w:r>
          </w:p>
        </w:tc>
        <w:tc>
          <w:tcPr>
            <w:tcW w:w="2020" w:type="dxa"/>
            <w:gridSpan w:val="2"/>
            <w:noWrap w:val="0"/>
            <w:vAlign w:val="center"/>
          </w:tcPr>
          <w:p w14:paraId="158D3263">
            <w:pPr>
              <w:spacing w:line="232" w:lineRule="exact"/>
              <w:rPr>
                <w:rFonts w:ascii="宋体" w:hAnsi="宋体" w:eastAsia="宋体"/>
                <w:strike w:val="0"/>
                <w:color w:val="auto"/>
                <w:sz w:val="15"/>
                <w:szCs w:val="15"/>
                <w:highlight w:val="none"/>
              </w:rPr>
            </w:pPr>
            <w:r>
              <w:rPr>
                <w:rFonts w:hint="eastAsia" w:ascii="宋体" w:hAnsi="宋体" w:eastAsia="宋体"/>
                <w:strike w:val="0"/>
                <w:color w:val="auto"/>
                <w:sz w:val="15"/>
                <w:szCs w:val="15"/>
                <w:highlight w:val="none"/>
              </w:rPr>
              <w:t>需要给予</w:t>
            </w:r>
            <w:r>
              <w:rPr>
                <w:rFonts w:hint="eastAsia" w:ascii="宋体" w:hAnsi="宋体" w:eastAsia="宋体"/>
                <w:strike w:val="0"/>
                <w:color w:val="auto"/>
                <w:sz w:val="15"/>
                <w:szCs w:val="15"/>
                <w:highlight w:val="none"/>
                <w:lang w:eastAsia="zh-CN"/>
              </w:rPr>
              <w:t>其他</w:t>
            </w:r>
            <w:r>
              <w:rPr>
                <w:rFonts w:hint="eastAsia" w:ascii="宋体" w:hAnsi="宋体" w:eastAsia="宋体"/>
                <w:strike w:val="0"/>
                <w:color w:val="auto"/>
                <w:sz w:val="15"/>
                <w:szCs w:val="15"/>
                <w:highlight w:val="none"/>
              </w:rPr>
              <w:t>处罚额度的，报案审会决定。</w:t>
            </w:r>
          </w:p>
          <w:p w14:paraId="64E01868">
            <w:pPr>
              <w:spacing w:line="232" w:lineRule="exact"/>
              <w:contextualSpacing/>
              <w:rPr>
                <w:rFonts w:hint="eastAsia" w:ascii="宋体" w:hAnsi="宋体" w:eastAsia="宋体"/>
                <w:strike w:val="0"/>
                <w:dstrike w:val="0"/>
                <w:color w:val="auto"/>
                <w:sz w:val="15"/>
                <w:szCs w:val="15"/>
                <w:highlight w:val="none"/>
              </w:rPr>
            </w:pPr>
          </w:p>
        </w:tc>
        <w:tc>
          <w:tcPr>
            <w:tcW w:w="1304" w:type="dxa"/>
            <w:gridSpan w:val="2"/>
            <w:noWrap w:val="0"/>
            <w:vAlign w:val="center"/>
          </w:tcPr>
          <w:p w14:paraId="2D37F52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D5725B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81DA580">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C4635300</w:t>
            </w:r>
          </w:p>
        </w:tc>
      </w:tr>
      <w:tr w14:paraId="7848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82" w:hRule="atLeast"/>
        </w:trPr>
        <w:tc>
          <w:tcPr>
            <w:tcW w:w="14587" w:type="dxa"/>
            <w:gridSpan w:val="13"/>
            <w:noWrap w:val="0"/>
            <w:vAlign w:val="center"/>
          </w:tcPr>
          <w:p w14:paraId="1F3F043B">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52" w:name="_Toc1516342011"/>
            <w:bookmarkStart w:id="153" w:name="_Toc110851485"/>
            <w:bookmarkStart w:id="154" w:name="_Toc1160691890"/>
            <w:r>
              <w:rPr>
                <w:rFonts w:hint="eastAsia" w:ascii="黑体" w:hAnsi="黑体" w:eastAsia="黑体"/>
                <w:b w:val="0"/>
                <w:color w:val="auto"/>
                <w:sz w:val="28"/>
                <w:szCs w:val="28"/>
                <w:highlight w:val="none"/>
              </w:rPr>
              <w:t>城</w:t>
            </w:r>
            <w:r>
              <w:rPr>
                <w:rFonts w:hint="eastAsia" w:ascii="黑体" w:hAnsi="黑体" w:eastAsia="黑体"/>
                <w:b w:val="0"/>
                <w:color w:val="auto"/>
                <w:sz w:val="28"/>
                <w:szCs w:val="28"/>
                <w:highlight w:val="none"/>
                <w:lang w:eastAsia="zh-CN"/>
              </w:rPr>
              <w:t>乡</w:t>
            </w:r>
            <w:r>
              <w:rPr>
                <w:rFonts w:hint="eastAsia" w:ascii="黑体" w:hAnsi="黑体" w:eastAsia="黑体"/>
                <w:b w:val="0"/>
                <w:color w:val="auto"/>
                <w:sz w:val="28"/>
                <w:szCs w:val="28"/>
                <w:highlight w:val="none"/>
              </w:rPr>
              <w:t>规划管理方面</w:t>
            </w:r>
            <w:bookmarkEnd w:id="152"/>
            <w:bookmarkEnd w:id="153"/>
            <w:bookmarkEnd w:id="154"/>
          </w:p>
        </w:tc>
        <w:tc>
          <w:tcPr>
            <w:tcW w:w="1869" w:type="dxa"/>
            <w:noWrap w:val="0"/>
            <w:vAlign w:val="center"/>
          </w:tcPr>
          <w:p w14:paraId="3671D51E">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b w:val="0"/>
                <w:color w:val="auto"/>
                <w:sz w:val="28"/>
                <w:szCs w:val="28"/>
                <w:highlight w:val="none"/>
              </w:rPr>
            </w:pPr>
          </w:p>
        </w:tc>
      </w:tr>
      <w:tr w14:paraId="350D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14587" w:type="dxa"/>
            <w:gridSpan w:val="13"/>
            <w:noWrap w:val="0"/>
            <w:vAlign w:val="center"/>
          </w:tcPr>
          <w:p w14:paraId="61FF6025">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宋体" w:hAnsi="宋体" w:eastAsia="宋体"/>
                <w:color w:val="auto"/>
                <w:sz w:val="15"/>
                <w:szCs w:val="15"/>
                <w:highlight w:val="none"/>
              </w:rPr>
            </w:pPr>
            <w:bookmarkStart w:id="155" w:name="_Toc110851486"/>
            <w:bookmarkStart w:id="156" w:name="_Toc2059876047"/>
            <w:bookmarkStart w:id="157" w:name="_Toc187041735"/>
            <w:r>
              <w:rPr>
                <w:rFonts w:hint="eastAsia" w:ascii="宋体" w:hAnsi="宋体" w:eastAsia="宋体"/>
                <w:color w:val="auto"/>
                <w:sz w:val="21"/>
                <w:szCs w:val="21"/>
                <w:highlight w:val="none"/>
              </w:rPr>
              <w:t>《中华人民共和国城乡规划法》《北京市城乡规划条例》</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案由2项</w:t>
            </w:r>
            <w:bookmarkEnd w:id="155"/>
            <w:bookmarkEnd w:id="156"/>
            <w:bookmarkEnd w:id="157"/>
          </w:p>
        </w:tc>
        <w:tc>
          <w:tcPr>
            <w:tcW w:w="1869" w:type="dxa"/>
            <w:noWrap w:val="0"/>
            <w:vAlign w:val="center"/>
          </w:tcPr>
          <w:p w14:paraId="25FC54E1">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eastAsia="宋体"/>
                <w:color w:val="auto"/>
                <w:sz w:val="21"/>
                <w:szCs w:val="21"/>
                <w:highlight w:val="none"/>
              </w:rPr>
            </w:pPr>
          </w:p>
        </w:tc>
      </w:tr>
      <w:tr w14:paraId="2A363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98" w:hRule="atLeast"/>
        </w:trPr>
        <w:tc>
          <w:tcPr>
            <w:tcW w:w="714" w:type="dxa"/>
            <w:vMerge w:val="restart"/>
            <w:noWrap w:val="0"/>
            <w:vAlign w:val="center"/>
          </w:tcPr>
          <w:p w14:paraId="23B59DC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vMerge w:val="restart"/>
            <w:noWrap w:val="0"/>
            <w:vAlign w:val="center"/>
          </w:tcPr>
          <w:p w14:paraId="1CBE688B">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违法建设</w:t>
            </w:r>
          </w:p>
        </w:tc>
        <w:tc>
          <w:tcPr>
            <w:tcW w:w="8927" w:type="dxa"/>
            <w:gridSpan w:val="7"/>
            <w:noWrap w:val="0"/>
            <w:vAlign w:val="top"/>
          </w:tcPr>
          <w:p w14:paraId="1705E232">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新生违法建设</w:t>
            </w:r>
            <w:r>
              <w:rPr>
                <w:rFonts w:ascii="宋体" w:hAnsi="宋体" w:eastAsia="宋体" w:cs="宋体"/>
                <w:b/>
                <w:bCs/>
                <w:color w:val="auto"/>
                <w:kern w:val="0"/>
                <w:sz w:val="15"/>
                <w:szCs w:val="15"/>
                <w:highlight w:val="none"/>
              </w:rPr>
              <w:t>]</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拆除条款：</w:t>
            </w:r>
            <w:r>
              <w:rPr>
                <w:rFonts w:hint="eastAsia" w:ascii="宋体" w:hAnsi="宋体" w:eastAsia="宋体" w:cs="宋体"/>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016" w:type="dxa"/>
            <w:noWrap w:val="0"/>
            <w:vAlign w:val="center"/>
          </w:tcPr>
          <w:p w14:paraId="4EC41AF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r>
              <w:rPr>
                <w:rFonts w:hint="eastAsia" w:ascii="宋体" w:hAnsi="宋体" w:eastAsia="宋体" w:cs="宋体"/>
                <w:color w:val="auto"/>
                <w:kern w:val="0"/>
                <w:sz w:val="15"/>
                <w:szCs w:val="15"/>
                <w:highlight w:val="none"/>
              </w:rPr>
              <w:br w:type="textWrapping"/>
            </w:r>
          </w:p>
        </w:tc>
        <w:tc>
          <w:tcPr>
            <w:tcW w:w="1304" w:type="dxa"/>
            <w:gridSpan w:val="2"/>
            <w:noWrap w:val="0"/>
            <w:vAlign w:val="center"/>
          </w:tcPr>
          <w:p w14:paraId="6468F53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2A5BEC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27E62AE1">
            <w:pPr>
              <w:spacing w:line="232" w:lineRule="exact"/>
              <w:jc w:val="center"/>
              <w:rPr>
                <w:rFonts w:hint="eastAsia" w:ascii="宋体" w:hAnsi="宋体" w:eastAsia="宋体"/>
                <w:color w:val="auto"/>
                <w:sz w:val="15"/>
                <w:szCs w:val="15"/>
                <w:highlight w:val="none"/>
                <w:lang w:eastAsia="zh"/>
              </w:rPr>
            </w:pPr>
            <w:r>
              <w:rPr>
                <w:rFonts w:hint="eastAsia" w:ascii="宋体" w:hAnsi="宋体" w:eastAsia="宋体" w:cs="宋体"/>
                <w:kern w:val="2"/>
                <w:sz w:val="15"/>
                <w:szCs w:val="15"/>
                <w:highlight w:val="none"/>
              </w:rPr>
              <w:t>C4635500</w:t>
            </w:r>
          </w:p>
        </w:tc>
      </w:tr>
      <w:tr w14:paraId="0E9A1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644" w:hRule="atLeast"/>
        </w:trPr>
        <w:tc>
          <w:tcPr>
            <w:tcW w:w="714" w:type="dxa"/>
            <w:vMerge w:val="continue"/>
            <w:tcBorders>
              <w:bottom w:val="single" w:color="auto" w:sz="4" w:space="0"/>
            </w:tcBorders>
            <w:noWrap w:val="0"/>
            <w:vAlign w:val="center"/>
          </w:tcPr>
          <w:p w14:paraId="162FE48B">
            <w:pPr>
              <w:spacing w:line="232" w:lineRule="exact"/>
              <w:jc w:val="center"/>
              <w:rPr>
                <w:rFonts w:ascii="宋体" w:hAnsi="宋体" w:eastAsia="宋体" w:cs="宋体"/>
                <w:color w:val="auto"/>
                <w:kern w:val="0"/>
                <w:sz w:val="15"/>
                <w:szCs w:val="15"/>
                <w:highlight w:val="none"/>
              </w:rPr>
            </w:pPr>
          </w:p>
        </w:tc>
        <w:tc>
          <w:tcPr>
            <w:tcW w:w="1626" w:type="dxa"/>
            <w:gridSpan w:val="2"/>
            <w:vMerge w:val="continue"/>
            <w:tcBorders>
              <w:bottom w:val="single" w:color="auto" w:sz="4" w:space="0"/>
            </w:tcBorders>
            <w:noWrap w:val="0"/>
            <w:vAlign w:val="center"/>
          </w:tcPr>
          <w:p w14:paraId="55BA8307">
            <w:pPr>
              <w:spacing w:line="232" w:lineRule="exact"/>
              <w:jc w:val="left"/>
              <w:rPr>
                <w:rFonts w:ascii="宋体" w:hAnsi="宋体" w:eastAsia="宋体" w:cs="宋体"/>
                <w:color w:val="auto"/>
                <w:kern w:val="0"/>
                <w:sz w:val="15"/>
                <w:szCs w:val="15"/>
                <w:highlight w:val="none"/>
              </w:rPr>
            </w:pPr>
          </w:p>
        </w:tc>
        <w:tc>
          <w:tcPr>
            <w:tcW w:w="8927" w:type="dxa"/>
            <w:gridSpan w:val="7"/>
            <w:tcBorders>
              <w:bottom w:val="single" w:color="auto" w:sz="4" w:space="0"/>
            </w:tcBorders>
            <w:noWrap w:val="0"/>
            <w:vAlign w:val="top"/>
          </w:tcPr>
          <w:p w14:paraId="37E26007">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已建成违法建设</w:t>
            </w:r>
            <w:r>
              <w:rPr>
                <w:rFonts w:ascii="宋体" w:hAnsi="宋体" w:eastAsia="宋体" w:cs="宋体"/>
                <w:b/>
                <w:bCs/>
                <w:color w:val="auto"/>
                <w:kern w:val="0"/>
                <w:sz w:val="15"/>
                <w:szCs w:val="15"/>
                <w:highlight w:val="none"/>
              </w:rPr>
              <w:t>]</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拆除条款：（限期拆除）</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14:paraId="78B4C60E">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（强制拆除）</w:t>
            </w:r>
            <w:r>
              <w:rPr>
                <w:rFonts w:hint="eastAsia" w:ascii="宋体" w:hAnsi="宋体" w:eastAsia="宋体" w:cs="宋体"/>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09D13BC2">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s="宋体"/>
                <w:b/>
                <w:color w:val="auto"/>
                <w:kern w:val="0"/>
                <w:sz w:val="15"/>
                <w:szCs w:val="15"/>
                <w:highlight w:val="none"/>
              </w:rPr>
              <w:t>（无主公告）</w:t>
            </w:r>
            <w:r>
              <w:rPr>
                <w:rFonts w:hint="eastAsia" w:ascii="宋体" w:hAnsi="宋体" w:eastAsia="宋体" w:cs="宋体"/>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日。公告期间届满后</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个月内无人提起行政复议或者行政诉讼的，依法强制拆除或者没收。</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016" w:type="dxa"/>
            <w:tcBorders>
              <w:bottom w:val="single" w:color="auto" w:sz="4" w:space="0"/>
            </w:tcBorders>
            <w:noWrap w:val="0"/>
            <w:vAlign w:val="center"/>
          </w:tcPr>
          <w:p w14:paraId="07011D8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p>
        </w:tc>
        <w:tc>
          <w:tcPr>
            <w:tcW w:w="1304" w:type="dxa"/>
            <w:gridSpan w:val="2"/>
            <w:tcBorders>
              <w:bottom w:val="single" w:color="auto" w:sz="4" w:space="0"/>
            </w:tcBorders>
            <w:noWrap w:val="0"/>
            <w:vAlign w:val="center"/>
          </w:tcPr>
          <w:p w14:paraId="4DE7320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F06471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13780E4A">
            <w:pPr>
              <w:spacing w:line="232" w:lineRule="exact"/>
              <w:jc w:val="center"/>
              <w:rPr>
                <w:rFonts w:hint="eastAsia" w:ascii="宋体" w:hAnsi="宋体" w:eastAsia="宋体"/>
                <w:color w:val="auto"/>
                <w:sz w:val="15"/>
                <w:szCs w:val="15"/>
                <w:highlight w:val="none"/>
                <w:lang w:eastAsia="zh"/>
              </w:rPr>
            </w:pPr>
          </w:p>
        </w:tc>
      </w:tr>
      <w:tr w14:paraId="4E5D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454" w:hRule="atLeast"/>
        </w:trPr>
        <w:tc>
          <w:tcPr>
            <w:tcW w:w="714" w:type="dxa"/>
            <w:noWrap w:val="0"/>
            <w:vAlign w:val="center"/>
          </w:tcPr>
          <w:p w14:paraId="4EF7BE42">
            <w:pPr>
              <w:spacing w:line="232" w:lineRule="exact"/>
              <w:jc w:val="center"/>
              <w:rPr>
                <w:rFonts w:ascii="宋体" w:hAnsi="宋体" w:eastAsia="宋体" w:cs="宋体"/>
                <w:color w:val="auto"/>
                <w:kern w:val="0"/>
                <w:sz w:val="15"/>
                <w:szCs w:val="15"/>
                <w:highlight w:val="none"/>
              </w:rPr>
            </w:pPr>
          </w:p>
        </w:tc>
        <w:tc>
          <w:tcPr>
            <w:tcW w:w="1626" w:type="dxa"/>
            <w:gridSpan w:val="2"/>
            <w:noWrap w:val="0"/>
            <w:vAlign w:val="center"/>
          </w:tcPr>
          <w:p w14:paraId="03D8490B">
            <w:pPr>
              <w:spacing w:line="232" w:lineRule="exact"/>
              <w:jc w:val="left"/>
              <w:rPr>
                <w:rFonts w:ascii="宋体" w:hAnsi="宋体" w:eastAsia="宋体" w:cs="宋体"/>
                <w:color w:val="auto"/>
                <w:kern w:val="0"/>
                <w:sz w:val="15"/>
                <w:szCs w:val="15"/>
                <w:highlight w:val="none"/>
              </w:rPr>
            </w:pPr>
          </w:p>
        </w:tc>
        <w:tc>
          <w:tcPr>
            <w:tcW w:w="8927" w:type="dxa"/>
            <w:gridSpan w:val="7"/>
            <w:noWrap w:val="0"/>
            <w:vAlign w:val="top"/>
          </w:tcPr>
          <w:p w14:paraId="0AAECEBB">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b/>
                <w:bCs/>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城镇临时建设工程未取得临时建设工程规划许可证违法建设</w:t>
            </w:r>
            <w:r>
              <w:rPr>
                <w:rFonts w:ascii="宋体" w:hAnsi="宋体" w:eastAsia="宋体" w:cs="宋体"/>
                <w:b/>
                <w:bCs/>
                <w:color w:val="auto"/>
                <w:kern w:val="0"/>
                <w:sz w:val="15"/>
                <w:szCs w:val="15"/>
                <w:highlight w:val="none"/>
              </w:rPr>
              <w:t>]</w:t>
            </w:r>
          </w:p>
          <w:p w14:paraId="7773F237">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p>
          <w:p w14:paraId="578456C1">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拆除条款：</w:t>
            </w:r>
            <w:r>
              <w:rPr>
                <w:rFonts w:hint="eastAsia" w:ascii="宋体" w:hAnsi="宋体" w:eastAsia="宋体" w:cs="宋体"/>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14:paraId="1756B557">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52B73FAD">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日。公告期间届满后</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个月内无人提起行政复议或者行政诉讼的，依法强制拆除或者没收。</w:t>
            </w:r>
          </w:p>
          <w:p w14:paraId="1A96FB7A">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b/>
                <w:color w:val="auto"/>
                <w:kern w:val="0"/>
                <w:sz w:val="15"/>
                <w:szCs w:val="15"/>
                <w:highlight w:val="none"/>
                <w:lang w:val="en"/>
              </w:rPr>
            </w:pP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《北京市城乡规划条例》第七十六条。</w:t>
            </w:r>
          </w:p>
        </w:tc>
        <w:tc>
          <w:tcPr>
            <w:tcW w:w="2016" w:type="dxa"/>
            <w:noWrap w:val="0"/>
            <w:vAlign w:val="center"/>
          </w:tcPr>
          <w:p w14:paraId="2A1C92B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p>
        </w:tc>
        <w:tc>
          <w:tcPr>
            <w:tcW w:w="1304" w:type="dxa"/>
            <w:gridSpan w:val="2"/>
            <w:noWrap w:val="0"/>
            <w:vAlign w:val="center"/>
          </w:tcPr>
          <w:p w14:paraId="4EBC926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AA642A0">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31131F85">
            <w:pPr>
              <w:spacing w:line="232" w:lineRule="exact"/>
              <w:jc w:val="center"/>
              <w:rPr>
                <w:rFonts w:hint="eastAsia" w:ascii="宋体" w:hAnsi="宋体" w:eastAsia="宋体"/>
                <w:color w:val="auto"/>
                <w:sz w:val="15"/>
                <w:szCs w:val="15"/>
                <w:highlight w:val="none"/>
                <w:lang w:eastAsia="zh"/>
              </w:rPr>
            </w:pPr>
          </w:p>
        </w:tc>
      </w:tr>
      <w:tr w14:paraId="2B27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29" w:hRule="atLeast"/>
        </w:trPr>
        <w:tc>
          <w:tcPr>
            <w:tcW w:w="714" w:type="dxa"/>
            <w:noWrap w:val="0"/>
            <w:vAlign w:val="center"/>
          </w:tcPr>
          <w:p w14:paraId="1BB52C9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14:paraId="157BB846">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未按照规定在施工现场对外公示建设工程规划许可证（含临时）及附件、附图</w:t>
            </w:r>
          </w:p>
        </w:tc>
        <w:tc>
          <w:tcPr>
            <w:tcW w:w="2981" w:type="dxa"/>
            <w:noWrap w:val="0"/>
            <w:vAlign w:val="center"/>
          </w:tcPr>
          <w:p w14:paraId="413D186E">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《北京市城乡规划条例》第六十四条；</w:t>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《北京市城乡规划条例》第八十五条，责令限期改正，可以并处</w:t>
            </w:r>
            <w:r>
              <w:rPr>
                <w:rFonts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t>元以上</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万元以下罚款。</w:t>
            </w:r>
          </w:p>
        </w:tc>
        <w:tc>
          <w:tcPr>
            <w:tcW w:w="851" w:type="dxa"/>
            <w:noWrap w:val="0"/>
            <w:vAlign w:val="center"/>
          </w:tcPr>
          <w:p w14:paraId="4FC77EBF">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5000</w:t>
            </w:r>
          </w:p>
        </w:tc>
        <w:tc>
          <w:tcPr>
            <w:tcW w:w="840" w:type="dxa"/>
            <w:noWrap w:val="0"/>
            <w:vAlign w:val="center"/>
          </w:tcPr>
          <w:p w14:paraId="10016426">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2376" w:type="dxa"/>
            <w:noWrap w:val="0"/>
            <w:vAlign w:val="center"/>
          </w:tcPr>
          <w:p w14:paraId="13FFA1E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751949A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2DA6917F">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该项案由执法区域范畴与查处违法建设分工区域范畴相同</w:t>
            </w:r>
            <w:r>
              <w:rPr>
                <w:rFonts w:hint="eastAsia" w:ascii="宋体" w:hAnsi="宋体" w:eastAsia="宋体" w:cs="宋体"/>
                <w:strike w:val="0"/>
                <w:dstrike w:val="0"/>
                <w:color w:val="auto"/>
                <w:kern w:val="0"/>
                <w:sz w:val="15"/>
                <w:szCs w:val="15"/>
                <w:highlight w:val="none"/>
                <w:lang w:eastAsia="zh-CN"/>
              </w:rPr>
              <w:t>。</w:t>
            </w:r>
          </w:p>
        </w:tc>
        <w:tc>
          <w:tcPr>
            <w:tcW w:w="1304" w:type="dxa"/>
            <w:gridSpan w:val="2"/>
            <w:noWrap w:val="0"/>
            <w:vAlign w:val="center"/>
          </w:tcPr>
          <w:p w14:paraId="4B148EA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C3BD30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D991A4D">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C4635600</w:t>
            </w:r>
          </w:p>
        </w:tc>
      </w:tr>
      <w:tr w14:paraId="5BCD9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62" w:hRule="atLeast"/>
        </w:trPr>
        <w:tc>
          <w:tcPr>
            <w:tcW w:w="14587" w:type="dxa"/>
            <w:gridSpan w:val="13"/>
            <w:noWrap w:val="0"/>
            <w:vAlign w:val="center"/>
          </w:tcPr>
          <w:p w14:paraId="0218F758">
            <w:pPr>
              <w:pStyle w:val="2"/>
              <w:keepNext w:val="0"/>
              <w:keepLines w:val="0"/>
              <w:rPr>
                <w:rFonts w:ascii="黑体" w:hAnsi="黑体" w:eastAsia="黑体"/>
                <w:b w:val="0"/>
                <w:color w:val="auto"/>
                <w:sz w:val="24"/>
                <w:szCs w:val="24"/>
                <w:highlight w:val="none"/>
              </w:rPr>
            </w:pPr>
            <w:bookmarkStart w:id="158" w:name="_Toc250975437"/>
            <w:bookmarkStart w:id="159" w:name="_Toc1909913449"/>
            <w:bookmarkStart w:id="160" w:name="_Toc110851487"/>
            <w:r>
              <w:rPr>
                <w:rFonts w:hint="eastAsia" w:ascii="黑体" w:hAnsi="黑体" w:eastAsia="黑体"/>
                <w:b w:val="0"/>
                <w:color w:val="auto"/>
                <w:sz w:val="28"/>
                <w:szCs w:val="28"/>
                <w:highlight w:val="none"/>
              </w:rPr>
              <w:t>旅游管理（黑导游）方面</w:t>
            </w:r>
            <w:bookmarkEnd w:id="158"/>
            <w:bookmarkEnd w:id="159"/>
            <w:bookmarkEnd w:id="160"/>
          </w:p>
        </w:tc>
        <w:tc>
          <w:tcPr>
            <w:tcW w:w="1869" w:type="dxa"/>
            <w:noWrap w:val="0"/>
            <w:vAlign w:val="center"/>
          </w:tcPr>
          <w:p w14:paraId="57321058">
            <w:pPr>
              <w:pStyle w:val="2"/>
              <w:keepNext w:val="0"/>
              <w:keepLines w:val="0"/>
              <w:rPr>
                <w:rFonts w:hint="eastAsia" w:ascii="黑体" w:hAnsi="黑体" w:eastAsia="黑体"/>
                <w:b w:val="0"/>
                <w:color w:val="auto"/>
                <w:sz w:val="28"/>
                <w:szCs w:val="28"/>
                <w:highlight w:val="none"/>
              </w:rPr>
            </w:pPr>
          </w:p>
        </w:tc>
      </w:tr>
      <w:tr w14:paraId="41B0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55" w:hRule="atLeast"/>
        </w:trPr>
        <w:tc>
          <w:tcPr>
            <w:tcW w:w="14587" w:type="dxa"/>
            <w:gridSpan w:val="13"/>
            <w:noWrap w:val="0"/>
            <w:vAlign w:val="center"/>
          </w:tcPr>
          <w:p w14:paraId="379FFFB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61" w:name="_Toc2115253117"/>
            <w:bookmarkStart w:id="162" w:name="_Toc363033362"/>
            <w:bookmarkStart w:id="163" w:name="_Toc110851488"/>
            <w:r>
              <w:rPr>
                <w:rFonts w:hint="eastAsia" w:ascii="宋体" w:hAnsi="宋体" w:eastAsia="宋体"/>
                <w:color w:val="auto"/>
                <w:sz w:val="21"/>
                <w:szCs w:val="21"/>
                <w:highlight w:val="none"/>
              </w:rPr>
              <w:t>《中华人民共和国旅游法》案由1项</w:t>
            </w:r>
            <w:bookmarkEnd w:id="161"/>
            <w:bookmarkEnd w:id="162"/>
            <w:bookmarkEnd w:id="163"/>
          </w:p>
        </w:tc>
        <w:tc>
          <w:tcPr>
            <w:tcW w:w="1869" w:type="dxa"/>
            <w:noWrap w:val="0"/>
            <w:vAlign w:val="center"/>
          </w:tcPr>
          <w:p w14:paraId="2A61902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14:paraId="4560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61" w:hRule="atLeast"/>
        </w:trPr>
        <w:tc>
          <w:tcPr>
            <w:tcW w:w="714" w:type="dxa"/>
            <w:noWrap w:val="0"/>
            <w:vAlign w:val="center"/>
          </w:tcPr>
          <w:p w14:paraId="57FF446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6F06CF6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无导游证进行导游活动</w:t>
            </w:r>
          </w:p>
        </w:tc>
        <w:tc>
          <w:tcPr>
            <w:tcW w:w="2981" w:type="dxa"/>
            <w:noWrap w:val="0"/>
            <w:vAlign w:val="center"/>
          </w:tcPr>
          <w:p w14:paraId="768BFA5C">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违反、处罚条款：第一百零二条第一款，责令改正，没收违法所得，并处1千元以上1万元以下罚款，予以公告。</w:t>
            </w:r>
          </w:p>
        </w:tc>
        <w:tc>
          <w:tcPr>
            <w:tcW w:w="851" w:type="dxa"/>
            <w:noWrap w:val="0"/>
            <w:vAlign w:val="center"/>
          </w:tcPr>
          <w:p w14:paraId="5E71EF07">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3D4B9451">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9F61F28">
            <w:pPr>
              <w:spacing w:line="22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1-3；2.存在基准2.1.3规定情形的，系数按照相关规定确定（基准2.1.3.5不适用）。</w:t>
            </w:r>
          </w:p>
        </w:tc>
        <w:tc>
          <w:tcPr>
            <w:tcW w:w="1875" w:type="dxa"/>
            <w:gridSpan w:val="2"/>
            <w:noWrap w:val="0"/>
            <w:vAlign w:val="center"/>
          </w:tcPr>
          <w:p w14:paraId="01446CCF">
            <w:pPr>
              <w:spacing w:line="220"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14:paraId="55A2DC02">
            <w:pPr>
              <w:numPr>
                <w:ilvl w:val="0"/>
                <w:numId w:val="0"/>
              </w:num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1304" w:type="dxa"/>
            <w:gridSpan w:val="2"/>
            <w:noWrap w:val="0"/>
            <w:vAlign w:val="center"/>
          </w:tcPr>
          <w:p w14:paraId="036B98C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721C76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180716C">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C4635700</w:t>
            </w:r>
          </w:p>
        </w:tc>
      </w:tr>
      <w:tr w14:paraId="5B3F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85" w:hRule="atLeast"/>
        </w:trPr>
        <w:tc>
          <w:tcPr>
            <w:tcW w:w="14587" w:type="dxa"/>
            <w:gridSpan w:val="13"/>
            <w:noWrap w:val="0"/>
            <w:vAlign w:val="center"/>
          </w:tcPr>
          <w:p w14:paraId="6B6C9716">
            <w:pPr>
              <w:pStyle w:val="2"/>
              <w:keepNext w:val="0"/>
              <w:keepLines w:val="0"/>
              <w:rPr>
                <w:rFonts w:ascii="黑体" w:hAnsi="黑体" w:eastAsia="黑体"/>
                <w:b w:val="0"/>
                <w:color w:val="auto"/>
                <w:sz w:val="36"/>
                <w:szCs w:val="36"/>
                <w:highlight w:val="none"/>
              </w:rPr>
            </w:pPr>
            <w:bookmarkStart w:id="164" w:name="_Toc160045957"/>
            <w:bookmarkStart w:id="165" w:name="_Toc8089072"/>
            <w:bookmarkStart w:id="166" w:name="_Toc110851489"/>
            <w:r>
              <w:rPr>
                <w:rFonts w:hint="eastAsia" w:ascii="黑体" w:hAnsi="黑体" w:eastAsia="黑体"/>
                <w:b w:val="0"/>
                <w:color w:val="auto"/>
                <w:sz w:val="28"/>
                <w:szCs w:val="28"/>
                <w:highlight w:val="none"/>
              </w:rPr>
              <w:t>食品安全管理方面</w:t>
            </w:r>
            <w:bookmarkEnd w:id="164"/>
            <w:bookmarkEnd w:id="165"/>
            <w:bookmarkEnd w:id="166"/>
          </w:p>
        </w:tc>
        <w:tc>
          <w:tcPr>
            <w:tcW w:w="1869" w:type="dxa"/>
            <w:noWrap w:val="0"/>
            <w:vAlign w:val="center"/>
          </w:tcPr>
          <w:p w14:paraId="34AABBBE">
            <w:pPr>
              <w:pStyle w:val="2"/>
              <w:keepNext w:val="0"/>
              <w:keepLines w:val="0"/>
              <w:rPr>
                <w:rFonts w:hint="eastAsia" w:ascii="黑体" w:hAnsi="黑体" w:eastAsia="黑体"/>
                <w:b w:val="0"/>
                <w:color w:val="auto"/>
                <w:sz w:val="28"/>
                <w:szCs w:val="28"/>
                <w:highlight w:val="none"/>
              </w:rPr>
            </w:pPr>
          </w:p>
        </w:tc>
      </w:tr>
      <w:tr w14:paraId="09075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67" w:hRule="atLeast"/>
        </w:trPr>
        <w:tc>
          <w:tcPr>
            <w:tcW w:w="14587" w:type="dxa"/>
            <w:gridSpan w:val="13"/>
            <w:noWrap w:val="0"/>
            <w:vAlign w:val="center"/>
          </w:tcPr>
          <w:p w14:paraId="7661C0B4">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67" w:name="_Toc508127422"/>
            <w:bookmarkStart w:id="168" w:name="_Toc110851490"/>
            <w:bookmarkStart w:id="169" w:name="_Toc948913247"/>
            <w:r>
              <w:rPr>
                <w:rFonts w:hint="eastAsia" w:ascii="宋体" w:hAnsi="宋体" w:eastAsia="宋体"/>
                <w:color w:val="auto"/>
                <w:sz w:val="21"/>
                <w:szCs w:val="21"/>
                <w:highlight w:val="none"/>
              </w:rPr>
              <w:t>《北京市小规模食品生产经营管理规定》案由23项</w:t>
            </w:r>
            <w:bookmarkEnd w:id="167"/>
            <w:bookmarkEnd w:id="168"/>
            <w:bookmarkEnd w:id="169"/>
          </w:p>
        </w:tc>
        <w:tc>
          <w:tcPr>
            <w:tcW w:w="1869" w:type="dxa"/>
            <w:noWrap w:val="0"/>
            <w:vAlign w:val="center"/>
          </w:tcPr>
          <w:p w14:paraId="73BDB805">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14:paraId="0FF1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03F3F7A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14:paraId="573AED9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食品摊贩以欺骗、贿赂等不正当手段取得备案</w:t>
            </w:r>
          </w:p>
        </w:tc>
        <w:tc>
          <w:tcPr>
            <w:tcW w:w="2981" w:type="dxa"/>
            <w:noWrap w:val="0"/>
            <w:vAlign w:val="center"/>
          </w:tcPr>
          <w:p w14:paraId="244D571F">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w:t>
            </w:r>
          </w:p>
          <w:p w14:paraId="3A516EE7">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处罚条款：第二十三条，对食品摊贩处2000元以上5000元以下罚款。</w:t>
            </w:r>
          </w:p>
        </w:tc>
        <w:tc>
          <w:tcPr>
            <w:tcW w:w="851" w:type="dxa"/>
            <w:noWrap w:val="0"/>
            <w:vAlign w:val="center"/>
          </w:tcPr>
          <w:p w14:paraId="38493E34">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7706E03A">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1F0C673">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1102AB92">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785DE752">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0780509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639752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72A7BCFE">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C4645200</w:t>
            </w:r>
          </w:p>
        </w:tc>
      </w:tr>
      <w:tr w14:paraId="2D6C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06" w:hRule="atLeast"/>
        </w:trPr>
        <w:tc>
          <w:tcPr>
            <w:tcW w:w="714" w:type="dxa"/>
            <w:noWrap w:val="0"/>
            <w:vAlign w:val="center"/>
          </w:tcPr>
          <w:p w14:paraId="1BCA074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14:paraId="7AFA4C1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食品摊贩超出备案载明的经营区域、经营时段从事食品生产经营活动</w:t>
            </w:r>
          </w:p>
        </w:tc>
        <w:tc>
          <w:tcPr>
            <w:tcW w:w="2981" w:type="dxa"/>
            <w:noWrap w:val="0"/>
            <w:vAlign w:val="center"/>
          </w:tcPr>
          <w:p w14:paraId="794B33E4">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违反条款：第八条第二款和《北京市市容环境卫生条例》第三十五条第一款；</w:t>
            </w:r>
          </w:p>
          <w:p w14:paraId="314A855C">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noWrap w:val="0"/>
            <w:vAlign w:val="center"/>
          </w:tcPr>
          <w:p w14:paraId="18F345D1">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324FF51E">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755E12BE">
            <w:pPr>
              <w:spacing w:line="22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1.超出</w:t>
            </w:r>
            <w:r>
              <w:rPr>
                <w:rFonts w:ascii="宋体" w:hAnsi="宋体" w:eastAsia="宋体" w:cs="宋体"/>
                <w:color w:val="auto"/>
                <w:kern w:val="0"/>
                <w:sz w:val="15"/>
                <w:szCs w:val="15"/>
                <w:highlight w:val="none"/>
              </w:rPr>
              <w:t>备案载明的经营区域或经营时段的，</w:t>
            </w:r>
            <w:r>
              <w:rPr>
                <w:rFonts w:hint="eastAsia" w:ascii="宋体" w:hAnsi="宋体" w:eastAsia="宋体" w:cs="宋体"/>
                <w:color w:val="auto"/>
                <w:kern w:val="0"/>
                <w:sz w:val="15"/>
                <w:szCs w:val="15"/>
                <w:highlight w:val="none"/>
                <w:lang w:eastAsia="zh-CN"/>
              </w:rPr>
              <w:t>系数</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；2.同时</w:t>
            </w:r>
            <w:r>
              <w:rPr>
                <w:rFonts w:ascii="宋体" w:hAnsi="宋体" w:eastAsia="宋体" w:cs="宋体"/>
                <w:color w:val="auto"/>
                <w:kern w:val="0"/>
                <w:sz w:val="15"/>
                <w:szCs w:val="15"/>
                <w:highlight w:val="none"/>
              </w:rPr>
              <w:t>超出</w:t>
            </w:r>
            <w:r>
              <w:rPr>
                <w:rFonts w:hint="eastAsia" w:ascii="宋体" w:hAnsi="宋体" w:eastAsia="宋体" w:cs="宋体"/>
                <w:color w:val="auto"/>
                <w:kern w:val="0"/>
                <w:sz w:val="15"/>
                <w:szCs w:val="15"/>
                <w:highlight w:val="none"/>
              </w:rPr>
              <w:t>备</w:t>
            </w:r>
            <w:r>
              <w:rPr>
                <w:rFonts w:ascii="宋体" w:hAnsi="宋体" w:eastAsia="宋体" w:cs="宋体"/>
                <w:color w:val="auto"/>
                <w:kern w:val="0"/>
                <w:sz w:val="15"/>
                <w:szCs w:val="15"/>
                <w:highlight w:val="none"/>
              </w:rPr>
              <w:t>案载明的经营区域</w:t>
            </w:r>
            <w:r>
              <w:rPr>
                <w:rFonts w:hint="eastAsia" w:ascii="宋体" w:hAnsi="宋体" w:eastAsia="宋体" w:cs="宋体"/>
                <w:color w:val="auto"/>
                <w:kern w:val="0"/>
                <w:sz w:val="15"/>
                <w:szCs w:val="15"/>
                <w:highlight w:val="none"/>
              </w:rPr>
              <w:t>和</w:t>
            </w:r>
            <w:r>
              <w:rPr>
                <w:rFonts w:ascii="宋体" w:hAnsi="宋体" w:eastAsia="宋体" w:cs="宋体"/>
                <w:color w:val="auto"/>
                <w:kern w:val="0"/>
                <w:sz w:val="15"/>
                <w:szCs w:val="15"/>
                <w:highlight w:val="none"/>
              </w:rPr>
              <w:t>经营时段的</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14:paraId="2C879B10">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rPr>
              <w:t>）</w:t>
            </w:r>
          </w:p>
        </w:tc>
        <w:tc>
          <w:tcPr>
            <w:tcW w:w="2020" w:type="dxa"/>
            <w:gridSpan w:val="2"/>
            <w:noWrap w:val="0"/>
            <w:vAlign w:val="center"/>
          </w:tcPr>
          <w:p w14:paraId="3B4C49E7">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4C72334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FDCEA4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4760C69D">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C4645600</w:t>
            </w:r>
          </w:p>
        </w:tc>
      </w:tr>
      <w:tr w14:paraId="39D8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vMerge w:val="restart"/>
            <w:noWrap w:val="0"/>
            <w:vAlign w:val="center"/>
          </w:tcPr>
          <w:p w14:paraId="2223B56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vMerge w:val="restart"/>
            <w:noWrap w:val="0"/>
            <w:vAlign w:val="center"/>
          </w:tcPr>
          <w:p w14:paraId="17162AA8">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食品摊贩用非食品原料生产制作食品（在食品中添加食品添加剂以外的化学物质和</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可能危害人体健康的物质、用回收食品作为原料生产加工食品）</w:t>
            </w:r>
          </w:p>
        </w:tc>
        <w:tc>
          <w:tcPr>
            <w:tcW w:w="2981" w:type="dxa"/>
            <w:vMerge w:val="restart"/>
            <w:noWrap w:val="0"/>
            <w:vAlign w:val="center"/>
          </w:tcPr>
          <w:p w14:paraId="2BD1AFB5">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违反条款：第十三条第一项；</w:t>
            </w:r>
          </w:p>
          <w:p w14:paraId="765D9AFC">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14:paraId="76A5A26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14:paraId="0A46732D">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2AEC1305">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70B1A53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2020" w:type="dxa"/>
            <w:gridSpan w:val="2"/>
            <w:noWrap w:val="0"/>
            <w:vAlign w:val="center"/>
          </w:tcPr>
          <w:p w14:paraId="1DEE907D">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14:paraId="00423BC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263E73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6445C74B">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C4645700</w:t>
            </w:r>
          </w:p>
        </w:tc>
      </w:tr>
      <w:tr w14:paraId="51F4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vMerge w:val="continue"/>
            <w:noWrap w:val="0"/>
            <w:vAlign w:val="center"/>
          </w:tcPr>
          <w:p w14:paraId="32A213D3">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53A0BBD5">
            <w:pPr>
              <w:spacing w:line="204" w:lineRule="exact"/>
              <w:rPr>
                <w:rFonts w:ascii="宋体" w:hAnsi="宋体" w:eastAsia="宋体"/>
                <w:color w:val="auto"/>
                <w:sz w:val="15"/>
                <w:szCs w:val="15"/>
                <w:highlight w:val="none"/>
              </w:rPr>
            </w:pPr>
          </w:p>
        </w:tc>
        <w:tc>
          <w:tcPr>
            <w:tcW w:w="2981" w:type="dxa"/>
            <w:vMerge w:val="continue"/>
            <w:noWrap w:val="0"/>
            <w:vAlign w:val="center"/>
          </w:tcPr>
          <w:p w14:paraId="23E9EACF">
            <w:pPr>
              <w:spacing w:line="204" w:lineRule="exact"/>
              <w:rPr>
                <w:rFonts w:ascii="宋体" w:hAnsi="宋体" w:eastAsia="宋体"/>
                <w:color w:val="auto"/>
                <w:sz w:val="15"/>
                <w:szCs w:val="15"/>
                <w:highlight w:val="none"/>
              </w:rPr>
            </w:pPr>
          </w:p>
        </w:tc>
        <w:tc>
          <w:tcPr>
            <w:tcW w:w="851" w:type="dxa"/>
            <w:noWrap w:val="0"/>
            <w:vAlign w:val="center"/>
          </w:tcPr>
          <w:p w14:paraId="1EAD033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14:paraId="56907363">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5044E873">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14:paraId="129D4B1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14:paraId="7E6951E8">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2020" w:type="dxa"/>
            <w:gridSpan w:val="2"/>
            <w:noWrap w:val="0"/>
            <w:vAlign w:val="center"/>
          </w:tcPr>
          <w:p w14:paraId="5EDCA3CE">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1304" w:type="dxa"/>
            <w:gridSpan w:val="2"/>
            <w:vMerge w:val="continue"/>
            <w:noWrap w:val="0"/>
            <w:vAlign w:val="center"/>
          </w:tcPr>
          <w:p w14:paraId="008DE6A3">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5621B5D5">
            <w:pPr>
              <w:spacing w:line="232" w:lineRule="exact"/>
              <w:jc w:val="center"/>
              <w:rPr>
                <w:rFonts w:hint="eastAsia" w:ascii="宋体" w:hAnsi="宋体" w:eastAsia="宋体" w:cs="宋体"/>
                <w:color w:val="auto"/>
                <w:kern w:val="0"/>
                <w:sz w:val="15"/>
                <w:szCs w:val="15"/>
                <w:highlight w:val="none"/>
                <w:lang w:eastAsia="zh"/>
              </w:rPr>
            </w:pPr>
          </w:p>
        </w:tc>
      </w:tr>
      <w:tr w14:paraId="2ECF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vMerge w:val="restart"/>
            <w:noWrap w:val="0"/>
            <w:vAlign w:val="center"/>
          </w:tcPr>
          <w:p w14:paraId="6549334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vMerge w:val="restart"/>
            <w:noWrap w:val="0"/>
            <w:vAlign w:val="center"/>
          </w:tcPr>
          <w:p w14:paraId="6FB527E6">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食品摊贩经营病死、毒死或者死因不明的禽、畜、兽、水产动物肉类或者生产经营其制品</w:t>
            </w:r>
          </w:p>
        </w:tc>
        <w:tc>
          <w:tcPr>
            <w:tcW w:w="2981" w:type="dxa"/>
            <w:vMerge w:val="restart"/>
            <w:noWrap w:val="0"/>
            <w:vAlign w:val="center"/>
          </w:tcPr>
          <w:p w14:paraId="6E1C36A8">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违反条款：第十三条第二项；</w:t>
            </w:r>
          </w:p>
          <w:p w14:paraId="5E9CBD1C">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14:paraId="2153153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14:paraId="0B8D55FB">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3EF26845">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336E884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2020" w:type="dxa"/>
            <w:gridSpan w:val="2"/>
            <w:noWrap w:val="0"/>
            <w:vAlign w:val="center"/>
          </w:tcPr>
          <w:p w14:paraId="7E7F549A">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14:paraId="581479A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01ADF3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061E00F4">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C4647100</w:t>
            </w:r>
          </w:p>
        </w:tc>
      </w:tr>
      <w:tr w14:paraId="6CD5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vMerge w:val="continue"/>
            <w:noWrap w:val="0"/>
            <w:vAlign w:val="center"/>
          </w:tcPr>
          <w:p w14:paraId="5F327EF1">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50153FB2">
            <w:pPr>
              <w:spacing w:line="232" w:lineRule="exact"/>
              <w:rPr>
                <w:rFonts w:ascii="宋体" w:hAnsi="宋体" w:eastAsia="宋体"/>
                <w:color w:val="auto"/>
                <w:sz w:val="15"/>
                <w:szCs w:val="15"/>
                <w:highlight w:val="none"/>
              </w:rPr>
            </w:pPr>
          </w:p>
        </w:tc>
        <w:tc>
          <w:tcPr>
            <w:tcW w:w="2981" w:type="dxa"/>
            <w:vMerge w:val="continue"/>
            <w:noWrap w:val="0"/>
            <w:vAlign w:val="center"/>
          </w:tcPr>
          <w:p w14:paraId="13C58719">
            <w:pPr>
              <w:spacing w:line="232" w:lineRule="exact"/>
              <w:rPr>
                <w:rFonts w:ascii="宋体" w:hAnsi="宋体" w:eastAsia="宋体"/>
                <w:color w:val="auto"/>
                <w:sz w:val="15"/>
                <w:szCs w:val="15"/>
                <w:highlight w:val="none"/>
              </w:rPr>
            </w:pPr>
          </w:p>
        </w:tc>
        <w:tc>
          <w:tcPr>
            <w:tcW w:w="851" w:type="dxa"/>
            <w:noWrap w:val="0"/>
            <w:vAlign w:val="center"/>
          </w:tcPr>
          <w:p w14:paraId="25B0796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14:paraId="55AF4067">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06E9B7F4">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14:paraId="454FC14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14:paraId="3ACF1BE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2020" w:type="dxa"/>
            <w:gridSpan w:val="2"/>
            <w:noWrap w:val="0"/>
            <w:vAlign w:val="center"/>
          </w:tcPr>
          <w:p w14:paraId="0CE43D9B">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1304" w:type="dxa"/>
            <w:gridSpan w:val="2"/>
            <w:vMerge w:val="continue"/>
            <w:noWrap w:val="0"/>
            <w:vAlign w:val="center"/>
          </w:tcPr>
          <w:p w14:paraId="5A950C65">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6BA230FE">
            <w:pPr>
              <w:spacing w:line="232" w:lineRule="exact"/>
              <w:jc w:val="center"/>
              <w:rPr>
                <w:rFonts w:hint="eastAsia" w:ascii="宋体" w:hAnsi="宋体" w:eastAsia="宋体" w:cs="宋体"/>
                <w:color w:val="auto"/>
                <w:kern w:val="0"/>
                <w:sz w:val="15"/>
                <w:szCs w:val="15"/>
                <w:highlight w:val="none"/>
                <w:lang w:eastAsia="zh"/>
              </w:rPr>
            </w:pPr>
          </w:p>
        </w:tc>
      </w:tr>
      <w:tr w14:paraId="78361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vMerge w:val="restart"/>
            <w:noWrap w:val="0"/>
            <w:vAlign w:val="center"/>
          </w:tcPr>
          <w:p w14:paraId="2446E85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vMerge w:val="restart"/>
            <w:noWrap w:val="0"/>
            <w:vAlign w:val="center"/>
          </w:tcPr>
          <w:p w14:paraId="40C858AC">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食品摊贩经营未按规定进行检疫或者检疫不合格的肉类（未经检验或者检验不合格的肉类制品）</w:t>
            </w:r>
          </w:p>
        </w:tc>
        <w:tc>
          <w:tcPr>
            <w:tcW w:w="2981" w:type="dxa"/>
            <w:vMerge w:val="restart"/>
            <w:noWrap w:val="0"/>
            <w:vAlign w:val="center"/>
          </w:tcPr>
          <w:p w14:paraId="51942B18">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违反条款：第十三条第三项；</w:t>
            </w:r>
          </w:p>
          <w:p w14:paraId="7C2E8CEF">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14:paraId="7B1F3D9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14:paraId="3AA24543">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6626C20B">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76084E1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2020" w:type="dxa"/>
            <w:gridSpan w:val="2"/>
            <w:noWrap w:val="0"/>
            <w:vAlign w:val="center"/>
          </w:tcPr>
          <w:p w14:paraId="6E52569D">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14:paraId="1B583B9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4932F5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20884832">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C4645400</w:t>
            </w:r>
          </w:p>
        </w:tc>
      </w:tr>
      <w:tr w14:paraId="7764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24" w:hRule="atLeast"/>
        </w:trPr>
        <w:tc>
          <w:tcPr>
            <w:tcW w:w="714" w:type="dxa"/>
            <w:vMerge w:val="continue"/>
            <w:noWrap w:val="0"/>
            <w:vAlign w:val="center"/>
          </w:tcPr>
          <w:p w14:paraId="1A56AB7E">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140F817D">
            <w:pPr>
              <w:spacing w:line="204" w:lineRule="exact"/>
              <w:rPr>
                <w:rFonts w:ascii="宋体" w:hAnsi="宋体" w:eastAsia="宋体"/>
                <w:color w:val="auto"/>
                <w:sz w:val="15"/>
                <w:szCs w:val="15"/>
                <w:highlight w:val="none"/>
              </w:rPr>
            </w:pPr>
          </w:p>
        </w:tc>
        <w:tc>
          <w:tcPr>
            <w:tcW w:w="2981" w:type="dxa"/>
            <w:vMerge w:val="continue"/>
            <w:noWrap w:val="0"/>
            <w:vAlign w:val="center"/>
          </w:tcPr>
          <w:p w14:paraId="6CED5584">
            <w:pPr>
              <w:spacing w:line="204" w:lineRule="exact"/>
              <w:rPr>
                <w:rFonts w:ascii="宋体" w:hAnsi="宋体" w:eastAsia="宋体"/>
                <w:color w:val="auto"/>
                <w:sz w:val="15"/>
                <w:szCs w:val="15"/>
                <w:highlight w:val="none"/>
              </w:rPr>
            </w:pPr>
          </w:p>
        </w:tc>
        <w:tc>
          <w:tcPr>
            <w:tcW w:w="851" w:type="dxa"/>
            <w:noWrap w:val="0"/>
            <w:vAlign w:val="center"/>
          </w:tcPr>
          <w:p w14:paraId="6209504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14:paraId="3DD24FBC">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4DF7092B">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14:paraId="63FB108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14:paraId="39711B1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2020" w:type="dxa"/>
            <w:gridSpan w:val="2"/>
            <w:noWrap w:val="0"/>
            <w:vAlign w:val="center"/>
          </w:tcPr>
          <w:p w14:paraId="3748782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1304" w:type="dxa"/>
            <w:gridSpan w:val="2"/>
            <w:vMerge w:val="continue"/>
            <w:noWrap w:val="0"/>
            <w:vAlign w:val="center"/>
          </w:tcPr>
          <w:p w14:paraId="4BAE5ADC">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1039DB99">
            <w:pPr>
              <w:spacing w:line="232" w:lineRule="exact"/>
              <w:jc w:val="center"/>
              <w:rPr>
                <w:rFonts w:hint="eastAsia" w:ascii="宋体" w:hAnsi="宋体" w:eastAsia="宋体" w:cs="宋体"/>
                <w:color w:val="auto"/>
                <w:kern w:val="0"/>
                <w:sz w:val="15"/>
                <w:szCs w:val="15"/>
                <w:highlight w:val="none"/>
                <w:lang w:eastAsia="zh"/>
              </w:rPr>
            </w:pPr>
          </w:p>
        </w:tc>
      </w:tr>
      <w:tr w14:paraId="7346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vMerge w:val="restart"/>
            <w:noWrap w:val="0"/>
            <w:vAlign w:val="center"/>
          </w:tcPr>
          <w:p w14:paraId="3E8B0F2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vMerge w:val="restart"/>
            <w:noWrap w:val="0"/>
            <w:vAlign w:val="center"/>
          </w:tcPr>
          <w:p w14:paraId="08DF9295">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食品摊贩生产经营国家为防病等特殊需要明令禁止生产经营的食品；</w:t>
            </w:r>
          </w:p>
        </w:tc>
        <w:tc>
          <w:tcPr>
            <w:tcW w:w="2981" w:type="dxa"/>
            <w:vMerge w:val="restart"/>
            <w:noWrap w:val="0"/>
            <w:vAlign w:val="center"/>
          </w:tcPr>
          <w:p w14:paraId="5800D052">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违反条款：第十三条第四项；</w:t>
            </w:r>
          </w:p>
          <w:p w14:paraId="3D437C92">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14:paraId="4941193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14:paraId="749F7212">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1E7B3AF1">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794C2A5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2020" w:type="dxa"/>
            <w:gridSpan w:val="2"/>
            <w:noWrap w:val="0"/>
            <w:vAlign w:val="center"/>
          </w:tcPr>
          <w:p w14:paraId="72836991">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2AAEE95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40D31D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03E4E32B">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C4646200</w:t>
            </w:r>
          </w:p>
        </w:tc>
      </w:tr>
      <w:tr w14:paraId="4A605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33" w:hRule="atLeast"/>
        </w:trPr>
        <w:tc>
          <w:tcPr>
            <w:tcW w:w="714" w:type="dxa"/>
            <w:vMerge w:val="continue"/>
            <w:noWrap w:val="0"/>
            <w:vAlign w:val="center"/>
          </w:tcPr>
          <w:p w14:paraId="5DB8D73D">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354D661D">
            <w:pPr>
              <w:spacing w:line="232" w:lineRule="exact"/>
              <w:rPr>
                <w:rFonts w:ascii="宋体" w:hAnsi="宋体" w:eastAsia="宋体"/>
                <w:color w:val="auto"/>
                <w:sz w:val="15"/>
                <w:szCs w:val="15"/>
                <w:highlight w:val="none"/>
              </w:rPr>
            </w:pPr>
          </w:p>
        </w:tc>
        <w:tc>
          <w:tcPr>
            <w:tcW w:w="2981" w:type="dxa"/>
            <w:vMerge w:val="continue"/>
            <w:noWrap w:val="0"/>
            <w:vAlign w:val="center"/>
          </w:tcPr>
          <w:p w14:paraId="63525D90">
            <w:pPr>
              <w:spacing w:line="232" w:lineRule="exact"/>
              <w:rPr>
                <w:rFonts w:ascii="宋体" w:hAnsi="宋体" w:eastAsia="宋体"/>
                <w:color w:val="auto"/>
                <w:sz w:val="15"/>
                <w:szCs w:val="15"/>
                <w:highlight w:val="none"/>
              </w:rPr>
            </w:pPr>
          </w:p>
        </w:tc>
        <w:tc>
          <w:tcPr>
            <w:tcW w:w="851" w:type="dxa"/>
            <w:noWrap w:val="0"/>
            <w:vAlign w:val="center"/>
          </w:tcPr>
          <w:p w14:paraId="6D0A1A1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14:paraId="1AB14B76">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6E66ADB5">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14:paraId="6576F3E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14:paraId="67EA082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2020" w:type="dxa"/>
            <w:gridSpan w:val="2"/>
            <w:noWrap w:val="0"/>
            <w:vAlign w:val="center"/>
          </w:tcPr>
          <w:p w14:paraId="52820B26">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1304" w:type="dxa"/>
            <w:gridSpan w:val="2"/>
            <w:noWrap w:val="0"/>
            <w:vAlign w:val="center"/>
          </w:tcPr>
          <w:p w14:paraId="24F42D3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ADFA23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14:paraId="7E02D2AD">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p>
        </w:tc>
      </w:tr>
      <w:tr w14:paraId="68F8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vMerge w:val="restart"/>
            <w:noWrap w:val="0"/>
            <w:vAlign w:val="center"/>
          </w:tcPr>
          <w:p w14:paraId="3E40940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vMerge w:val="restart"/>
            <w:noWrap w:val="0"/>
            <w:vAlign w:val="center"/>
          </w:tcPr>
          <w:p w14:paraId="61F11AEC">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食品摊贩违反国家规定在食品中添加药品</w:t>
            </w:r>
          </w:p>
        </w:tc>
        <w:tc>
          <w:tcPr>
            <w:tcW w:w="2981" w:type="dxa"/>
            <w:vMerge w:val="restart"/>
            <w:noWrap w:val="0"/>
            <w:vAlign w:val="center"/>
          </w:tcPr>
          <w:p w14:paraId="440BAA86">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违反条款：第十三条第五项；</w:t>
            </w:r>
          </w:p>
          <w:p w14:paraId="05D51725">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14:paraId="7EAB874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14:paraId="619D8B17">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11CE3DD2">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1DF63CD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2020" w:type="dxa"/>
            <w:gridSpan w:val="2"/>
            <w:noWrap w:val="0"/>
            <w:vAlign w:val="center"/>
          </w:tcPr>
          <w:p w14:paraId="2A9524F2">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14:paraId="7A7054F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FDD036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14:paraId="7E821F24">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C4646600</w:t>
            </w:r>
          </w:p>
        </w:tc>
      </w:tr>
      <w:tr w14:paraId="78F4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51" w:hRule="atLeast"/>
        </w:trPr>
        <w:tc>
          <w:tcPr>
            <w:tcW w:w="714" w:type="dxa"/>
            <w:vMerge w:val="continue"/>
            <w:noWrap w:val="0"/>
            <w:vAlign w:val="center"/>
          </w:tcPr>
          <w:p w14:paraId="3078CA8D">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073D0F43">
            <w:pPr>
              <w:spacing w:line="220" w:lineRule="exact"/>
              <w:rPr>
                <w:rFonts w:ascii="宋体" w:hAnsi="宋体" w:eastAsia="宋体"/>
                <w:color w:val="auto"/>
                <w:sz w:val="15"/>
                <w:szCs w:val="15"/>
                <w:highlight w:val="none"/>
              </w:rPr>
            </w:pPr>
          </w:p>
        </w:tc>
        <w:tc>
          <w:tcPr>
            <w:tcW w:w="2981" w:type="dxa"/>
            <w:vMerge w:val="continue"/>
            <w:noWrap w:val="0"/>
            <w:vAlign w:val="center"/>
          </w:tcPr>
          <w:p w14:paraId="7A01DFFC">
            <w:pPr>
              <w:spacing w:line="220" w:lineRule="exact"/>
              <w:rPr>
                <w:rFonts w:ascii="宋体" w:hAnsi="宋体" w:eastAsia="宋体"/>
                <w:color w:val="auto"/>
                <w:sz w:val="15"/>
                <w:szCs w:val="15"/>
                <w:highlight w:val="none"/>
              </w:rPr>
            </w:pPr>
          </w:p>
        </w:tc>
        <w:tc>
          <w:tcPr>
            <w:tcW w:w="851" w:type="dxa"/>
            <w:noWrap w:val="0"/>
            <w:vAlign w:val="center"/>
          </w:tcPr>
          <w:p w14:paraId="17F57E8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14:paraId="3AC2D0DD">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1889A31B">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14:paraId="4FF647F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14:paraId="70C3503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2020" w:type="dxa"/>
            <w:gridSpan w:val="2"/>
            <w:noWrap w:val="0"/>
            <w:vAlign w:val="center"/>
          </w:tcPr>
          <w:p w14:paraId="2385A6E3">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1304" w:type="dxa"/>
            <w:gridSpan w:val="2"/>
            <w:vMerge w:val="continue"/>
            <w:noWrap w:val="0"/>
            <w:vAlign w:val="center"/>
          </w:tcPr>
          <w:p w14:paraId="1953BE9D">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14:paraId="468D8B1B">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14:paraId="6B98D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7F4190D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14:paraId="2B98A669">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食品摊贩生产制作致病性微生物，农药残留、兽药残留、生物毒素、重金属等污染物质以及</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危害人体健康的物质含量超过食品安全标准限量的食品</w:t>
            </w:r>
          </w:p>
        </w:tc>
        <w:tc>
          <w:tcPr>
            <w:tcW w:w="2981" w:type="dxa"/>
            <w:noWrap w:val="0"/>
            <w:vAlign w:val="center"/>
          </w:tcPr>
          <w:p w14:paraId="75FD374E">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违反条款：第十三条第六项；</w:t>
            </w:r>
          </w:p>
          <w:p w14:paraId="6697903A">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14:paraId="6BDDAA55">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25AF1A31">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388617DB">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7ACBA3B0">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390A5A46">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378A094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5F60D6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19FC5C39">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C4646700</w:t>
            </w:r>
          </w:p>
        </w:tc>
      </w:tr>
      <w:tr w14:paraId="4EA6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64" w:hRule="atLeast"/>
        </w:trPr>
        <w:tc>
          <w:tcPr>
            <w:tcW w:w="714" w:type="dxa"/>
            <w:noWrap w:val="0"/>
            <w:vAlign w:val="center"/>
          </w:tcPr>
          <w:p w14:paraId="6E05994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14:paraId="23DFEAE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食品摊贩超范围、超限量使用食品添加剂生产制作食品（用超过保质期的食品原料、食品添加剂生产制作食品）</w:t>
            </w:r>
          </w:p>
        </w:tc>
        <w:tc>
          <w:tcPr>
            <w:tcW w:w="2981" w:type="dxa"/>
            <w:noWrap w:val="0"/>
            <w:vAlign w:val="center"/>
          </w:tcPr>
          <w:p w14:paraId="11B88BE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违反条款：第十三条第七项；</w:t>
            </w:r>
          </w:p>
          <w:p w14:paraId="406595F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14:paraId="43A9DD31">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60A3EB16">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4253C85C">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7F8E1804">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3AC876E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10CA873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8305B1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6102883">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C4646000</w:t>
            </w:r>
          </w:p>
        </w:tc>
      </w:tr>
      <w:tr w14:paraId="0135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01" w:hRule="atLeast"/>
        </w:trPr>
        <w:tc>
          <w:tcPr>
            <w:tcW w:w="714" w:type="dxa"/>
            <w:noWrap w:val="0"/>
            <w:vAlign w:val="center"/>
          </w:tcPr>
          <w:p w14:paraId="2FC0B89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14:paraId="3852666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食品摊贩生产经营腐败变质、油脂酸败、霉变生虫、污秽不洁、混有异物、掺假掺杂或者感官性状异常的食品</w:t>
            </w:r>
          </w:p>
        </w:tc>
        <w:tc>
          <w:tcPr>
            <w:tcW w:w="2981" w:type="dxa"/>
            <w:noWrap w:val="0"/>
            <w:vAlign w:val="center"/>
          </w:tcPr>
          <w:p w14:paraId="21B370C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违反条款：第十三条第八项；</w:t>
            </w:r>
          </w:p>
          <w:p w14:paraId="031A43B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14:paraId="243E9A81">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5816B267">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0EBCCD78">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44198A22">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0114FCA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664F576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5F8F81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1E1205EC">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C4646400</w:t>
            </w:r>
          </w:p>
        </w:tc>
      </w:tr>
      <w:tr w14:paraId="5716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47" w:hRule="atLeast"/>
        </w:trPr>
        <w:tc>
          <w:tcPr>
            <w:tcW w:w="714" w:type="dxa"/>
            <w:noWrap w:val="0"/>
            <w:vAlign w:val="center"/>
          </w:tcPr>
          <w:p w14:paraId="5C8C441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14:paraId="091377E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食品摊贩标注虚假生产日期、保质期（销售超过保质期的食品）</w:t>
            </w:r>
          </w:p>
        </w:tc>
        <w:tc>
          <w:tcPr>
            <w:tcW w:w="2981" w:type="dxa"/>
            <w:noWrap w:val="0"/>
            <w:vAlign w:val="center"/>
          </w:tcPr>
          <w:p w14:paraId="1A6588E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违反条款：第十三条第九项；</w:t>
            </w:r>
          </w:p>
          <w:p w14:paraId="3195EFB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14:paraId="44D53D53">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5F0AE548">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3B842C60">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789D8D53">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678B329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6C0B516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3854A78">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BF00840">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C4646100</w:t>
            </w:r>
          </w:p>
        </w:tc>
      </w:tr>
      <w:tr w14:paraId="66B3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30" w:hRule="atLeast"/>
        </w:trPr>
        <w:tc>
          <w:tcPr>
            <w:tcW w:w="714" w:type="dxa"/>
            <w:noWrap w:val="0"/>
            <w:vAlign w:val="center"/>
          </w:tcPr>
          <w:p w14:paraId="0F39A2E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14:paraId="0086BF8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食品摊贩生产制作</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不符合食品安全标准的食品</w:t>
            </w:r>
          </w:p>
        </w:tc>
        <w:tc>
          <w:tcPr>
            <w:tcW w:w="2981" w:type="dxa"/>
            <w:noWrap w:val="0"/>
            <w:vAlign w:val="center"/>
          </w:tcPr>
          <w:p w14:paraId="4F7CBD8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违反条款：第十三条第十项；</w:t>
            </w:r>
          </w:p>
          <w:p w14:paraId="4A31549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14:paraId="6EBB23EF">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46BE1273">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14:paraId="4D378CBA">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29C84A93">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14:paraId="4F86010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3921535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D4D875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090D77C">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C4646800</w:t>
            </w:r>
          </w:p>
        </w:tc>
      </w:tr>
      <w:tr w14:paraId="0D26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800" w:hRule="atLeast"/>
        </w:trPr>
        <w:tc>
          <w:tcPr>
            <w:tcW w:w="714" w:type="dxa"/>
            <w:noWrap w:val="0"/>
            <w:vAlign w:val="center"/>
          </w:tcPr>
          <w:p w14:paraId="50620AC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14:paraId="18A35D3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981" w:type="dxa"/>
            <w:noWrap w:val="0"/>
            <w:vAlign w:val="center"/>
          </w:tcPr>
          <w:p w14:paraId="0E89A6C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违反条款：第二十条第二项；</w:t>
            </w:r>
          </w:p>
          <w:p w14:paraId="06CF8DD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14:paraId="6A1C344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4CC5D69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3F432A7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1.经营</w:t>
            </w:r>
            <w:r>
              <w:rPr>
                <w:rFonts w:ascii="宋体" w:hAnsi="宋体" w:eastAsia="宋体" w:cs="宋体"/>
                <w:color w:val="auto"/>
                <w:kern w:val="0"/>
                <w:sz w:val="15"/>
                <w:szCs w:val="15"/>
                <w:highlight w:val="none"/>
              </w:rPr>
              <w:t>冷荤</w:t>
            </w:r>
            <w:r>
              <w:rPr>
                <w:rFonts w:hint="eastAsia" w:ascii="宋体" w:hAnsi="宋体" w:eastAsia="宋体" w:cs="宋体"/>
                <w:color w:val="auto"/>
                <w:kern w:val="0"/>
                <w:sz w:val="15"/>
                <w:szCs w:val="15"/>
                <w:highlight w:val="none"/>
              </w:rPr>
              <w:t>凉菜</w:t>
            </w:r>
            <w:r>
              <w:rPr>
                <w:rFonts w:ascii="宋体" w:hAnsi="宋体" w:eastAsia="宋体" w:cs="宋体"/>
                <w:color w:val="auto"/>
                <w:kern w:val="0"/>
                <w:sz w:val="15"/>
                <w:szCs w:val="15"/>
                <w:highlight w:val="none"/>
              </w:rPr>
              <w:t>、</w:t>
            </w:r>
            <w:r>
              <w:rPr>
                <w:rFonts w:hint="eastAsia" w:ascii="宋体" w:hAnsi="宋体" w:eastAsia="宋体"/>
                <w:color w:val="auto"/>
                <w:sz w:val="15"/>
                <w:szCs w:val="15"/>
                <w:highlight w:val="none"/>
              </w:rPr>
              <w:t>生食水产品、裱花蛋糕、散装熟食、散装酒的</w:t>
            </w:r>
            <w:r>
              <w:rPr>
                <w:rFonts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0.5；</w:t>
            </w:r>
            <w:r>
              <w:rPr>
                <w:rFonts w:ascii="宋体" w:hAnsi="宋体" w:eastAsia="宋体"/>
                <w:color w:val="auto"/>
                <w:sz w:val="15"/>
                <w:szCs w:val="15"/>
                <w:highlight w:val="none"/>
              </w:rPr>
              <w:t>2.</w:t>
            </w:r>
            <w:r>
              <w:rPr>
                <w:rFonts w:hint="eastAsia" w:ascii="宋体" w:hAnsi="宋体" w:eastAsia="宋体"/>
                <w:color w:val="auto"/>
                <w:sz w:val="15"/>
                <w:szCs w:val="15"/>
                <w:highlight w:val="none"/>
              </w:rPr>
              <w:t>经营保健食品、婴幼儿配方食品和特殊医学用途配方食品等特殊食品的</w:t>
            </w:r>
            <w:r>
              <w:rPr>
                <w:rFonts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1；3.经营</w:t>
            </w:r>
            <w:r>
              <w:rPr>
                <w:rFonts w:ascii="宋体" w:hAnsi="宋体" w:eastAsia="宋体"/>
                <w:color w:val="auto"/>
                <w:sz w:val="15"/>
                <w:szCs w:val="15"/>
                <w:highlight w:val="none"/>
              </w:rPr>
              <w:t>区人民政府确定的不得经营的类别的，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4AA0F38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＝5000×（1+</w:t>
            </w:r>
            <w:r>
              <w:rPr>
                <w:rFonts w:hint="eastAsia" w:ascii="宋体" w:hAnsi="宋体" w:eastAsia="宋体" w:cs="宋体"/>
                <w:color w:val="auto"/>
                <w:kern w:val="0"/>
                <w:sz w:val="15"/>
                <w:szCs w:val="15"/>
                <w:highlight w:val="none"/>
                <w:lang w:eastAsia="zh-CN"/>
              </w:rPr>
              <w:t>情节</w:t>
            </w:r>
            <w:r>
              <w:rPr>
                <w:rFonts w:ascii="宋体" w:hAnsi="宋体" w:eastAsia="宋体" w:cs="宋体"/>
                <w:color w:val="auto"/>
                <w:kern w:val="0"/>
                <w:sz w:val="15"/>
                <w:szCs w:val="15"/>
                <w:highlight w:val="none"/>
              </w:rPr>
              <w:t>系数）</w:t>
            </w:r>
          </w:p>
        </w:tc>
        <w:tc>
          <w:tcPr>
            <w:tcW w:w="2020" w:type="dxa"/>
            <w:gridSpan w:val="2"/>
            <w:noWrap w:val="0"/>
            <w:vAlign w:val="center"/>
          </w:tcPr>
          <w:p w14:paraId="53E0A26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14:paraId="2E47449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75A8EF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DD11A39">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C4646500</w:t>
            </w:r>
          </w:p>
        </w:tc>
      </w:tr>
      <w:tr w14:paraId="3BDD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18110A8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14:paraId="4118406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食品摊贩生产经营被包装材料、容器、运输工具等污染的食品</w:t>
            </w:r>
          </w:p>
        </w:tc>
        <w:tc>
          <w:tcPr>
            <w:tcW w:w="2981" w:type="dxa"/>
            <w:noWrap w:val="0"/>
            <w:vAlign w:val="center"/>
          </w:tcPr>
          <w:p w14:paraId="376D5A4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违反条款：第十三条第十二项；</w:t>
            </w:r>
          </w:p>
          <w:p w14:paraId="6CC3D9A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noWrap w:val="0"/>
            <w:vAlign w:val="center"/>
          </w:tcPr>
          <w:p w14:paraId="1566744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587C8F3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F4CE61A">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4571A22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14:paraId="123B284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14:paraId="1E43B1E8">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14:paraId="1669003E">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14:paraId="46B4457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1304" w:type="dxa"/>
            <w:gridSpan w:val="2"/>
            <w:noWrap w:val="0"/>
            <w:vAlign w:val="center"/>
          </w:tcPr>
          <w:p w14:paraId="16264EB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69393B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3C09831">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C4647200</w:t>
            </w:r>
          </w:p>
        </w:tc>
      </w:tr>
      <w:tr w14:paraId="0EE5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076" w:hRule="atLeast"/>
        </w:trPr>
        <w:tc>
          <w:tcPr>
            <w:tcW w:w="714" w:type="dxa"/>
            <w:noWrap w:val="0"/>
            <w:vAlign w:val="center"/>
          </w:tcPr>
          <w:p w14:paraId="73FD1AE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6" w:type="dxa"/>
            <w:gridSpan w:val="2"/>
            <w:noWrap w:val="0"/>
            <w:vAlign w:val="center"/>
          </w:tcPr>
          <w:p w14:paraId="19AABA5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食品摊贩采购、销售第十三条第一项、第五项至第七项、第十项规定情形的食品（使用第十三条第一项、第五项至第七项、第十项食品作为食品原料）</w:t>
            </w:r>
          </w:p>
        </w:tc>
        <w:tc>
          <w:tcPr>
            <w:tcW w:w="2981" w:type="dxa"/>
            <w:noWrap w:val="0"/>
            <w:vAlign w:val="center"/>
          </w:tcPr>
          <w:p w14:paraId="5F355DF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违反条款：第十三条第十三项；</w:t>
            </w:r>
          </w:p>
          <w:p w14:paraId="0B4056E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noWrap w:val="0"/>
            <w:vAlign w:val="center"/>
          </w:tcPr>
          <w:p w14:paraId="7048A1F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6661682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505FE987">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22D9B57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14:paraId="7107250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14:paraId="7CF88781">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14:paraId="15A5E5DF">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14:paraId="1CA8092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1304" w:type="dxa"/>
            <w:gridSpan w:val="2"/>
            <w:noWrap w:val="0"/>
            <w:vAlign w:val="center"/>
          </w:tcPr>
          <w:p w14:paraId="1529F18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5AE4CA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248458F5">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C4645100</w:t>
            </w:r>
          </w:p>
        </w:tc>
      </w:tr>
      <w:tr w14:paraId="5208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231" w:hRule="atLeast"/>
        </w:trPr>
        <w:tc>
          <w:tcPr>
            <w:tcW w:w="714" w:type="dxa"/>
            <w:noWrap w:val="0"/>
            <w:vAlign w:val="center"/>
          </w:tcPr>
          <w:p w14:paraId="0ADE462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noWrap w:val="0"/>
            <w:vAlign w:val="center"/>
          </w:tcPr>
          <w:p w14:paraId="0A4D907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食品摊贩购进、存放、使用亚硝酸盐等易滥用的食品添加剂</w:t>
            </w:r>
          </w:p>
        </w:tc>
        <w:tc>
          <w:tcPr>
            <w:tcW w:w="2981" w:type="dxa"/>
            <w:noWrap w:val="0"/>
            <w:vAlign w:val="center"/>
          </w:tcPr>
          <w:p w14:paraId="0CE582B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违反条款：第十六条第二款；</w:t>
            </w:r>
          </w:p>
          <w:p w14:paraId="4DF01AB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noWrap w:val="0"/>
            <w:vAlign w:val="center"/>
          </w:tcPr>
          <w:p w14:paraId="67FE4F0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7E04FC2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88C98F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7638078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14:paraId="4BF221C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14:paraId="1ED59B01">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14:paraId="5FD5B615">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14:paraId="1A226D3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1304" w:type="dxa"/>
            <w:gridSpan w:val="2"/>
            <w:noWrap w:val="0"/>
            <w:vAlign w:val="center"/>
          </w:tcPr>
          <w:p w14:paraId="24CF617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B93666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8776C5C">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C4645500</w:t>
            </w:r>
          </w:p>
        </w:tc>
      </w:tr>
      <w:tr w14:paraId="3662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164" w:hRule="atLeast"/>
        </w:trPr>
        <w:tc>
          <w:tcPr>
            <w:tcW w:w="714" w:type="dxa"/>
            <w:noWrap w:val="0"/>
            <w:vAlign w:val="center"/>
          </w:tcPr>
          <w:p w14:paraId="1008AD6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6" w:type="dxa"/>
            <w:gridSpan w:val="2"/>
            <w:noWrap w:val="0"/>
            <w:vAlign w:val="center"/>
          </w:tcPr>
          <w:p w14:paraId="16CDBABE">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食品摊贩生产经营无标签的预包装食品（标签不符合法律、法规规定的食品）</w:t>
            </w:r>
          </w:p>
        </w:tc>
        <w:tc>
          <w:tcPr>
            <w:tcW w:w="2981" w:type="dxa"/>
            <w:noWrap w:val="0"/>
            <w:vAlign w:val="center"/>
          </w:tcPr>
          <w:p w14:paraId="51155271">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违反条款：第十三条第十四项；</w:t>
            </w:r>
          </w:p>
          <w:p w14:paraId="62E137B7">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14:paraId="4E4CFB51">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263CD6E7">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7656259">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1.无</w:t>
            </w:r>
            <w:r>
              <w:rPr>
                <w:rFonts w:ascii="宋体" w:hAnsi="宋体" w:eastAsia="宋体" w:cs="宋体"/>
                <w:color w:val="auto"/>
                <w:kern w:val="0"/>
                <w:sz w:val="15"/>
                <w:szCs w:val="15"/>
                <w:highlight w:val="none"/>
              </w:rPr>
              <w:t>标签的预包装食品，</w:t>
            </w:r>
            <w:r>
              <w:rPr>
                <w:rFonts w:hint="eastAsia" w:ascii="宋体" w:hAnsi="宋体" w:eastAsia="宋体" w:cs="宋体"/>
                <w:color w:val="auto"/>
                <w:kern w:val="0"/>
                <w:sz w:val="15"/>
                <w:szCs w:val="15"/>
                <w:highlight w:val="none"/>
                <w:lang w:eastAsia="zh-CN"/>
              </w:rPr>
              <w:t>系数</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；2.标签</w:t>
            </w:r>
            <w:r>
              <w:rPr>
                <w:rFonts w:ascii="宋体" w:hAnsi="宋体" w:eastAsia="宋体" w:cs="宋体"/>
                <w:color w:val="auto"/>
                <w:kern w:val="0"/>
                <w:sz w:val="15"/>
                <w:szCs w:val="15"/>
                <w:highlight w:val="none"/>
              </w:rPr>
              <w:t>不符合法律、法规规定的食品，</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14:paraId="1AEF2B80">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14:paraId="141A63F7">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14:paraId="49BFDAD3">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14:paraId="1A6C2DF0">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14:paraId="6EAB922D">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1304" w:type="dxa"/>
            <w:gridSpan w:val="2"/>
            <w:noWrap w:val="0"/>
            <w:vAlign w:val="center"/>
          </w:tcPr>
          <w:p w14:paraId="49F54E9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24BC65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F56AA43">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C4646300</w:t>
            </w:r>
          </w:p>
        </w:tc>
      </w:tr>
      <w:tr w14:paraId="6AA7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209" w:hRule="atLeast"/>
        </w:trPr>
        <w:tc>
          <w:tcPr>
            <w:tcW w:w="714" w:type="dxa"/>
            <w:noWrap w:val="0"/>
            <w:vAlign w:val="center"/>
          </w:tcPr>
          <w:p w14:paraId="3E7D145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6" w:type="dxa"/>
            <w:gridSpan w:val="2"/>
            <w:noWrap w:val="0"/>
            <w:vAlign w:val="center"/>
          </w:tcPr>
          <w:p w14:paraId="380D4CC6">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食品摊贩在生产经营条件发生变化，不再符合法律、法规规定要求的情况下继续生产经营</w:t>
            </w:r>
          </w:p>
        </w:tc>
        <w:tc>
          <w:tcPr>
            <w:tcW w:w="2981" w:type="dxa"/>
            <w:noWrap w:val="0"/>
            <w:vAlign w:val="center"/>
          </w:tcPr>
          <w:p w14:paraId="0A832212">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违反条款：第十三条第十五项；</w:t>
            </w:r>
          </w:p>
          <w:p w14:paraId="5431FFB5">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14:paraId="008A49E0">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710CCD5D">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09690FD3">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13517527">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14:paraId="34C30D99">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14:paraId="44D546BC">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14:paraId="5749DAF4">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14:paraId="66EABD24">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1304" w:type="dxa"/>
            <w:gridSpan w:val="2"/>
            <w:noWrap w:val="0"/>
            <w:vAlign w:val="center"/>
          </w:tcPr>
          <w:p w14:paraId="6D166C4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EC0287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03EF667">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C4645800</w:t>
            </w:r>
          </w:p>
        </w:tc>
      </w:tr>
      <w:tr w14:paraId="182A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14:paraId="2C79DFB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626" w:type="dxa"/>
            <w:gridSpan w:val="2"/>
            <w:noWrap w:val="0"/>
            <w:vAlign w:val="center"/>
          </w:tcPr>
          <w:p w14:paraId="3282FDF5">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食品摊贩安排未取得健康证明或者患有国务院卫生健康行政部门规定的有碍食品安全疾病的人员从事接触直接入口食品的工作</w:t>
            </w:r>
          </w:p>
        </w:tc>
        <w:tc>
          <w:tcPr>
            <w:tcW w:w="2981" w:type="dxa"/>
            <w:noWrap w:val="0"/>
            <w:vAlign w:val="center"/>
          </w:tcPr>
          <w:p w14:paraId="59E64DFD">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违反条款：第十三条第十六项；</w:t>
            </w:r>
          </w:p>
          <w:p w14:paraId="5A20F161">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14:paraId="04EB7E86">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31764CEB">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1F99CFD">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596C3350">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14:paraId="7F272851">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14:paraId="5F9B8AEE">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14:paraId="61F4ED38">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14:paraId="544BBC18">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1304" w:type="dxa"/>
            <w:gridSpan w:val="2"/>
            <w:noWrap w:val="0"/>
            <w:vAlign w:val="center"/>
          </w:tcPr>
          <w:p w14:paraId="7562A20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F58E65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6134787">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C4645300</w:t>
            </w:r>
          </w:p>
        </w:tc>
      </w:tr>
      <w:tr w14:paraId="1EF87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171" w:hRule="atLeast"/>
        </w:trPr>
        <w:tc>
          <w:tcPr>
            <w:tcW w:w="714" w:type="dxa"/>
            <w:noWrap w:val="0"/>
            <w:vAlign w:val="center"/>
          </w:tcPr>
          <w:p w14:paraId="2E9C97E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626" w:type="dxa"/>
            <w:gridSpan w:val="2"/>
            <w:noWrap w:val="0"/>
            <w:vAlign w:val="center"/>
          </w:tcPr>
          <w:p w14:paraId="6054013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食品摊贩采购食品、食品原料、食品添加剂、食品相关产品时查验、记录不规范</w:t>
            </w:r>
          </w:p>
        </w:tc>
        <w:tc>
          <w:tcPr>
            <w:tcW w:w="2981" w:type="dxa"/>
            <w:noWrap w:val="0"/>
            <w:vAlign w:val="center"/>
          </w:tcPr>
          <w:p w14:paraId="3DFC33F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违反条款：第十五条；</w:t>
            </w:r>
          </w:p>
          <w:p w14:paraId="4CA65E1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14:paraId="5D51388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28A8FD1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6670E96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5AE11C3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14:paraId="0CDC499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14:paraId="3925884E">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14:paraId="0AB7B526">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14:paraId="44BF194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1304" w:type="dxa"/>
            <w:gridSpan w:val="2"/>
            <w:noWrap w:val="0"/>
            <w:vAlign w:val="center"/>
          </w:tcPr>
          <w:p w14:paraId="5A0BB72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F22595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62AEECFE">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C4646900</w:t>
            </w:r>
          </w:p>
        </w:tc>
      </w:tr>
      <w:tr w14:paraId="4678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255" w:hRule="atLeast"/>
        </w:trPr>
        <w:tc>
          <w:tcPr>
            <w:tcW w:w="714" w:type="dxa"/>
            <w:noWrap w:val="0"/>
            <w:vAlign w:val="center"/>
          </w:tcPr>
          <w:p w14:paraId="788CE7C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626" w:type="dxa"/>
            <w:gridSpan w:val="2"/>
            <w:noWrap w:val="0"/>
            <w:vAlign w:val="center"/>
          </w:tcPr>
          <w:p w14:paraId="04827FC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食品摊贩未对食品添加剂实行专区(柜)存放或没有专用的称量器具</w:t>
            </w:r>
          </w:p>
        </w:tc>
        <w:tc>
          <w:tcPr>
            <w:tcW w:w="2981" w:type="dxa"/>
            <w:noWrap w:val="0"/>
            <w:vAlign w:val="center"/>
          </w:tcPr>
          <w:p w14:paraId="781979C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违反条款：第十六条第一款；</w:t>
            </w:r>
          </w:p>
          <w:p w14:paraId="238E80A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14:paraId="12CAA0C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18F97E0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736431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4F57BB9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14:paraId="7990645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14:paraId="735FC5C2">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14:paraId="34744C1C">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14:paraId="2102867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1304" w:type="dxa"/>
            <w:gridSpan w:val="2"/>
            <w:noWrap w:val="0"/>
            <w:vAlign w:val="center"/>
          </w:tcPr>
          <w:p w14:paraId="21BE0A9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7CA621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32FC085B">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C4645000</w:t>
            </w:r>
          </w:p>
        </w:tc>
      </w:tr>
      <w:tr w14:paraId="67FF5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00" w:hRule="atLeast"/>
        </w:trPr>
        <w:tc>
          <w:tcPr>
            <w:tcW w:w="714" w:type="dxa"/>
            <w:noWrap w:val="0"/>
            <w:vAlign w:val="center"/>
          </w:tcPr>
          <w:p w14:paraId="11668DB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626" w:type="dxa"/>
            <w:gridSpan w:val="2"/>
            <w:noWrap w:val="0"/>
            <w:vAlign w:val="center"/>
          </w:tcPr>
          <w:p w14:paraId="45FAE06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食品摊贩未在生产经营场所显著位置公示备案证明、从业人员健康证明</w:t>
            </w:r>
          </w:p>
        </w:tc>
        <w:tc>
          <w:tcPr>
            <w:tcW w:w="2981" w:type="dxa"/>
            <w:noWrap w:val="0"/>
            <w:vAlign w:val="center"/>
          </w:tcPr>
          <w:p w14:paraId="27F0E10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w:t>
            </w:r>
          </w:p>
          <w:p w14:paraId="61805EB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处罚条款：第二十九条，责令限期改正；逾期拒不改正的，对食品摊贩处200元以上500元以下罚款。</w:t>
            </w:r>
          </w:p>
        </w:tc>
        <w:tc>
          <w:tcPr>
            <w:tcW w:w="851" w:type="dxa"/>
            <w:noWrap w:val="0"/>
            <w:vAlign w:val="center"/>
          </w:tcPr>
          <w:p w14:paraId="7963FCB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092F61E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19F9D6A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3C1BA34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14:paraId="2D3BB767">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2A4C86B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E1F5D0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6151F28">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C4647000</w:t>
            </w:r>
          </w:p>
        </w:tc>
      </w:tr>
      <w:tr w14:paraId="08F7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95" w:hRule="atLeast"/>
        </w:trPr>
        <w:tc>
          <w:tcPr>
            <w:tcW w:w="714" w:type="dxa"/>
            <w:noWrap w:val="0"/>
            <w:vAlign w:val="center"/>
          </w:tcPr>
          <w:p w14:paraId="7F38037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626" w:type="dxa"/>
            <w:gridSpan w:val="2"/>
            <w:noWrap w:val="0"/>
            <w:vAlign w:val="center"/>
          </w:tcPr>
          <w:p w14:paraId="4C3C639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食品摊贩使用食品添加剂的记录、公示不规范</w:t>
            </w:r>
          </w:p>
        </w:tc>
        <w:tc>
          <w:tcPr>
            <w:tcW w:w="2981" w:type="dxa"/>
            <w:noWrap w:val="0"/>
            <w:vAlign w:val="center"/>
          </w:tcPr>
          <w:p w14:paraId="4E382A1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违反条款：第二十条第一项；</w:t>
            </w:r>
          </w:p>
          <w:p w14:paraId="523C28D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处罚条款：第二十九条，责令限期改正；逾期拒不改正的，对食品摊贩处200元以上500元以下罚款。</w:t>
            </w:r>
          </w:p>
        </w:tc>
        <w:tc>
          <w:tcPr>
            <w:tcW w:w="851" w:type="dxa"/>
            <w:noWrap w:val="0"/>
            <w:vAlign w:val="center"/>
          </w:tcPr>
          <w:p w14:paraId="069888D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2990727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14:paraId="431DA8F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649257A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14:paraId="78B84429">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14:paraId="7CA08AE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876F9B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14:paraId="583038F2">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C4645900</w:t>
            </w:r>
          </w:p>
        </w:tc>
      </w:tr>
      <w:tr w14:paraId="3C5DE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Pr>
        <w:tc>
          <w:tcPr>
            <w:tcW w:w="14587" w:type="dxa"/>
            <w:gridSpan w:val="13"/>
            <w:shd w:val="clear" w:color="auto" w:fill="auto"/>
            <w:noWrap w:val="0"/>
            <w:vAlign w:val="center"/>
          </w:tcPr>
          <w:p w14:paraId="2D845880">
            <w:pPr>
              <w:pStyle w:val="2"/>
              <w:keepNext w:val="0"/>
              <w:keepLines w:val="0"/>
              <w:rPr>
                <w:rFonts w:ascii="黑体" w:hAnsi="黑体" w:eastAsia="黑体"/>
                <w:b w:val="0"/>
                <w:color w:val="auto"/>
                <w:sz w:val="24"/>
                <w:szCs w:val="24"/>
                <w:highlight w:val="none"/>
              </w:rPr>
            </w:pPr>
            <w:bookmarkStart w:id="170" w:name="_Toc41635676"/>
            <w:bookmarkStart w:id="171" w:name="_Toc110851491"/>
            <w:bookmarkStart w:id="172" w:name="_Toc1426247582"/>
            <w:r>
              <w:rPr>
                <w:rFonts w:hint="eastAsia" w:ascii="黑体" w:hAnsi="黑体" w:eastAsia="黑体"/>
                <w:b w:val="0"/>
                <w:color w:val="auto"/>
                <w:sz w:val="28"/>
                <w:szCs w:val="28"/>
                <w:highlight w:val="none"/>
              </w:rPr>
              <w:t>能源运行管理方面</w:t>
            </w:r>
            <w:bookmarkEnd w:id="170"/>
            <w:bookmarkEnd w:id="171"/>
            <w:bookmarkEnd w:id="172"/>
          </w:p>
        </w:tc>
        <w:tc>
          <w:tcPr>
            <w:tcW w:w="1869" w:type="dxa"/>
            <w:shd w:val="clear" w:color="auto" w:fill="auto"/>
            <w:noWrap w:val="0"/>
            <w:vAlign w:val="center"/>
          </w:tcPr>
          <w:p w14:paraId="52DEDF81">
            <w:pPr>
              <w:pStyle w:val="2"/>
              <w:keepNext w:val="0"/>
              <w:keepLines w:val="0"/>
              <w:rPr>
                <w:rFonts w:hint="eastAsia" w:ascii="黑体" w:hAnsi="黑体" w:eastAsia="黑体"/>
                <w:b w:val="0"/>
                <w:color w:val="auto"/>
                <w:sz w:val="28"/>
                <w:szCs w:val="28"/>
                <w:highlight w:val="none"/>
              </w:rPr>
            </w:pPr>
          </w:p>
        </w:tc>
      </w:tr>
      <w:tr w14:paraId="3936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390" w:hRule="atLeast"/>
        </w:trPr>
        <w:tc>
          <w:tcPr>
            <w:tcW w:w="14587" w:type="dxa"/>
            <w:gridSpan w:val="13"/>
            <w:shd w:val="clear" w:color="auto" w:fill="auto"/>
            <w:noWrap w:val="0"/>
            <w:vAlign w:val="center"/>
          </w:tcPr>
          <w:p w14:paraId="3DA3B0F4">
            <w:pPr>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b/>
                <w:color w:val="auto"/>
                <w:kern w:val="0"/>
                <w:sz w:val="21"/>
                <w:szCs w:val="21"/>
                <w:highlight w:val="none"/>
              </w:rPr>
            </w:pPr>
            <w:r>
              <w:rPr>
                <w:rFonts w:hint="eastAsia" w:ascii="宋体" w:hAnsi="宋体" w:eastAsia="宋体"/>
                <w:b/>
                <w:color w:val="auto"/>
                <w:kern w:val="0"/>
                <w:sz w:val="21"/>
                <w:szCs w:val="21"/>
                <w:highlight w:val="none"/>
              </w:rPr>
              <w:t>煤炭经营管理类案由3</w:t>
            </w:r>
            <w:r>
              <w:rPr>
                <w:rFonts w:ascii="宋体" w:hAnsi="宋体" w:eastAsia="宋体"/>
                <w:b/>
                <w:color w:val="auto"/>
                <w:kern w:val="0"/>
                <w:sz w:val="21"/>
                <w:szCs w:val="21"/>
                <w:highlight w:val="none"/>
              </w:rPr>
              <w:t>项</w:t>
            </w:r>
          </w:p>
        </w:tc>
        <w:tc>
          <w:tcPr>
            <w:tcW w:w="1869" w:type="dxa"/>
            <w:shd w:val="clear" w:color="auto" w:fill="auto"/>
            <w:noWrap w:val="0"/>
            <w:vAlign w:val="center"/>
          </w:tcPr>
          <w:p w14:paraId="4037B3B8">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宋体" w:hAnsi="宋体" w:eastAsia="宋体"/>
                <w:b/>
                <w:color w:val="auto"/>
                <w:kern w:val="0"/>
                <w:sz w:val="21"/>
                <w:szCs w:val="21"/>
                <w:highlight w:val="none"/>
              </w:rPr>
            </w:pPr>
          </w:p>
        </w:tc>
      </w:tr>
      <w:tr w14:paraId="661CA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Pr>
        <w:tc>
          <w:tcPr>
            <w:tcW w:w="14587" w:type="dxa"/>
            <w:gridSpan w:val="13"/>
            <w:shd w:val="clear" w:color="auto" w:fill="FFFFFF"/>
            <w:noWrap w:val="0"/>
            <w:vAlign w:val="center"/>
          </w:tcPr>
          <w:p w14:paraId="3F410DCB">
            <w:pPr>
              <w:pStyle w:val="3"/>
              <w:keepNext w:val="0"/>
              <w:keepLines w:val="0"/>
              <w:pageBreakBefore w:val="0"/>
              <w:widowControl w:val="0"/>
              <w:kinsoku/>
              <w:wordWrap/>
              <w:overflowPunct/>
              <w:topLinePunct w:val="0"/>
              <w:autoSpaceDN/>
              <w:bidi w:val="0"/>
              <w:adjustRightInd/>
              <w:snapToGrid/>
              <w:spacing w:line="240" w:lineRule="auto"/>
              <w:textAlignment w:val="auto"/>
              <w:rPr>
                <w:rFonts w:ascii="宋体" w:hAnsi="宋体" w:eastAsia="宋体"/>
                <w:color w:val="auto"/>
                <w:sz w:val="21"/>
                <w:szCs w:val="21"/>
                <w:highlight w:val="none"/>
              </w:rPr>
            </w:pPr>
            <w:bookmarkStart w:id="173" w:name="_Toc517315949"/>
            <w:bookmarkStart w:id="174" w:name="_Toc110851492"/>
            <w:bookmarkStart w:id="175" w:name="_Toc1482088652"/>
            <w:r>
              <w:rPr>
                <w:rFonts w:hint="eastAsia" w:ascii="宋体" w:hAnsi="宋体" w:eastAsia="宋体"/>
                <w:color w:val="auto"/>
                <w:sz w:val="21"/>
                <w:szCs w:val="21"/>
                <w:highlight w:val="none"/>
              </w:rPr>
              <w:t>《中华人民共和国煤炭法》案由</w:t>
            </w:r>
            <w:r>
              <w:rPr>
                <w:rFonts w:ascii="宋体" w:hAnsi="宋体" w:eastAsia="宋体"/>
                <w:color w:val="auto"/>
                <w:sz w:val="21"/>
                <w:szCs w:val="21"/>
                <w:highlight w:val="none"/>
              </w:rPr>
              <w:t>3</w:t>
            </w:r>
            <w:r>
              <w:rPr>
                <w:rFonts w:hint="eastAsia" w:ascii="宋体" w:hAnsi="宋体" w:eastAsia="宋体"/>
                <w:color w:val="auto"/>
                <w:sz w:val="21"/>
                <w:szCs w:val="21"/>
                <w:highlight w:val="none"/>
              </w:rPr>
              <w:t>项</w:t>
            </w:r>
            <w:bookmarkEnd w:id="173"/>
            <w:bookmarkEnd w:id="174"/>
            <w:bookmarkEnd w:id="175"/>
          </w:p>
        </w:tc>
        <w:tc>
          <w:tcPr>
            <w:tcW w:w="1869" w:type="dxa"/>
            <w:shd w:val="clear" w:color="auto" w:fill="FFFFFF"/>
            <w:noWrap w:val="0"/>
            <w:vAlign w:val="center"/>
          </w:tcPr>
          <w:p w14:paraId="6E6BCCC5">
            <w:pPr>
              <w:pStyle w:val="3"/>
              <w:keepNext w:val="0"/>
              <w:keepLines w:val="0"/>
              <w:pageBreakBefore w:val="0"/>
              <w:widowControl w:val="0"/>
              <w:kinsoku/>
              <w:wordWrap/>
              <w:overflowPunct/>
              <w:topLinePunct w:val="0"/>
              <w:autoSpaceDN/>
              <w:bidi w:val="0"/>
              <w:adjustRightInd/>
              <w:snapToGrid/>
              <w:spacing w:line="240" w:lineRule="auto"/>
              <w:textAlignment w:val="auto"/>
              <w:rPr>
                <w:rFonts w:hint="eastAsia" w:ascii="宋体" w:hAnsi="宋体" w:eastAsia="宋体"/>
                <w:color w:val="auto"/>
                <w:sz w:val="21"/>
                <w:szCs w:val="21"/>
                <w:highlight w:val="none"/>
              </w:rPr>
            </w:pPr>
          </w:p>
        </w:tc>
      </w:tr>
      <w:tr w14:paraId="67CF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418" w:hRule="atLeast"/>
        </w:trPr>
        <w:tc>
          <w:tcPr>
            <w:tcW w:w="714" w:type="dxa"/>
            <w:tcBorders>
              <w:bottom w:val="single" w:color="auto" w:sz="4" w:space="0"/>
            </w:tcBorders>
            <w:shd w:val="clear" w:color="auto" w:fill="FFFFFF"/>
            <w:noWrap w:val="0"/>
            <w:vAlign w:val="center"/>
          </w:tcPr>
          <w:p w14:paraId="155504C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626" w:type="dxa"/>
            <w:gridSpan w:val="2"/>
            <w:shd w:val="clear" w:color="auto" w:fill="FFFFFF"/>
            <w:noWrap w:val="0"/>
            <w:vAlign w:val="center"/>
          </w:tcPr>
          <w:p w14:paraId="5FED82F0">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擅自开采保安煤柱或者采用危及相邻煤矿生产安全的危险方法采矿作业</w:t>
            </w:r>
          </w:p>
        </w:tc>
        <w:tc>
          <w:tcPr>
            <w:tcW w:w="2981" w:type="dxa"/>
            <w:shd w:val="clear" w:color="auto" w:fill="FFFFFF"/>
            <w:noWrap w:val="0"/>
            <w:vAlign w:val="center"/>
          </w:tcPr>
          <w:p w14:paraId="192F3CC9">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noWrap w:val="0"/>
            <w:vAlign w:val="center"/>
          </w:tcPr>
          <w:p w14:paraId="6D98043C">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违法所得</w:t>
            </w:r>
          </w:p>
        </w:tc>
        <w:tc>
          <w:tcPr>
            <w:tcW w:w="840" w:type="dxa"/>
            <w:shd w:val="clear" w:color="auto" w:fill="FFFFFF"/>
            <w:noWrap w:val="0"/>
            <w:vAlign w:val="center"/>
          </w:tcPr>
          <w:p w14:paraId="4A7B37BA">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shd w:val="clear" w:color="auto" w:fill="FFFFFF"/>
            <w:noWrap w:val="0"/>
            <w:vAlign w:val="center"/>
          </w:tcPr>
          <w:p w14:paraId="46E390AA">
            <w:pPr>
              <w:spacing w:line="22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14:paraId="51A178FE">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shd w:val="clear" w:color="auto" w:fill="FFFFFF"/>
            <w:noWrap w:val="0"/>
            <w:vAlign w:val="center"/>
          </w:tcPr>
          <w:p w14:paraId="5FA9CF78">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14:paraId="2CD6A0B8">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构成犯罪的，由司法机关依法追究刑事责任。</w:t>
            </w:r>
          </w:p>
        </w:tc>
        <w:tc>
          <w:tcPr>
            <w:tcW w:w="1304" w:type="dxa"/>
            <w:gridSpan w:val="2"/>
            <w:shd w:val="clear" w:color="auto" w:fill="FFFFFF"/>
            <w:noWrap w:val="0"/>
            <w:vAlign w:val="center"/>
          </w:tcPr>
          <w:p w14:paraId="4A80D9B3">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66190179">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shd w:val="clear" w:color="auto" w:fill="FFFFFF"/>
            <w:noWrap w:val="0"/>
            <w:vAlign w:val="center"/>
          </w:tcPr>
          <w:p w14:paraId="70151528">
            <w:pPr>
              <w:keepNext w:val="0"/>
              <w:keepLines w:val="0"/>
              <w:widowControl w:val="0"/>
              <w:suppressLineNumbers w:val="0"/>
              <w:spacing w:before="0" w:beforeAutospacing="0" w:after="0" w:afterAutospacing="0" w:line="220"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C0005800</w:t>
            </w:r>
          </w:p>
        </w:tc>
      </w:tr>
      <w:tr w14:paraId="20FF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966" w:hRule="atLeast"/>
        </w:trPr>
        <w:tc>
          <w:tcPr>
            <w:tcW w:w="714" w:type="dxa"/>
            <w:shd w:val="clear" w:color="auto" w:fill="FFFFFF"/>
            <w:noWrap w:val="0"/>
            <w:vAlign w:val="center"/>
          </w:tcPr>
          <w:p w14:paraId="5C36828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626" w:type="dxa"/>
            <w:gridSpan w:val="2"/>
            <w:shd w:val="clear" w:color="auto" w:fill="FFFFFF"/>
            <w:noWrap w:val="0"/>
            <w:vAlign w:val="center"/>
          </w:tcPr>
          <w:p w14:paraId="5E07284B">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未经批准或者未采取安全措施在煤矿采区范围内进行危及煤矿安全的作业</w:t>
            </w:r>
          </w:p>
        </w:tc>
        <w:tc>
          <w:tcPr>
            <w:tcW w:w="2981" w:type="dxa"/>
            <w:shd w:val="clear" w:color="auto" w:fill="FFFFFF"/>
            <w:noWrap w:val="0"/>
            <w:vAlign w:val="center"/>
          </w:tcPr>
          <w:p w14:paraId="628EF0FC">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noWrap w:val="0"/>
            <w:vAlign w:val="center"/>
          </w:tcPr>
          <w:p w14:paraId="1E754DBA">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shd w:val="clear" w:color="auto" w:fill="FFFFFF"/>
            <w:noWrap w:val="0"/>
            <w:vAlign w:val="center"/>
          </w:tcPr>
          <w:p w14:paraId="1DFFEC08">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shd w:val="clear" w:color="auto" w:fill="FFFFFF"/>
            <w:noWrap w:val="0"/>
            <w:vAlign w:val="center"/>
          </w:tcPr>
          <w:p w14:paraId="044FBD9A">
            <w:pPr>
              <w:spacing w:line="22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14:paraId="6238A67D">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shd w:val="clear" w:color="auto" w:fill="FFFFFF"/>
            <w:noWrap w:val="0"/>
            <w:vAlign w:val="center"/>
          </w:tcPr>
          <w:p w14:paraId="36240D3B">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ascii="宋体" w:hAnsi="宋体" w:eastAsia="宋体" w:cs="宋体"/>
                <w:color w:val="auto"/>
                <w:kern w:val="0"/>
                <w:sz w:val="15"/>
                <w:szCs w:val="15"/>
                <w:highlight w:val="none"/>
              </w:rPr>
              <w:t>额度处罚的</w:t>
            </w:r>
            <w:r>
              <w:rPr>
                <w:rFonts w:hint="eastAsia" w:ascii="宋体" w:hAnsi="宋体" w:eastAsia="宋体" w:cs="宋体"/>
                <w:color w:val="auto"/>
                <w:kern w:val="0"/>
                <w:sz w:val="15"/>
                <w:szCs w:val="15"/>
                <w:highlight w:val="none"/>
              </w:rPr>
              <w:t>，报案审会讨论决定。</w:t>
            </w:r>
          </w:p>
        </w:tc>
        <w:tc>
          <w:tcPr>
            <w:tcW w:w="1304" w:type="dxa"/>
            <w:gridSpan w:val="2"/>
            <w:shd w:val="clear" w:color="auto" w:fill="FFFFFF"/>
            <w:noWrap w:val="0"/>
            <w:vAlign w:val="center"/>
          </w:tcPr>
          <w:p w14:paraId="3A41A519">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16D62B1">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shd w:val="clear" w:color="auto" w:fill="FFFFFF"/>
            <w:noWrap w:val="0"/>
            <w:vAlign w:val="center"/>
          </w:tcPr>
          <w:p w14:paraId="0366F26E">
            <w:pPr>
              <w:keepNext w:val="0"/>
              <w:keepLines w:val="0"/>
              <w:widowControl w:val="0"/>
              <w:suppressLineNumbers w:val="0"/>
              <w:spacing w:before="0" w:beforeAutospacing="0" w:after="0" w:afterAutospacing="0" w:line="220"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C0005900</w:t>
            </w:r>
          </w:p>
        </w:tc>
      </w:tr>
      <w:tr w14:paraId="138F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2065" w:hRule="atLeast"/>
        </w:trPr>
        <w:tc>
          <w:tcPr>
            <w:tcW w:w="714" w:type="dxa"/>
            <w:shd w:val="clear" w:color="auto" w:fill="FFFFFF"/>
            <w:noWrap w:val="0"/>
            <w:vAlign w:val="center"/>
          </w:tcPr>
          <w:p w14:paraId="4BA51EC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626" w:type="dxa"/>
            <w:gridSpan w:val="2"/>
            <w:shd w:val="clear" w:color="auto" w:fill="FFFFFF"/>
            <w:noWrap w:val="0"/>
            <w:vAlign w:val="center"/>
          </w:tcPr>
          <w:p w14:paraId="14ADC2A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在煤炭产品中掺杂、掺假，以次充好</w:t>
            </w:r>
          </w:p>
        </w:tc>
        <w:tc>
          <w:tcPr>
            <w:tcW w:w="2981" w:type="dxa"/>
            <w:shd w:val="clear" w:color="auto" w:fill="FFFFFF"/>
            <w:noWrap w:val="0"/>
            <w:vAlign w:val="center"/>
          </w:tcPr>
          <w:p w14:paraId="17B99FA3">
            <w:pPr>
              <w:spacing w:line="232" w:lineRule="exact"/>
              <w:ind w:right="315" w:rightChars="150"/>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noWrap w:val="0"/>
            <w:vAlign w:val="center"/>
          </w:tcPr>
          <w:p w14:paraId="4034807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违法所得</w:t>
            </w:r>
          </w:p>
        </w:tc>
        <w:tc>
          <w:tcPr>
            <w:tcW w:w="840" w:type="dxa"/>
            <w:shd w:val="clear" w:color="auto" w:fill="FFFFFF"/>
            <w:noWrap w:val="0"/>
            <w:vAlign w:val="center"/>
          </w:tcPr>
          <w:p w14:paraId="16B80BA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shd w:val="clear" w:color="auto" w:fill="FFFFFF"/>
            <w:noWrap w:val="0"/>
            <w:vAlign w:val="center"/>
          </w:tcPr>
          <w:p w14:paraId="59E6D0B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造成严重后果或者社会恶劣影响的，系数4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FFFFFF"/>
            <w:noWrap w:val="0"/>
            <w:vAlign w:val="center"/>
          </w:tcPr>
          <w:p w14:paraId="2D6441C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shd w:val="clear" w:color="auto" w:fill="FFFFFF"/>
            <w:noWrap w:val="0"/>
            <w:vAlign w:val="center"/>
          </w:tcPr>
          <w:p w14:paraId="7FB27DF5">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14:paraId="734CC17E">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构成犯罪的，由司法机关依法追究刑事责任。</w:t>
            </w:r>
          </w:p>
        </w:tc>
        <w:tc>
          <w:tcPr>
            <w:tcW w:w="1304" w:type="dxa"/>
            <w:gridSpan w:val="2"/>
            <w:shd w:val="clear" w:color="auto" w:fill="FFFFFF"/>
            <w:noWrap w:val="0"/>
            <w:vAlign w:val="center"/>
          </w:tcPr>
          <w:p w14:paraId="631E573C">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2231226C">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shd w:val="clear" w:color="auto" w:fill="FFFFFF"/>
            <w:noWrap w:val="0"/>
            <w:vAlign w:val="center"/>
          </w:tcPr>
          <w:p w14:paraId="00A209B6">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C0006000</w:t>
            </w:r>
          </w:p>
        </w:tc>
      </w:tr>
      <w:tr w14:paraId="4CB1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423" w:hRule="atLeast"/>
        </w:trPr>
        <w:tc>
          <w:tcPr>
            <w:tcW w:w="14587" w:type="dxa"/>
            <w:gridSpan w:val="13"/>
            <w:tcBorders>
              <w:bottom w:val="single" w:color="auto" w:sz="4" w:space="0"/>
            </w:tcBorders>
            <w:shd w:val="clear" w:color="auto" w:fill="FFFFFF"/>
            <w:noWrap w:val="0"/>
            <w:vAlign w:val="center"/>
          </w:tcPr>
          <w:p w14:paraId="60C36928">
            <w:pPr>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b/>
                <w:color w:val="auto"/>
                <w:kern w:val="0"/>
                <w:sz w:val="21"/>
                <w:szCs w:val="21"/>
                <w:highlight w:val="none"/>
              </w:rPr>
            </w:pPr>
            <w:r>
              <w:rPr>
                <w:rFonts w:hint="eastAsia" w:ascii="宋体" w:hAnsi="宋体" w:eastAsia="宋体"/>
                <w:b/>
                <w:color w:val="auto"/>
                <w:kern w:val="0"/>
                <w:sz w:val="21"/>
                <w:szCs w:val="21"/>
                <w:highlight w:val="none"/>
              </w:rPr>
              <w:t>可再生能源管理类案由2项</w:t>
            </w:r>
          </w:p>
        </w:tc>
        <w:tc>
          <w:tcPr>
            <w:tcW w:w="1869" w:type="dxa"/>
            <w:tcBorders>
              <w:bottom w:val="single" w:color="auto" w:sz="4" w:space="0"/>
            </w:tcBorders>
            <w:shd w:val="clear" w:color="auto" w:fill="FFFFFF"/>
            <w:noWrap w:val="0"/>
            <w:vAlign w:val="center"/>
          </w:tcPr>
          <w:p w14:paraId="2FAAA5FC">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宋体" w:hAnsi="宋体" w:eastAsia="宋体"/>
                <w:b/>
                <w:color w:val="auto"/>
                <w:kern w:val="0"/>
                <w:sz w:val="21"/>
                <w:szCs w:val="21"/>
                <w:highlight w:val="none"/>
              </w:rPr>
            </w:pPr>
          </w:p>
        </w:tc>
      </w:tr>
      <w:tr w14:paraId="64606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Pr>
        <w:tc>
          <w:tcPr>
            <w:tcW w:w="14587" w:type="dxa"/>
            <w:gridSpan w:val="13"/>
            <w:tcBorders>
              <w:bottom w:val="single" w:color="auto" w:sz="4" w:space="0"/>
            </w:tcBorders>
            <w:shd w:val="clear" w:color="auto" w:fill="FFFFFF"/>
            <w:noWrap w:val="0"/>
            <w:vAlign w:val="center"/>
          </w:tcPr>
          <w:p w14:paraId="3F69ADE7">
            <w:pPr>
              <w:pStyle w:val="3"/>
              <w:keepNext w:val="0"/>
              <w:keepLines w:val="0"/>
              <w:pageBreakBefore w:val="0"/>
              <w:widowControl w:val="0"/>
              <w:kinsoku/>
              <w:wordWrap/>
              <w:overflowPunct/>
              <w:topLinePunct w:val="0"/>
              <w:autoSpaceDN/>
              <w:bidi w:val="0"/>
              <w:adjustRightInd/>
              <w:snapToGrid/>
              <w:spacing w:line="240" w:lineRule="auto"/>
              <w:textAlignment w:val="auto"/>
              <w:rPr>
                <w:rFonts w:ascii="宋体" w:hAnsi="宋体" w:eastAsia="宋体"/>
                <w:color w:val="auto"/>
                <w:sz w:val="21"/>
                <w:szCs w:val="21"/>
                <w:highlight w:val="none"/>
              </w:rPr>
            </w:pPr>
            <w:bookmarkStart w:id="176" w:name="_Toc1932982768"/>
            <w:bookmarkStart w:id="177" w:name="_Toc419487371"/>
            <w:bookmarkStart w:id="178" w:name="_Toc110851493"/>
            <w:r>
              <w:rPr>
                <w:rFonts w:hint="eastAsia" w:ascii="宋体" w:hAnsi="宋体" w:eastAsia="宋体"/>
                <w:color w:val="auto"/>
                <w:sz w:val="21"/>
                <w:szCs w:val="21"/>
                <w:highlight w:val="none"/>
              </w:rPr>
              <w:t>《中华人民共和国可再生能源法》案由2项</w:t>
            </w:r>
            <w:bookmarkEnd w:id="176"/>
            <w:bookmarkEnd w:id="177"/>
            <w:bookmarkEnd w:id="178"/>
          </w:p>
        </w:tc>
        <w:tc>
          <w:tcPr>
            <w:tcW w:w="1869" w:type="dxa"/>
            <w:tcBorders>
              <w:bottom w:val="single" w:color="auto" w:sz="4" w:space="0"/>
            </w:tcBorders>
            <w:shd w:val="clear" w:color="auto" w:fill="FFFFFF"/>
            <w:noWrap w:val="0"/>
            <w:vAlign w:val="center"/>
          </w:tcPr>
          <w:p w14:paraId="1597CFE7">
            <w:pPr>
              <w:pStyle w:val="3"/>
              <w:keepNext w:val="0"/>
              <w:keepLines w:val="0"/>
              <w:pageBreakBefore w:val="0"/>
              <w:widowControl w:val="0"/>
              <w:kinsoku/>
              <w:wordWrap/>
              <w:overflowPunct/>
              <w:topLinePunct w:val="0"/>
              <w:autoSpaceDN/>
              <w:bidi w:val="0"/>
              <w:adjustRightInd/>
              <w:snapToGrid/>
              <w:spacing w:line="240" w:lineRule="auto"/>
              <w:textAlignment w:val="auto"/>
              <w:rPr>
                <w:rFonts w:hint="eastAsia" w:ascii="宋体" w:hAnsi="宋体" w:eastAsia="宋体"/>
                <w:color w:val="auto"/>
                <w:sz w:val="21"/>
                <w:szCs w:val="21"/>
                <w:highlight w:val="none"/>
              </w:rPr>
            </w:pPr>
          </w:p>
        </w:tc>
      </w:tr>
      <w:tr w14:paraId="13FD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492" w:hRule="atLeast"/>
        </w:trPr>
        <w:tc>
          <w:tcPr>
            <w:tcW w:w="714" w:type="dxa"/>
            <w:shd w:val="clear" w:color="auto" w:fill="FFFFFF"/>
            <w:noWrap w:val="0"/>
            <w:vAlign w:val="center"/>
          </w:tcPr>
          <w:p w14:paraId="1EE2A1A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626" w:type="dxa"/>
            <w:gridSpan w:val="2"/>
            <w:shd w:val="clear" w:color="auto" w:fill="FFFFFF"/>
            <w:noWrap w:val="0"/>
            <w:vAlign w:val="center"/>
          </w:tcPr>
          <w:p w14:paraId="08EE25E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经营燃气管网、热力管网的企业不准许符合入网技术标准的燃气、热力入网</w:t>
            </w:r>
          </w:p>
        </w:tc>
        <w:tc>
          <w:tcPr>
            <w:tcW w:w="2981" w:type="dxa"/>
            <w:shd w:val="clear" w:color="auto" w:fill="FFFFFF"/>
            <w:noWrap w:val="0"/>
            <w:vAlign w:val="center"/>
          </w:tcPr>
          <w:p w14:paraId="50B6C0DD">
            <w:pPr>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noWrap w:val="0"/>
            <w:vAlign w:val="center"/>
          </w:tcPr>
          <w:p w14:paraId="1EA8C38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经济</w:t>
            </w:r>
          </w:p>
          <w:p w14:paraId="721A474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损失额</w:t>
            </w:r>
          </w:p>
        </w:tc>
        <w:tc>
          <w:tcPr>
            <w:tcW w:w="840" w:type="dxa"/>
            <w:shd w:val="clear" w:color="auto" w:fill="FFFFFF"/>
            <w:noWrap w:val="0"/>
            <w:vAlign w:val="center"/>
          </w:tcPr>
          <w:p w14:paraId="40A54DC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shd w:val="clear" w:color="auto" w:fill="FFFFFF"/>
            <w:noWrap w:val="0"/>
            <w:vAlign w:val="center"/>
          </w:tcPr>
          <w:p w14:paraId="49F6F804">
            <w:pPr>
              <w:spacing w:line="232" w:lineRule="exact"/>
              <w:rPr>
                <w:rFonts w:ascii="宋体" w:hAnsi="宋体" w:eastAsia="宋体"/>
                <w:color w:val="auto"/>
                <w:sz w:val="15"/>
                <w:szCs w:val="15"/>
                <w:highlight w:val="none"/>
              </w:rPr>
            </w:pPr>
          </w:p>
        </w:tc>
        <w:tc>
          <w:tcPr>
            <w:tcW w:w="1875" w:type="dxa"/>
            <w:gridSpan w:val="2"/>
            <w:shd w:val="clear" w:color="auto" w:fill="FFFFFF"/>
            <w:noWrap w:val="0"/>
            <w:vAlign w:val="center"/>
          </w:tcPr>
          <w:p w14:paraId="1F724CA2">
            <w:pPr>
              <w:spacing w:line="232" w:lineRule="exact"/>
              <w:rPr>
                <w:rFonts w:ascii="宋体" w:hAnsi="宋体" w:eastAsia="宋体"/>
                <w:color w:val="auto"/>
                <w:sz w:val="15"/>
                <w:szCs w:val="15"/>
                <w:highlight w:val="none"/>
              </w:rPr>
            </w:pPr>
          </w:p>
        </w:tc>
        <w:tc>
          <w:tcPr>
            <w:tcW w:w="2020" w:type="dxa"/>
            <w:gridSpan w:val="2"/>
            <w:shd w:val="clear" w:color="auto" w:fill="FFFFFF"/>
            <w:noWrap w:val="0"/>
            <w:vAlign w:val="center"/>
          </w:tcPr>
          <w:p w14:paraId="7D1DA8E7">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按照规定执行</w:t>
            </w:r>
            <w:r>
              <w:rPr>
                <w:rFonts w:hint="eastAsia" w:ascii="宋体" w:hAnsi="宋体" w:eastAsia="宋体"/>
                <w:color w:val="auto"/>
                <w:sz w:val="15"/>
                <w:szCs w:val="15"/>
                <w:highlight w:val="none"/>
                <w:lang w:eastAsia="zh-CN"/>
              </w:rPr>
              <w:t>。</w:t>
            </w:r>
          </w:p>
        </w:tc>
        <w:tc>
          <w:tcPr>
            <w:tcW w:w="1304" w:type="dxa"/>
            <w:gridSpan w:val="2"/>
            <w:shd w:val="clear" w:color="auto" w:fill="FFFFFF"/>
            <w:noWrap w:val="0"/>
            <w:vAlign w:val="center"/>
          </w:tcPr>
          <w:p w14:paraId="6AC54FC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tc>
        <w:tc>
          <w:tcPr>
            <w:tcW w:w="1869" w:type="dxa"/>
            <w:shd w:val="clear" w:color="auto" w:fill="FFFFFF"/>
            <w:noWrap w:val="0"/>
            <w:vAlign w:val="center"/>
          </w:tcPr>
          <w:p w14:paraId="42B4A949">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C0010500</w:t>
            </w:r>
          </w:p>
        </w:tc>
      </w:tr>
      <w:tr w14:paraId="4102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993" w:hRule="atLeast"/>
        </w:trPr>
        <w:tc>
          <w:tcPr>
            <w:tcW w:w="714" w:type="dxa"/>
            <w:shd w:val="clear" w:color="auto" w:fill="FFFFFF"/>
            <w:noWrap w:val="0"/>
            <w:vAlign w:val="center"/>
          </w:tcPr>
          <w:p w14:paraId="63C35D9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626" w:type="dxa"/>
            <w:gridSpan w:val="2"/>
            <w:shd w:val="clear" w:color="auto" w:fill="FFFFFF"/>
            <w:noWrap w:val="0"/>
            <w:vAlign w:val="center"/>
          </w:tcPr>
          <w:p w14:paraId="01F26AC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石油销售企业未按照规定将符合国家标准的生物液体燃料纳入其燃料销售体系</w:t>
            </w:r>
          </w:p>
        </w:tc>
        <w:tc>
          <w:tcPr>
            <w:tcW w:w="2981" w:type="dxa"/>
            <w:shd w:val="clear" w:color="auto" w:fill="FFFFFF"/>
            <w:noWrap w:val="0"/>
            <w:vAlign w:val="center"/>
          </w:tcPr>
          <w:p w14:paraId="4A5D13FD">
            <w:pPr>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noWrap w:val="0"/>
            <w:vAlign w:val="center"/>
          </w:tcPr>
          <w:p w14:paraId="157BDAB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经济</w:t>
            </w:r>
          </w:p>
          <w:p w14:paraId="292F971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损失额</w:t>
            </w:r>
          </w:p>
        </w:tc>
        <w:tc>
          <w:tcPr>
            <w:tcW w:w="840" w:type="dxa"/>
            <w:shd w:val="clear" w:color="auto" w:fill="FFFFFF"/>
            <w:noWrap w:val="0"/>
            <w:vAlign w:val="center"/>
          </w:tcPr>
          <w:p w14:paraId="0BC76DB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shd w:val="clear" w:color="auto" w:fill="FFFFFF"/>
            <w:noWrap w:val="0"/>
            <w:vAlign w:val="center"/>
          </w:tcPr>
          <w:p w14:paraId="46F196D8">
            <w:pPr>
              <w:spacing w:line="232" w:lineRule="exact"/>
              <w:rPr>
                <w:rFonts w:ascii="宋体" w:hAnsi="宋体" w:eastAsia="宋体"/>
                <w:color w:val="auto"/>
                <w:sz w:val="15"/>
                <w:szCs w:val="15"/>
                <w:highlight w:val="none"/>
              </w:rPr>
            </w:pPr>
          </w:p>
        </w:tc>
        <w:tc>
          <w:tcPr>
            <w:tcW w:w="1875" w:type="dxa"/>
            <w:gridSpan w:val="2"/>
            <w:shd w:val="clear" w:color="auto" w:fill="FFFFFF"/>
            <w:noWrap w:val="0"/>
            <w:vAlign w:val="center"/>
          </w:tcPr>
          <w:p w14:paraId="739F544B">
            <w:pPr>
              <w:spacing w:line="232" w:lineRule="exact"/>
              <w:rPr>
                <w:rFonts w:ascii="宋体" w:hAnsi="宋体" w:eastAsia="宋体"/>
                <w:color w:val="auto"/>
                <w:sz w:val="15"/>
                <w:szCs w:val="15"/>
                <w:highlight w:val="none"/>
              </w:rPr>
            </w:pPr>
          </w:p>
        </w:tc>
        <w:tc>
          <w:tcPr>
            <w:tcW w:w="2020" w:type="dxa"/>
            <w:gridSpan w:val="2"/>
            <w:shd w:val="clear" w:color="auto" w:fill="FFFFFF"/>
            <w:noWrap w:val="0"/>
            <w:vAlign w:val="center"/>
          </w:tcPr>
          <w:p w14:paraId="08E102A2">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按照规定执行</w:t>
            </w:r>
            <w:r>
              <w:rPr>
                <w:rFonts w:hint="eastAsia" w:ascii="宋体" w:hAnsi="宋体" w:eastAsia="宋体"/>
                <w:color w:val="auto"/>
                <w:sz w:val="15"/>
                <w:szCs w:val="15"/>
                <w:highlight w:val="none"/>
                <w:lang w:eastAsia="zh-CN"/>
              </w:rPr>
              <w:t>。</w:t>
            </w:r>
          </w:p>
        </w:tc>
        <w:tc>
          <w:tcPr>
            <w:tcW w:w="1304" w:type="dxa"/>
            <w:gridSpan w:val="2"/>
            <w:shd w:val="clear" w:color="auto" w:fill="FFFFFF"/>
            <w:noWrap w:val="0"/>
            <w:vAlign w:val="center"/>
          </w:tcPr>
          <w:p w14:paraId="2ABC77A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tc>
        <w:tc>
          <w:tcPr>
            <w:tcW w:w="1869" w:type="dxa"/>
            <w:shd w:val="clear" w:color="auto" w:fill="FFFFFF"/>
            <w:noWrap w:val="0"/>
            <w:vAlign w:val="center"/>
          </w:tcPr>
          <w:p w14:paraId="69952C38">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C0010600</w:t>
            </w:r>
          </w:p>
        </w:tc>
      </w:tr>
      <w:tr w14:paraId="5E149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358" w:hRule="atLeast"/>
        </w:trPr>
        <w:tc>
          <w:tcPr>
            <w:tcW w:w="14587" w:type="dxa"/>
            <w:gridSpan w:val="13"/>
            <w:shd w:val="clear" w:color="auto" w:fill="FFFFFF"/>
            <w:noWrap w:val="0"/>
            <w:vAlign w:val="center"/>
          </w:tcPr>
          <w:p w14:paraId="1825FC2B">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color w:val="auto"/>
                <w:sz w:val="21"/>
                <w:szCs w:val="21"/>
                <w:highlight w:val="none"/>
              </w:rPr>
            </w:pPr>
            <w:bookmarkStart w:id="179" w:name="_Toc1494637303"/>
            <w:bookmarkStart w:id="180" w:name="_Toc2142516953"/>
            <w:bookmarkStart w:id="181" w:name="_Toc110851494"/>
            <w:r>
              <w:rPr>
                <w:rFonts w:hint="eastAsia" w:ascii="宋体" w:hAnsi="宋体" w:eastAsia="宋体"/>
                <w:color w:val="auto"/>
                <w:sz w:val="21"/>
                <w:szCs w:val="21"/>
                <w:highlight w:val="none"/>
              </w:rPr>
              <w:t>《中华人民共和国电力法》《电力供应与使用条例》案由</w:t>
            </w:r>
            <w:r>
              <w:rPr>
                <w:rFonts w:ascii="宋体" w:hAnsi="宋体" w:eastAsia="宋体"/>
                <w:color w:val="auto"/>
                <w:sz w:val="21"/>
                <w:szCs w:val="21"/>
                <w:highlight w:val="none"/>
              </w:rPr>
              <w:t>6</w:t>
            </w:r>
            <w:r>
              <w:rPr>
                <w:rFonts w:hint="eastAsia" w:ascii="宋体" w:hAnsi="宋体" w:eastAsia="宋体"/>
                <w:color w:val="auto"/>
                <w:sz w:val="21"/>
                <w:szCs w:val="21"/>
                <w:highlight w:val="none"/>
              </w:rPr>
              <w:t>项</w:t>
            </w:r>
            <w:bookmarkEnd w:id="179"/>
            <w:bookmarkEnd w:id="180"/>
            <w:bookmarkEnd w:id="181"/>
          </w:p>
        </w:tc>
        <w:tc>
          <w:tcPr>
            <w:tcW w:w="1869" w:type="dxa"/>
            <w:shd w:val="clear" w:color="auto" w:fill="FFFFFF"/>
            <w:noWrap w:val="0"/>
            <w:vAlign w:val="center"/>
          </w:tcPr>
          <w:p w14:paraId="576F4958">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14:paraId="2500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101" w:hRule="atLeast"/>
        </w:trPr>
        <w:tc>
          <w:tcPr>
            <w:tcW w:w="714" w:type="dxa"/>
            <w:vMerge w:val="restart"/>
            <w:shd w:val="clear" w:color="auto" w:fill="FFFFFF"/>
            <w:noWrap w:val="0"/>
            <w:vAlign w:val="center"/>
          </w:tcPr>
          <w:p w14:paraId="382F0119">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626" w:type="dxa"/>
            <w:gridSpan w:val="2"/>
            <w:vMerge w:val="restart"/>
            <w:shd w:val="clear" w:color="auto" w:fill="FFFFFF"/>
            <w:noWrap w:val="0"/>
            <w:vAlign w:val="center"/>
          </w:tcPr>
          <w:p w14:paraId="56936C42">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电力建设项目使用国家明令淘汰的电力设备和技术</w:t>
            </w:r>
          </w:p>
        </w:tc>
        <w:tc>
          <w:tcPr>
            <w:tcW w:w="2981" w:type="dxa"/>
            <w:shd w:val="clear" w:color="auto" w:fill="FFFFFF"/>
            <w:noWrap w:val="0"/>
            <w:vAlign w:val="center"/>
          </w:tcPr>
          <w:p w14:paraId="38A71ADF">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noWrap w:val="0"/>
            <w:vAlign w:val="center"/>
          </w:tcPr>
          <w:p w14:paraId="22684629">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FFFFFF"/>
            <w:noWrap w:val="0"/>
            <w:vAlign w:val="center"/>
          </w:tcPr>
          <w:p w14:paraId="003F4EFE">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FFFFFF"/>
            <w:noWrap w:val="0"/>
            <w:vAlign w:val="center"/>
          </w:tcPr>
          <w:p w14:paraId="1AB6045E">
            <w:pPr>
              <w:autoSpaceDE w:val="0"/>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1.存在较大安全隐患的，系数2-3；2.发生安全事故的，系数4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14:paraId="65861248">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shd w:val="clear" w:color="auto" w:fill="FFFFFF"/>
            <w:noWrap w:val="0"/>
            <w:vAlign w:val="center"/>
          </w:tcPr>
          <w:p w14:paraId="27E7B30D">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额度处罚的，报案审会讨论决定。</w:t>
            </w:r>
          </w:p>
        </w:tc>
        <w:tc>
          <w:tcPr>
            <w:tcW w:w="1304" w:type="dxa"/>
            <w:gridSpan w:val="2"/>
            <w:shd w:val="clear" w:color="auto" w:fill="FFFFFF"/>
            <w:noWrap w:val="0"/>
            <w:vAlign w:val="center"/>
          </w:tcPr>
          <w:p w14:paraId="4D966E4B">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95DF834">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shd w:val="clear" w:color="auto" w:fill="FFFFFF"/>
            <w:noWrap w:val="0"/>
            <w:vAlign w:val="center"/>
          </w:tcPr>
          <w:p w14:paraId="6010D277">
            <w:pPr>
              <w:autoSpaceDE w:val="0"/>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sz w:val="15"/>
                <w:szCs w:val="15"/>
                <w:highlight w:val="none"/>
                <w:lang w:val="en-US" w:eastAsia="zh-CN" w:bidi="ar"/>
              </w:rPr>
              <w:t>C0006100</w:t>
            </w:r>
          </w:p>
        </w:tc>
      </w:tr>
      <w:tr w14:paraId="7ADE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2546" w:hRule="atLeast"/>
        </w:trPr>
        <w:tc>
          <w:tcPr>
            <w:tcW w:w="714" w:type="dxa"/>
            <w:vMerge w:val="continue"/>
            <w:shd w:val="clear" w:color="auto" w:fill="FFFFFF"/>
            <w:noWrap w:val="0"/>
            <w:vAlign w:val="center"/>
          </w:tcPr>
          <w:p w14:paraId="6CE70056">
            <w:pPr>
              <w:spacing w:before="100" w:beforeAutospacing="1" w:after="100" w:afterAutospacing="1" w:line="232" w:lineRule="exact"/>
              <w:jc w:val="center"/>
              <w:rPr>
                <w:rFonts w:ascii="宋体" w:hAnsi="宋体" w:eastAsia="宋体"/>
                <w:color w:val="auto"/>
                <w:sz w:val="15"/>
                <w:szCs w:val="15"/>
                <w:highlight w:val="none"/>
              </w:rPr>
            </w:pPr>
          </w:p>
        </w:tc>
        <w:tc>
          <w:tcPr>
            <w:tcW w:w="1626" w:type="dxa"/>
            <w:gridSpan w:val="2"/>
            <w:vMerge w:val="continue"/>
            <w:shd w:val="clear" w:color="auto" w:fill="FFFFFF"/>
            <w:noWrap w:val="0"/>
            <w:vAlign w:val="center"/>
          </w:tcPr>
          <w:p w14:paraId="069173E0">
            <w:pPr>
              <w:autoSpaceDE w:val="0"/>
              <w:spacing w:line="232" w:lineRule="exact"/>
              <w:rPr>
                <w:rFonts w:ascii="宋体" w:hAnsi="宋体" w:eastAsia="宋体" w:cs="宋体"/>
                <w:color w:val="auto"/>
                <w:kern w:val="0"/>
                <w:sz w:val="15"/>
                <w:szCs w:val="15"/>
                <w:highlight w:val="none"/>
              </w:rPr>
            </w:pPr>
          </w:p>
        </w:tc>
        <w:tc>
          <w:tcPr>
            <w:tcW w:w="2981" w:type="dxa"/>
            <w:shd w:val="clear" w:color="auto" w:fill="FFFFFF"/>
            <w:noWrap w:val="0"/>
            <w:vAlign w:val="center"/>
          </w:tcPr>
          <w:p w14:paraId="17A56A75">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shd w:val="clear" w:color="auto" w:fill="FFFFFF"/>
            <w:noWrap w:val="0"/>
            <w:vAlign w:val="center"/>
          </w:tcPr>
          <w:p w14:paraId="0E81076D">
            <w:pPr>
              <w:autoSpaceDE w:val="0"/>
              <w:spacing w:line="232" w:lineRule="exac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依据应急管理部门的裁量权基准执行。【“以上”包含本数、“以下”除法律规定的包含本数和最高档的“以下”包含本数外，其余均不包含本数。】</w:t>
            </w:r>
          </w:p>
          <w:p w14:paraId="61664BC3">
            <w:pPr>
              <w:autoSpaceDE w:val="0"/>
              <w:spacing w:line="232" w:lineRule="exac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使用1台（套、种）应当淘汰的危及生产安全的工艺、设备的，责令限期改正，处2万元以下的罚款；逾期未改正的，处5万元以上10万元以下的罚款，对其直接负责的主管人员和其他直接责任人员处1万元以上2万元以下的罚款；情节严重的，责令停产停业整顿；</w:t>
            </w:r>
          </w:p>
          <w:p w14:paraId="3D8929A0">
            <w:pPr>
              <w:autoSpaceDE w:val="0"/>
              <w:spacing w:line="232" w:lineRule="exac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2.使用2台（套、种）应当淘汰的危及生产安全的工艺、设备的，责令限期改正，处2万元以上4万元以下的罚款；逾期未改正的，处10万元以上15万元以下的罚款，对其直接负责的主管人员和其他直接责任人员处1万元以上2万元以下的罚款；情节严重的，责令停产停业整顿；</w:t>
            </w:r>
          </w:p>
          <w:p w14:paraId="6AAA30C5">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strike w:val="0"/>
                <w:dstrike w:val="0"/>
                <w:color w:val="auto"/>
                <w:kern w:val="0"/>
                <w:sz w:val="15"/>
                <w:szCs w:val="15"/>
                <w:highlight w:val="none"/>
              </w:rPr>
              <w:t>3.使用3台（套、种）以上应当淘汰的危及生产安全的工艺、设备的，责令限期改正，处4万元以上5万元以下的罚款；逾期未改正的，处15万元以上20万元以下的罚款，对其直接负责的主管人员和其他直接责任人员处1万元以上2万元以下的罚款；情节严重的，责令停产停业整顿。</w:t>
            </w:r>
          </w:p>
        </w:tc>
        <w:tc>
          <w:tcPr>
            <w:tcW w:w="2016" w:type="dxa"/>
            <w:shd w:val="clear" w:color="auto" w:fill="FFFFFF"/>
            <w:noWrap w:val="0"/>
            <w:vAlign w:val="center"/>
          </w:tcPr>
          <w:p w14:paraId="54688004">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对违法行为，适用《中华人民共和国电力法》处罚。逾期未改正的，应另行立案，适用《中华人民共和国安全生产法》“逾期未改正”情形处罚。</w:t>
            </w:r>
          </w:p>
          <w:p w14:paraId="32532CB3">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《应急管理行政裁量权基准暂行规定》（应急管理部令第12号）</w:t>
            </w:r>
          </w:p>
          <w:p w14:paraId="216FD425">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《应急管理行政处罚裁量权基准》</w:t>
            </w:r>
          </w:p>
          <w:p w14:paraId="2E388EB6">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《北京市安全生产行政处罚自由裁量基准》（2025 年修订版）</w:t>
            </w:r>
          </w:p>
        </w:tc>
        <w:tc>
          <w:tcPr>
            <w:tcW w:w="1304" w:type="dxa"/>
            <w:gridSpan w:val="2"/>
            <w:shd w:val="clear" w:color="auto" w:fill="FFFFFF"/>
            <w:noWrap w:val="0"/>
            <w:vAlign w:val="center"/>
          </w:tcPr>
          <w:p w14:paraId="1924149C">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7463FE3">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shd w:val="clear" w:color="auto" w:fill="FFFFFF"/>
            <w:noWrap w:val="0"/>
            <w:vAlign w:val="center"/>
          </w:tcPr>
          <w:p w14:paraId="6403F0EE">
            <w:pPr>
              <w:autoSpaceDE w:val="0"/>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sz w:val="15"/>
                <w:szCs w:val="15"/>
                <w:highlight w:val="none"/>
                <w:lang w:val="en-US" w:eastAsia="zh-CN" w:bidi="ar"/>
              </w:rPr>
              <w:t>C0006100</w:t>
            </w:r>
          </w:p>
        </w:tc>
      </w:tr>
      <w:tr w14:paraId="766A9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140" w:hRule="atLeast"/>
        </w:trPr>
        <w:tc>
          <w:tcPr>
            <w:tcW w:w="714" w:type="dxa"/>
            <w:shd w:val="clear" w:color="auto" w:fill="FFFFFF"/>
            <w:noWrap w:val="0"/>
            <w:vAlign w:val="center"/>
          </w:tcPr>
          <w:p w14:paraId="44A50E9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shd w:val="clear" w:color="auto" w:fill="FFFFFF"/>
            <w:noWrap w:val="0"/>
            <w:vAlign w:val="center"/>
          </w:tcPr>
          <w:p w14:paraId="6EBC7A0D">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未经许可从事供电或者变更供电营业区</w:t>
            </w:r>
          </w:p>
        </w:tc>
        <w:tc>
          <w:tcPr>
            <w:tcW w:w="2981" w:type="dxa"/>
            <w:shd w:val="clear" w:color="auto" w:fill="FFFFFF"/>
            <w:noWrap w:val="0"/>
            <w:vAlign w:val="center"/>
          </w:tcPr>
          <w:p w14:paraId="73A39AAB">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noWrap w:val="0"/>
            <w:vAlign w:val="center"/>
          </w:tcPr>
          <w:p w14:paraId="02EBCF1A">
            <w:pPr>
              <w:autoSpaceDE w:val="0"/>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shd w:val="clear" w:color="auto" w:fill="FFFFFF"/>
            <w:noWrap w:val="0"/>
            <w:vAlign w:val="center"/>
          </w:tcPr>
          <w:p w14:paraId="0E23C498">
            <w:pPr>
              <w:autoSpaceDE w:val="0"/>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FFFFFF"/>
            <w:noWrap w:val="0"/>
            <w:vAlign w:val="center"/>
          </w:tcPr>
          <w:p w14:paraId="08468342">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未经许可从事电力供应业务，系数2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FFFFFF"/>
            <w:noWrap w:val="0"/>
            <w:vAlign w:val="center"/>
          </w:tcPr>
          <w:p w14:paraId="62D23429">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shd w:val="clear" w:color="auto" w:fill="FFFFFF"/>
            <w:noWrap w:val="0"/>
            <w:vAlign w:val="center"/>
          </w:tcPr>
          <w:p w14:paraId="487993D9">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14:paraId="4F1CE3C8">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额度处罚的，报案审会讨论决定。</w:t>
            </w:r>
          </w:p>
        </w:tc>
        <w:tc>
          <w:tcPr>
            <w:tcW w:w="1304" w:type="dxa"/>
            <w:gridSpan w:val="2"/>
            <w:shd w:val="clear" w:color="auto" w:fill="FFFFFF"/>
            <w:noWrap w:val="0"/>
            <w:vAlign w:val="center"/>
          </w:tcPr>
          <w:p w14:paraId="637F204D">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F710041">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shd w:val="clear" w:color="auto" w:fill="FFFFFF"/>
            <w:noWrap w:val="0"/>
            <w:vAlign w:val="center"/>
          </w:tcPr>
          <w:p w14:paraId="6890253F">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C0006200</w:t>
            </w:r>
          </w:p>
        </w:tc>
      </w:tr>
      <w:tr w14:paraId="0A21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879" w:hRule="atLeast"/>
        </w:trPr>
        <w:tc>
          <w:tcPr>
            <w:tcW w:w="714" w:type="dxa"/>
            <w:shd w:val="clear" w:color="auto" w:fill="FFFFFF"/>
            <w:noWrap w:val="0"/>
            <w:vAlign w:val="center"/>
          </w:tcPr>
          <w:p w14:paraId="6CF9D59F">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626" w:type="dxa"/>
            <w:gridSpan w:val="2"/>
            <w:shd w:val="clear" w:color="auto" w:fill="FFFFFF"/>
            <w:noWrap w:val="0"/>
            <w:vAlign w:val="center"/>
          </w:tcPr>
          <w:p w14:paraId="45E80468">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供电营业机构拒绝供电</w:t>
            </w:r>
          </w:p>
        </w:tc>
        <w:tc>
          <w:tcPr>
            <w:tcW w:w="2981" w:type="dxa"/>
            <w:shd w:val="clear" w:color="auto" w:fill="FFFFFF"/>
            <w:noWrap w:val="0"/>
            <w:vAlign w:val="center"/>
          </w:tcPr>
          <w:p w14:paraId="5BBA1184">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违反条款：《中华人民共和国电力法》第二十六条第一款；处罚条款：第六十四条，责令改正，给予警告。</w:t>
            </w:r>
          </w:p>
        </w:tc>
        <w:tc>
          <w:tcPr>
            <w:tcW w:w="851" w:type="dxa"/>
            <w:shd w:val="clear" w:color="auto" w:fill="FFFFFF"/>
            <w:noWrap w:val="0"/>
            <w:vAlign w:val="center"/>
          </w:tcPr>
          <w:p w14:paraId="257D17CA">
            <w:pPr>
              <w:spacing w:line="250" w:lineRule="exact"/>
              <w:rPr>
                <w:rFonts w:ascii="宋体" w:hAnsi="宋体" w:eastAsia="宋体"/>
                <w:color w:val="auto"/>
                <w:sz w:val="15"/>
                <w:szCs w:val="15"/>
                <w:highlight w:val="none"/>
              </w:rPr>
            </w:pPr>
          </w:p>
        </w:tc>
        <w:tc>
          <w:tcPr>
            <w:tcW w:w="840" w:type="dxa"/>
            <w:shd w:val="clear" w:color="auto" w:fill="FFFFFF"/>
            <w:noWrap w:val="0"/>
            <w:vAlign w:val="center"/>
          </w:tcPr>
          <w:p w14:paraId="685D3BD4">
            <w:pPr>
              <w:spacing w:line="250" w:lineRule="exact"/>
              <w:jc w:val="center"/>
              <w:rPr>
                <w:rFonts w:ascii="宋体" w:hAnsi="宋体" w:eastAsia="宋体"/>
                <w:color w:val="auto"/>
                <w:sz w:val="15"/>
                <w:szCs w:val="15"/>
                <w:highlight w:val="none"/>
              </w:rPr>
            </w:pPr>
          </w:p>
        </w:tc>
        <w:tc>
          <w:tcPr>
            <w:tcW w:w="2376" w:type="dxa"/>
            <w:shd w:val="clear" w:color="auto" w:fill="FFFFFF"/>
            <w:noWrap w:val="0"/>
            <w:vAlign w:val="center"/>
          </w:tcPr>
          <w:p w14:paraId="1879EEFC">
            <w:pPr>
              <w:spacing w:line="250" w:lineRule="exact"/>
              <w:rPr>
                <w:rFonts w:ascii="宋体" w:hAnsi="宋体" w:eastAsia="宋体"/>
                <w:color w:val="auto"/>
                <w:sz w:val="15"/>
                <w:szCs w:val="15"/>
                <w:highlight w:val="none"/>
              </w:rPr>
            </w:pPr>
          </w:p>
        </w:tc>
        <w:tc>
          <w:tcPr>
            <w:tcW w:w="1875" w:type="dxa"/>
            <w:gridSpan w:val="2"/>
            <w:shd w:val="clear" w:color="auto" w:fill="FFFFFF"/>
            <w:noWrap w:val="0"/>
            <w:vAlign w:val="center"/>
          </w:tcPr>
          <w:p w14:paraId="0F3FC950">
            <w:pPr>
              <w:spacing w:line="250" w:lineRule="exact"/>
              <w:rPr>
                <w:rFonts w:ascii="宋体" w:hAnsi="宋体" w:eastAsia="宋体"/>
                <w:color w:val="auto"/>
                <w:sz w:val="15"/>
                <w:szCs w:val="15"/>
                <w:highlight w:val="none"/>
              </w:rPr>
            </w:pPr>
          </w:p>
        </w:tc>
        <w:tc>
          <w:tcPr>
            <w:tcW w:w="2020" w:type="dxa"/>
            <w:gridSpan w:val="2"/>
            <w:shd w:val="clear" w:color="auto" w:fill="FFFFFF"/>
            <w:noWrap w:val="0"/>
            <w:vAlign w:val="center"/>
          </w:tcPr>
          <w:p w14:paraId="05C68237">
            <w:pPr>
              <w:spacing w:line="250"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非罚款处罚事项</w:t>
            </w:r>
            <w:r>
              <w:rPr>
                <w:rFonts w:hint="eastAsia" w:ascii="宋体" w:hAnsi="宋体" w:eastAsia="宋体"/>
                <w:color w:val="auto"/>
                <w:sz w:val="15"/>
                <w:szCs w:val="15"/>
                <w:highlight w:val="none"/>
                <w:lang w:eastAsia="zh-CN"/>
              </w:rPr>
              <w:t>。</w:t>
            </w:r>
          </w:p>
        </w:tc>
        <w:tc>
          <w:tcPr>
            <w:tcW w:w="1304" w:type="dxa"/>
            <w:gridSpan w:val="2"/>
            <w:shd w:val="clear" w:color="auto" w:fill="FFFFFF"/>
            <w:noWrap w:val="0"/>
            <w:vAlign w:val="center"/>
          </w:tcPr>
          <w:p w14:paraId="2BCFFF4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EDB4FA4">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c>
          <w:tcPr>
            <w:tcW w:w="1869" w:type="dxa"/>
            <w:shd w:val="clear" w:color="auto" w:fill="FFFFFF"/>
            <w:noWrap w:val="0"/>
            <w:vAlign w:val="center"/>
          </w:tcPr>
          <w:p w14:paraId="243D0551">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C0006300</w:t>
            </w:r>
          </w:p>
        </w:tc>
      </w:tr>
      <w:tr w14:paraId="76D4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890" w:hRule="atLeast"/>
        </w:trPr>
        <w:tc>
          <w:tcPr>
            <w:tcW w:w="714" w:type="dxa"/>
            <w:shd w:val="clear" w:color="auto" w:fill="FFFFFF"/>
            <w:noWrap w:val="0"/>
            <w:vAlign w:val="center"/>
          </w:tcPr>
          <w:p w14:paraId="55A9C358">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626" w:type="dxa"/>
            <w:gridSpan w:val="2"/>
            <w:shd w:val="clear" w:color="auto" w:fill="FFFFFF"/>
            <w:noWrap w:val="0"/>
            <w:vAlign w:val="center"/>
          </w:tcPr>
          <w:p w14:paraId="51FDB0B2">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供电企业中断供电</w:t>
            </w:r>
          </w:p>
        </w:tc>
        <w:tc>
          <w:tcPr>
            <w:tcW w:w="2981" w:type="dxa"/>
            <w:shd w:val="clear" w:color="auto" w:fill="FFFFFF"/>
            <w:noWrap w:val="0"/>
            <w:vAlign w:val="center"/>
          </w:tcPr>
          <w:p w14:paraId="06A277FE">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违反条款：《中华人民共和国电力法》第二十九条第一款；处罚条款：第六十四条，责令改正，给予警告。</w:t>
            </w:r>
          </w:p>
        </w:tc>
        <w:tc>
          <w:tcPr>
            <w:tcW w:w="851" w:type="dxa"/>
            <w:shd w:val="clear" w:color="auto" w:fill="FFFFFF"/>
            <w:noWrap w:val="0"/>
            <w:vAlign w:val="center"/>
          </w:tcPr>
          <w:p w14:paraId="00C9E830">
            <w:pPr>
              <w:spacing w:line="250" w:lineRule="exact"/>
              <w:rPr>
                <w:rFonts w:ascii="宋体" w:hAnsi="宋体" w:eastAsia="宋体"/>
                <w:color w:val="auto"/>
                <w:sz w:val="15"/>
                <w:szCs w:val="15"/>
                <w:highlight w:val="none"/>
              </w:rPr>
            </w:pPr>
          </w:p>
        </w:tc>
        <w:tc>
          <w:tcPr>
            <w:tcW w:w="840" w:type="dxa"/>
            <w:shd w:val="clear" w:color="auto" w:fill="FFFFFF"/>
            <w:noWrap w:val="0"/>
            <w:vAlign w:val="center"/>
          </w:tcPr>
          <w:p w14:paraId="1ECF8C1F">
            <w:pPr>
              <w:spacing w:line="250" w:lineRule="exact"/>
              <w:jc w:val="center"/>
              <w:rPr>
                <w:rFonts w:ascii="宋体" w:hAnsi="宋体" w:eastAsia="宋体"/>
                <w:color w:val="auto"/>
                <w:sz w:val="15"/>
                <w:szCs w:val="15"/>
                <w:highlight w:val="none"/>
              </w:rPr>
            </w:pPr>
          </w:p>
        </w:tc>
        <w:tc>
          <w:tcPr>
            <w:tcW w:w="2376" w:type="dxa"/>
            <w:shd w:val="clear" w:color="auto" w:fill="FFFFFF"/>
            <w:noWrap w:val="0"/>
            <w:vAlign w:val="center"/>
          </w:tcPr>
          <w:p w14:paraId="1A0525CA">
            <w:pPr>
              <w:spacing w:line="250" w:lineRule="exact"/>
              <w:rPr>
                <w:rFonts w:ascii="宋体" w:hAnsi="宋体" w:eastAsia="宋体"/>
                <w:color w:val="auto"/>
                <w:sz w:val="15"/>
                <w:szCs w:val="15"/>
                <w:highlight w:val="none"/>
              </w:rPr>
            </w:pPr>
          </w:p>
        </w:tc>
        <w:tc>
          <w:tcPr>
            <w:tcW w:w="1875" w:type="dxa"/>
            <w:gridSpan w:val="2"/>
            <w:shd w:val="clear" w:color="auto" w:fill="FFFFFF"/>
            <w:noWrap w:val="0"/>
            <w:vAlign w:val="center"/>
          </w:tcPr>
          <w:p w14:paraId="76826A4A">
            <w:pPr>
              <w:spacing w:line="250" w:lineRule="exact"/>
              <w:rPr>
                <w:rFonts w:ascii="宋体" w:hAnsi="宋体" w:eastAsia="宋体"/>
                <w:color w:val="auto"/>
                <w:sz w:val="15"/>
                <w:szCs w:val="15"/>
                <w:highlight w:val="none"/>
              </w:rPr>
            </w:pPr>
          </w:p>
        </w:tc>
        <w:tc>
          <w:tcPr>
            <w:tcW w:w="2020" w:type="dxa"/>
            <w:gridSpan w:val="2"/>
            <w:shd w:val="clear" w:color="auto" w:fill="FFFFFF"/>
            <w:noWrap w:val="0"/>
            <w:vAlign w:val="center"/>
          </w:tcPr>
          <w:p w14:paraId="7AD354A3">
            <w:pPr>
              <w:spacing w:line="250"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非罚款处罚事项</w:t>
            </w:r>
            <w:r>
              <w:rPr>
                <w:rFonts w:hint="eastAsia" w:ascii="宋体" w:hAnsi="宋体" w:eastAsia="宋体"/>
                <w:color w:val="auto"/>
                <w:sz w:val="15"/>
                <w:szCs w:val="15"/>
                <w:highlight w:val="none"/>
                <w:lang w:eastAsia="zh-CN"/>
              </w:rPr>
              <w:t>。</w:t>
            </w:r>
          </w:p>
        </w:tc>
        <w:tc>
          <w:tcPr>
            <w:tcW w:w="1304" w:type="dxa"/>
            <w:gridSpan w:val="2"/>
            <w:shd w:val="clear" w:color="auto" w:fill="FFFFFF"/>
            <w:noWrap w:val="0"/>
            <w:vAlign w:val="center"/>
          </w:tcPr>
          <w:p w14:paraId="11C94E0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8868582">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c>
          <w:tcPr>
            <w:tcW w:w="1869" w:type="dxa"/>
            <w:shd w:val="clear" w:color="auto" w:fill="FFFFFF"/>
            <w:noWrap w:val="0"/>
            <w:vAlign w:val="center"/>
          </w:tcPr>
          <w:p w14:paraId="1B9158AB">
            <w:pPr>
              <w:keepNext w:val="0"/>
              <w:keepLines w:val="0"/>
              <w:widowControl w:val="0"/>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0"/>
                <w:sz w:val="15"/>
                <w:szCs w:val="15"/>
                <w:highlight w:val="none"/>
                <w:lang w:eastAsia="zh"/>
              </w:rPr>
            </w:pPr>
            <w:r>
              <w:rPr>
                <w:rFonts w:hint="eastAsia" w:ascii="宋体" w:hAnsi="宋体" w:eastAsia="宋体" w:cs="宋体"/>
                <w:kern w:val="0"/>
                <w:sz w:val="15"/>
                <w:szCs w:val="15"/>
                <w:highlight w:val="none"/>
                <w:lang w:val="en-US" w:eastAsia="zh-CN" w:bidi="ar"/>
              </w:rPr>
              <w:t>C0006400</w:t>
            </w:r>
          </w:p>
        </w:tc>
      </w:tr>
      <w:tr w14:paraId="49567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390" w:hRule="atLeast"/>
        </w:trPr>
        <w:tc>
          <w:tcPr>
            <w:tcW w:w="714" w:type="dxa"/>
            <w:shd w:val="clear" w:color="auto" w:fill="FFFFFF"/>
            <w:noWrap w:val="0"/>
            <w:vAlign w:val="center"/>
          </w:tcPr>
          <w:p w14:paraId="47A516E9">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626" w:type="dxa"/>
            <w:gridSpan w:val="2"/>
            <w:shd w:val="clear" w:color="auto" w:fill="FFFFFF"/>
            <w:noWrap w:val="0"/>
            <w:vAlign w:val="center"/>
          </w:tcPr>
          <w:p w14:paraId="1DCCDF50">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用户危害供电用电安全或者扰乱供电用电秩序</w:t>
            </w:r>
          </w:p>
        </w:tc>
        <w:tc>
          <w:tcPr>
            <w:tcW w:w="2981" w:type="dxa"/>
            <w:shd w:val="clear" w:color="auto" w:fill="FFFFFF"/>
            <w:noWrap w:val="0"/>
            <w:vAlign w:val="center"/>
          </w:tcPr>
          <w:p w14:paraId="43244766">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noWrap w:val="0"/>
            <w:vAlign w:val="center"/>
          </w:tcPr>
          <w:p w14:paraId="4D647810">
            <w:pPr>
              <w:spacing w:line="250" w:lineRule="exact"/>
              <w:rPr>
                <w:rFonts w:ascii="宋体" w:hAnsi="宋体" w:eastAsia="宋体"/>
                <w:color w:val="auto"/>
                <w:sz w:val="15"/>
                <w:szCs w:val="15"/>
                <w:highlight w:val="none"/>
              </w:rPr>
            </w:pPr>
          </w:p>
        </w:tc>
        <w:tc>
          <w:tcPr>
            <w:tcW w:w="840" w:type="dxa"/>
            <w:shd w:val="clear" w:color="auto" w:fill="FFFFFF"/>
            <w:noWrap w:val="0"/>
            <w:vAlign w:val="center"/>
          </w:tcPr>
          <w:p w14:paraId="17452948">
            <w:pPr>
              <w:spacing w:line="250" w:lineRule="exact"/>
              <w:jc w:val="center"/>
              <w:rPr>
                <w:rFonts w:ascii="宋体" w:hAnsi="宋体" w:eastAsia="宋体"/>
                <w:color w:val="auto"/>
                <w:sz w:val="15"/>
                <w:szCs w:val="15"/>
                <w:highlight w:val="none"/>
              </w:rPr>
            </w:pPr>
          </w:p>
        </w:tc>
        <w:tc>
          <w:tcPr>
            <w:tcW w:w="2376" w:type="dxa"/>
            <w:shd w:val="clear" w:color="auto" w:fill="FFFFFF"/>
            <w:noWrap w:val="0"/>
            <w:vAlign w:val="center"/>
          </w:tcPr>
          <w:p w14:paraId="2CAC2B0E">
            <w:pPr>
              <w:spacing w:line="250" w:lineRule="exact"/>
              <w:rPr>
                <w:rFonts w:ascii="宋体" w:hAnsi="宋体" w:eastAsia="宋体"/>
                <w:color w:val="auto"/>
                <w:sz w:val="15"/>
                <w:szCs w:val="15"/>
                <w:highlight w:val="none"/>
              </w:rPr>
            </w:pPr>
          </w:p>
        </w:tc>
        <w:tc>
          <w:tcPr>
            <w:tcW w:w="1875" w:type="dxa"/>
            <w:gridSpan w:val="2"/>
            <w:shd w:val="clear" w:color="auto" w:fill="FFFFFF"/>
            <w:noWrap w:val="0"/>
            <w:vAlign w:val="center"/>
          </w:tcPr>
          <w:p w14:paraId="31553684">
            <w:pPr>
              <w:spacing w:line="250" w:lineRule="exact"/>
              <w:rPr>
                <w:rFonts w:ascii="宋体" w:hAnsi="宋体" w:eastAsia="宋体"/>
                <w:color w:val="auto"/>
                <w:sz w:val="15"/>
                <w:szCs w:val="15"/>
                <w:highlight w:val="none"/>
              </w:rPr>
            </w:pPr>
          </w:p>
        </w:tc>
        <w:tc>
          <w:tcPr>
            <w:tcW w:w="2020" w:type="dxa"/>
            <w:gridSpan w:val="2"/>
            <w:shd w:val="clear" w:color="auto" w:fill="FFFFFF"/>
            <w:noWrap w:val="0"/>
            <w:vAlign w:val="center"/>
          </w:tcPr>
          <w:p w14:paraId="37A23C42">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按照规定执行。</w:t>
            </w:r>
          </w:p>
          <w:p w14:paraId="5D22D7E0">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可参照《供用电监督管理办法》第</w:t>
            </w:r>
            <w:r>
              <w:rPr>
                <w:rFonts w:hint="eastAsia" w:ascii="宋体" w:hAnsi="宋体" w:eastAsia="宋体"/>
                <w:color w:val="auto"/>
                <w:sz w:val="15"/>
                <w:szCs w:val="15"/>
                <w:highlight w:val="none"/>
                <w:lang w:eastAsia="zh-CN"/>
              </w:rPr>
              <w:t>十九</w:t>
            </w:r>
            <w:r>
              <w:rPr>
                <w:rFonts w:hint="eastAsia" w:ascii="宋体" w:hAnsi="宋体" w:eastAsia="宋体"/>
                <w:color w:val="auto"/>
                <w:sz w:val="15"/>
                <w:szCs w:val="15"/>
                <w:highlight w:val="none"/>
              </w:rPr>
              <w:t>条相关规定。</w:t>
            </w:r>
          </w:p>
        </w:tc>
        <w:tc>
          <w:tcPr>
            <w:tcW w:w="1304" w:type="dxa"/>
            <w:gridSpan w:val="2"/>
            <w:shd w:val="clear" w:color="auto" w:fill="FFFFFF"/>
            <w:noWrap w:val="0"/>
            <w:vAlign w:val="center"/>
          </w:tcPr>
          <w:p w14:paraId="08B5734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2213B0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shd w:val="clear" w:color="auto" w:fill="FFFFFF"/>
            <w:noWrap w:val="0"/>
            <w:vAlign w:val="center"/>
          </w:tcPr>
          <w:p w14:paraId="322A2853">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C0006500</w:t>
            </w:r>
          </w:p>
        </w:tc>
      </w:tr>
      <w:tr w14:paraId="141BF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847" w:hRule="atLeast"/>
        </w:trPr>
        <w:tc>
          <w:tcPr>
            <w:tcW w:w="714" w:type="dxa"/>
            <w:vMerge w:val="restart"/>
            <w:shd w:val="clear" w:color="auto" w:fill="FFFFFF"/>
            <w:noWrap w:val="0"/>
            <w:vAlign w:val="center"/>
          </w:tcPr>
          <w:p w14:paraId="7E311A9E">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6</w:t>
            </w:r>
          </w:p>
        </w:tc>
        <w:tc>
          <w:tcPr>
            <w:tcW w:w="1626" w:type="dxa"/>
            <w:gridSpan w:val="2"/>
            <w:vMerge w:val="restart"/>
            <w:shd w:val="clear" w:color="auto" w:fill="FFFFFF"/>
            <w:noWrap w:val="0"/>
            <w:vAlign w:val="center"/>
          </w:tcPr>
          <w:p w14:paraId="6B1E1288">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盗窃电能</w:t>
            </w:r>
          </w:p>
        </w:tc>
        <w:tc>
          <w:tcPr>
            <w:tcW w:w="2981" w:type="dxa"/>
            <w:shd w:val="clear" w:color="auto" w:fill="FFFFFF"/>
            <w:noWrap w:val="0"/>
            <w:vAlign w:val="center"/>
          </w:tcPr>
          <w:p w14:paraId="703957C7">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noWrap w:val="0"/>
            <w:vAlign w:val="center"/>
          </w:tcPr>
          <w:p w14:paraId="099080F9">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应交电费</w:t>
            </w:r>
          </w:p>
        </w:tc>
        <w:tc>
          <w:tcPr>
            <w:tcW w:w="840" w:type="dxa"/>
            <w:vMerge w:val="restart"/>
            <w:shd w:val="clear" w:color="auto" w:fill="FFFFFF"/>
            <w:noWrap w:val="0"/>
            <w:vAlign w:val="center"/>
          </w:tcPr>
          <w:p w14:paraId="25F4A45F">
            <w:pPr>
              <w:autoSpaceDE w:val="0"/>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vMerge w:val="restart"/>
            <w:shd w:val="clear" w:color="auto" w:fill="FFFFFF"/>
            <w:noWrap w:val="0"/>
            <w:vAlign w:val="center"/>
          </w:tcPr>
          <w:p w14:paraId="3336DE04">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1.造成电能损失较大或者供电设施、用电计量装置等损坏的，系数2-3；2.造成电能损失严重或者供用电事故的，系数4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restart"/>
            <w:shd w:val="clear" w:color="auto" w:fill="FFFFFF"/>
            <w:noWrap w:val="0"/>
            <w:vAlign w:val="center"/>
          </w:tcPr>
          <w:p w14:paraId="6266C1CF">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罚款数额＝应交电费×（1＋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vMerge w:val="restart"/>
            <w:shd w:val="clear" w:color="auto" w:fill="FFFFFF"/>
            <w:noWrap w:val="0"/>
            <w:vAlign w:val="center"/>
          </w:tcPr>
          <w:p w14:paraId="5592CAAD">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罚款数额不超过应交电费五倍。</w:t>
            </w:r>
          </w:p>
          <w:p w14:paraId="0FF0C0A2">
            <w:pPr>
              <w:autoSpaceDE w:val="0"/>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p w14:paraId="36D0CAB9">
            <w:pPr>
              <w:autoSpaceDE w:val="0"/>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构成犯罪的，依法追究刑事责任。</w:t>
            </w:r>
          </w:p>
        </w:tc>
        <w:tc>
          <w:tcPr>
            <w:tcW w:w="1304" w:type="dxa"/>
            <w:gridSpan w:val="2"/>
            <w:shd w:val="clear" w:color="auto" w:fill="FFFFFF"/>
            <w:noWrap w:val="0"/>
            <w:vAlign w:val="center"/>
          </w:tcPr>
          <w:p w14:paraId="431610D4">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9943874">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shd w:val="clear" w:color="auto" w:fill="FFFFFF"/>
            <w:noWrap w:val="0"/>
            <w:vAlign w:val="center"/>
          </w:tcPr>
          <w:p w14:paraId="7EB9669D">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C0006600</w:t>
            </w:r>
          </w:p>
        </w:tc>
      </w:tr>
      <w:tr w14:paraId="55E3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272" w:hRule="atLeast"/>
        </w:trPr>
        <w:tc>
          <w:tcPr>
            <w:tcW w:w="714" w:type="dxa"/>
            <w:vMerge w:val="continue"/>
            <w:shd w:val="clear" w:color="auto" w:fill="FFFFFF"/>
            <w:noWrap w:val="0"/>
            <w:vAlign w:val="center"/>
          </w:tcPr>
          <w:p w14:paraId="029E8234">
            <w:pPr>
              <w:spacing w:before="100" w:beforeAutospacing="1" w:after="100" w:afterAutospacing="1" w:line="232" w:lineRule="exact"/>
              <w:jc w:val="center"/>
              <w:rPr>
                <w:rFonts w:ascii="宋体" w:hAnsi="宋体" w:eastAsia="宋体"/>
                <w:color w:val="auto"/>
                <w:sz w:val="15"/>
                <w:szCs w:val="15"/>
                <w:highlight w:val="none"/>
              </w:rPr>
            </w:pPr>
          </w:p>
        </w:tc>
        <w:tc>
          <w:tcPr>
            <w:tcW w:w="1626" w:type="dxa"/>
            <w:gridSpan w:val="2"/>
            <w:vMerge w:val="continue"/>
            <w:shd w:val="clear" w:color="auto" w:fill="FFFFFF"/>
            <w:noWrap w:val="0"/>
            <w:vAlign w:val="center"/>
          </w:tcPr>
          <w:p w14:paraId="0C38F1F3">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2981" w:type="dxa"/>
            <w:shd w:val="clear" w:color="auto" w:fill="FFFFFF"/>
            <w:noWrap w:val="0"/>
            <w:vAlign w:val="center"/>
          </w:tcPr>
          <w:p w14:paraId="1F3870A5">
            <w:pPr>
              <w:autoSpaceDE w:val="0"/>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违反条款：《电力供应与使用条例》第三十一条第（一）（二）（三）（四）（五）（六）项；处罚条款：第四十一条，责令停止违法行为，追缴电费并处应交电费</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倍以下的罚款。</w:t>
            </w:r>
          </w:p>
        </w:tc>
        <w:tc>
          <w:tcPr>
            <w:tcW w:w="851" w:type="dxa"/>
            <w:vMerge w:val="continue"/>
            <w:shd w:val="clear" w:color="auto" w:fill="FFFFFF"/>
            <w:noWrap w:val="0"/>
            <w:vAlign w:val="center"/>
          </w:tcPr>
          <w:p w14:paraId="55FBE842">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840" w:type="dxa"/>
            <w:vMerge w:val="continue"/>
            <w:shd w:val="clear" w:color="auto" w:fill="FFFFFF"/>
            <w:noWrap w:val="0"/>
            <w:vAlign w:val="center"/>
          </w:tcPr>
          <w:p w14:paraId="213A4553">
            <w:pPr>
              <w:autoSpaceDE w:val="0"/>
              <w:spacing w:before="100" w:beforeAutospacing="1" w:after="100" w:afterAutospacing="1" w:line="232" w:lineRule="exact"/>
              <w:jc w:val="center"/>
              <w:rPr>
                <w:rFonts w:ascii="宋体" w:hAnsi="宋体" w:eastAsia="宋体"/>
                <w:color w:val="auto"/>
                <w:sz w:val="15"/>
                <w:szCs w:val="15"/>
                <w:highlight w:val="none"/>
              </w:rPr>
            </w:pPr>
          </w:p>
        </w:tc>
        <w:tc>
          <w:tcPr>
            <w:tcW w:w="2376" w:type="dxa"/>
            <w:vMerge w:val="continue"/>
            <w:shd w:val="clear" w:color="auto" w:fill="FFFFFF"/>
            <w:noWrap w:val="0"/>
            <w:vAlign w:val="center"/>
          </w:tcPr>
          <w:p w14:paraId="2C1D7753">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1875" w:type="dxa"/>
            <w:gridSpan w:val="2"/>
            <w:vMerge w:val="continue"/>
            <w:shd w:val="clear" w:color="auto" w:fill="FFFFFF"/>
            <w:noWrap w:val="0"/>
            <w:vAlign w:val="center"/>
          </w:tcPr>
          <w:p w14:paraId="52CE30C9">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2020" w:type="dxa"/>
            <w:gridSpan w:val="2"/>
            <w:vMerge w:val="continue"/>
            <w:shd w:val="clear" w:color="auto" w:fill="FFFFFF"/>
            <w:noWrap w:val="0"/>
            <w:vAlign w:val="center"/>
          </w:tcPr>
          <w:p w14:paraId="5DE61685">
            <w:pPr>
              <w:spacing w:before="100" w:beforeAutospacing="1" w:after="100" w:afterAutospacing="1" w:line="232" w:lineRule="exact"/>
              <w:jc w:val="left"/>
              <w:rPr>
                <w:rFonts w:ascii="宋体" w:hAnsi="宋体" w:eastAsia="宋体"/>
                <w:color w:val="auto"/>
                <w:sz w:val="15"/>
                <w:szCs w:val="15"/>
                <w:highlight w:val="none"/>
              </w:rPr>
            </w:pPr>
          </w:p>
        </w:tc>
        <w:tc>
          <w:tcPr>
            <w:tcW w:w="1304" w:type="dxa"/>
            <w:gridSpan w:val="2"/>
            <w:shd w:val="clear" w:color="auto" w:fill="FFFFFF"/>
            <w:noWrap w:val="0"/>
            <w:vAlign w:val="center"/>
          </w:tcPr>
          <w:p w14:paraId="7455DCA3">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73E6D02">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shd w:val="clear" w:color="auto" w:fill="FFFFFF"/>
            <w:noWrap w:val="0"/>
            <w:vAlign w:val="center"/>
          </w:tcPr>
          <w:p w14:paraId="60D2A333">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p>
        </w:tc>
      </w:tr>
      <w:tr w14:paraId="3DAB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412" w:hRule="atLeast"/>
        </w:trPr>
        <w:tc>
          <w:tcPr>
            <w:tcW w:w="14587" w:type="dxa"/>
            <w:gridSpan w:val="13"/>
            <w:shd w:val="clear" w:color="auto" w:fill="FFFFFF"/>
            <w:noWrap w:val="0"/>
            <w:vAlign w:val="center"/>
          </w:tcPr>
          <w:p w14:paraId="71944640">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color w:val="auto"/>
                <w:sz w:val="15"/>
                <w:szCs w:val="15"/>
                <w:highlight w:val="none"/>
              </w:rPr>
            </w:pPr>
            <w:bookmarkStart w:id="182" w:name="_Toc409668775"/>
            <w:bookmarkStart w:id="183" w:name="_Toc110851495"/>
            <w:bookmarkStart w:id="184" w:name="_Toc1560873795"/>
            <w:r>
              <w:rPr>
                <w:rFonts w:hint="eastAsia" w:ascii="宋体" w:hAnsi="宋体" w:eastAsia="宋体"/>
                <w:color w:val="auto"/>
                <w:sz w:val="21"/>
                <w:szCs w:val="21"/>
                <w:highlight w:val="none"/>
              </w:rPr>
              <w:t>《电力设施保护条例》《电力设施保护条例实施细则》案由5项</w:t>
            </w:r>
            <w:bookmarkEnd w:id="182"/>
            <w:bookmarkEnd w:id="183"/>
            <w:bookmarkEnd w:id="184"/>
          </w:p>
        </w:tc>
        <w:tc>
          <w:tcPr>
            <w:tcW w:w="1869" w:type="dxa"/>
            <w:shd w:val="clear" w:color="auto" w:fill="FFFFFF"/>
            <w:noWrap w:val="0"/>
            <w:vAlign w:val="center"/>
          </w:tcPr>
          <w:p w14:paraId="17E1B175">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14:paraId="104A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090" w:hRule="atLeast"/>
        </w:trPr>
        <w:tc>
          <w:tcPr>
            <w:tcW w:w="714" w:type="dxa"/>
            <w:shd w:val="clear" w:color="auto" w:fill="FFFFFF"/>
            <w:noWrap w:val="0"/>
            <w:vAlign w:val="center"/>
          </w:tcPr>
          <w:p w14:paraId="023AC513">
            <w:pPr>
              <w:spacing w:before="100" w:beforeAutospacing="1" w:after="100" w:afterAutospacing="1"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p>
        </w:tc>
        <w:tc>
          <w:tcPr>
            <w:tcW w:w="1626" w:type="dxa"/>
            <w:gridSpan w:val="2"/>
            <w:shd w:val="clear" w:color="auto" w:fill="FFFFFF"/>
            <w:noWrap w:val="0"/>
            <w:vAlign w:val="center"/>
          </w:tcPr>
          <w:p w14:paraId="1CF67F6E">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危害发电设施、变电设施</w:t>
            </w:r>
          </w:p>
        </w:tc>
        <w:tc>
          <w:tcPr>
            <w:tcW w:w="2981" w:type="dxa"/>
            <w:shd w:val="clear" w:color="auto" w:fill="FFFFFF"/>
            <w:noWrap w:val="0"/>
            <w:vAlign w:val="center"/>
          </w:tcPr>
          <w:p w14:paraId="74208EC6">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违反条款：《电力设施保护条例》第十三条第（一）（二）（三）（四）（五）项；</w:t>
            </w:r>
          </w:p>
          <w:p w14:paraId="775371B9">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处罚条款：第二十七条，责令改正；拒不改正的，处</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万元以下的罚款。</w:t>
            </w:r>
          </w:p>
        </w:tc>
        <w:tc>
          <w:tcPr>
            <w:tcW w:w="851" w:type="dxa"/>
            <w:shd w:val="clear" w:color="auto" w:fill="FFFFFF"/>
            <w:noWrap w:val="0"/>
            <w:vAlign w:val="center"/>
          </w:tcPr>
          <w:p w14:paraId="0A864CC0">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noWrap w:val="0"/>
            <w:vAlign w:val="center"/>
          </w:tcPr>
          <w:p w14:paraId="13428E3F">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shd w:val="clear" w:color="auto" w:fill="FFFFFF"/>
            <w:noWrap w:val="0"/>
            <w:vAlign w:val="center"/>
          </w:tcPr>
          <w:p w14:paraId="758E8795">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1.造成电能损失较大或者发电设施、变电设施损坏的，系数2-3；2.造成事故或者损失严重的，系数4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shd w:val="clear" w:color="auto" w:fill="FFFFFF"/>
            <w:noWrap w:val="0"/>
            <w:vAlign w:val="center"/>
          </w:tcPr>
          <w:p w14:paraId="7BDECF3D">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shd w:val="clear" w:color="auto" w:fill="FFFFFF"/>
            <w:noWrap w:val="0"/>
            <w:vAlign w:val="center"/>
          </w:tcPr>
          <w:p w14:paraId="1BBE19B2">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14:paraId="69D89097">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1304" w:type="dxa"/>
            <w:gridSpan w:val="2"/>
            <w:shd w:val="clear" w:color="auto" w:fill="FFFFFF"/>
            <w:noWrap w:val="0"/>
            <w:vAlign w:val="center"/>
          </w:tcPr>
          <w:p w14:paraId="409CC34C">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55D0361">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shd w:val="clear" w:color="auto" w:fill="FFFFFF"/>
            <w:noWrap w:val="0"/>
            <w:vAlign w:val="center"/>
          </w:tcPr>
          <w:p w14:paraId="6CBF20FA">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C0006700</w:t>
            </w:r>
          </w:p>
        </w:tc>
      </w:tr>
      <w:tr w14:paraId="08D2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249" w:hRule="atLeast"/>
        </w:trPr>
        <w:tc>
          <w:tcPr>
            <w:tcW w:w="714" w:type="dxa"/>
            <w:tcBorders>
              <w:bottom w:val="single" w:color="auto" w:sz="4" w:space="0"/>
            </w:tcBorders>
            <w:shd w:val="clear" w:color="auto" w:fill="FFFFFF"/>
            <w:noWrap w:val="0"/>
            <w:vAlign w:val="center"/>
          </w:tcPr>
          <w:p w14:paraId="0D5F0056">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p>
        </w:tc>
        <w:tc>
          <w:tcPr>
            <w:tcW w:w="1626" w:type="dxa"/>
            <w:gridSpan w:val="2"/>
            <w:shd w:val="clear" w:color="auto" w:fill="FFFFFF"/>
            <w:noWrap w:val="0"/>
            <w:vAlign w:val="center"/>
          </w:tcPr>
          <w:p w14:paraId="070A0B11">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危害电力线路设施</w:t>
            </w:r>
          </w:p>
        </w:tc>
        <w:tc>
          <w:tcPr>
            <w:tcW w:w="2981" w:type="dxa"/>
            <w:shd w:val="clear" w:color="auto" w:fill="FFFFFF"/>
            <w:noWrap w:val="0"/>
            <w:vAlign w:val="center"/>
          </w:tcPr>
          <w:p w14:paraId="5B7C677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违反条款：《电力设施保护条例》第十四条第（一）（二）（三）（四）（五）（六）（七）（八）（九）（十）（十一）项；</w:t>
            </w:r>
          </w:p>
          <w:p w14:paraId="67B697A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处罚条款：第二十七条，责令改正；拒不改正的，处1万元以下的罚款。</w:t>
            </w:r>
          </w:p>
        </w:tc>
        <w:tc>
          <w:tcPr>
            <w:tcW w:w="851" w:type="dxa"/>
            <w:shd w:val="clear" w:color="auto" w:fill="FFFFFF"/>
            <w:noWrap w:val="0"/>
            <w:vAlign w:val="center"/>
          </w:tcPr>
          <w:p w14:paraId="1EA4820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noWrap w:val="0"/>
            <w:vAlign w:val="center"/>
          </w:tcPr>
          <w:p w14:paraId="536D63B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shd w:val="clear" w:color="auto" w:fill="FFFFFF"/>
            <w:noWrap w:val="0"/>
            <w:vAlign w:val="center"/>
          </w:tcPr>
          <w:p w14:paraId="7F4D6F69">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1.造成电能损失较大或者发电设施、变电设施损坏的，系数2-3；2.造成事故或者损失严重的，系数4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14:paraId="7A6DA49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vMerge w:val="restart"/>
            <w:shd w:val="clear" w:color="auto" w:fill="FFFFFF"/>
            <w:noWrap w:val="0"/>
            <w:vAlign w:val="center"/>
          </w:tcPr>
          <w:p w14:paraId="05B8B394">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14:paraId="19E03985">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p w14:paraId="3DB76B8D">
            <w:pPr>
              <w:pStyle w:val="22"/>
              <w:ind w:left="0" w:leftChars="0" w:firstLine="0" w:firstLineChars="0"/>
              <w:rPr>
                <w:color w:val="auto"/>
                <w:highlight w:val="none"/>
              </w:rPr>
            </w:pPr>
          </w:p>
        </w:tc>
        <w:tc>
          <w:tcPr>
            <w:tcW w:w="1304" w:type="dxa"/>
            <w:gridSpan w:val="2"/>
            <w:shd w:val="clear" w:color="auto" w:fill="FFFFFF"/>
            <w:noWrap w:val="0"/>
            <w:vAlign w:val="center"/>
          </w:tcPr>
          <w:p w14:paraId="18F3F0EB">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1155AEA">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shd w:val="clear" w:color="auto" w:fill="FFFFFF"/>
            <w:noWrap w:val="0"/>
            <w:vAlign w:val="center"/>
          </w:tcPr>
          <w:p w14:paraId="345AA3AA">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C0006800</w:t>
            </w:r>
          </w:p>
        </w:tc>
      </w:tr>
      <w:tr w14:paraId="3264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099" w:hRule="atLeast"/>
        </w:trPr>
        <w:tc>
          <w:tcPr>
            <w:tcW w:w="714" w:type="dxa"/>
            <w:tcBorders>
              <w:bottom w:val="single" w:color="auto" w:sz="4" w:space="0"/>
            </w:tcBorders>
            <w:shd w:val="clear" w:color="auto" w:fill="FFFFFF"/>
            <w:noWrap w:val="0"/>
            <w:vAlign w:val="center"/>
          </w:tcPr>
          <w:p w14:paraId="77D7BCB0">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3</w:t>
            </w:r>
          </w:p>
        </w:tc>
        <w:tc>
          <w:tcPr>
            <w:tcW w:w="1626" w:type="dxa"/>
            <w:gridSpan w:val="2"/>
            <w:shd w:val="clear" w:color="auto" w:fill="FFFFFF"/>
            <w:noWrap w:val="0"/>
            <w:vAlign w:val="center"/>
          </w:tcPr>
          <w:p w14:paraId="2060C594">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损坏使用中的杆塔基础</w:t>
            </w:r>
          </w:p>
        </w:tc>
        <w:tc>
          <w:tcPr>
            <w:tcW w:w="2981" w:type="dxa"/>
            <w:shd w:val="clear" w:color="auto" w:fill="FFFFFF"/>
            <w:noWrap w:val="0"/>
            <w:vAlign w:val="center"/>
          </w:tcPr>
          <w:p w14:paraId="733C8A4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noWrap w:val="0"/>
            <w:vAlign w:val="center"/>
          </w:tcPr>
          <w:p w14:paraId="6791B8B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noWrap w:val="0"/>
            <w:vAlign w:val="center"/>
          </w:tcPr>
          <w:p w14:paraId="6C3DEBF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shd w:val="clear" w:color="auto" w:fill="FFFFFF"/>
            <w:noWrap w:val="0"/>
            <w:vAlign w:val="center"/>
          </w:tcPr>
          <w:p w14:paraId="4B3D3166">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1.造成电能损失较大或者设施损坏的，系数2-3；2.造成事故的，系数4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shd w:val="clear" w:color="auto" w:fill="FFFFFF"/>
            <w:noWrap w:val="0"/>
            <w:vAlign w:val="center"/>
          </w:tcPr>
          <w:p w14:paraId="1DAF56E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vMerge w:val="continue"/>
            <w:shd w:val="clear" w:color="auto" w:fill="FFFFFF"/>
            <w:noWrap w:val="0"/>
            <w:vAlign w:val="center"/>
          </w:tcPr>
          <w:p w14:paraId="4DC8C73E">
            <w:pPr>
              <w:autoSpaceDE w:val="0"/>
              <w:spacing w:line="232" w:lineRule="exact"/>
              <w:rPr>
                <w:rFonts w:ascii="宋体" w:hAnsi="宋体" w:eastAsia="宋体"/>
                <w:color w:val="auto"/>
                <w:sz w:val="15"/>
                <w:szCs w:val="15"/>
                <w:highlight w:val="none"/>
              </w:rPr>
            </w:pPr>
          </w:p>
        </w:tc>
        <w:tc>
          <w:tcPr>
            <w:tcW w:w="1304" w:type="dxa"/>
            <w:gridSpan w:val="2"/>
            <w:shd w:val="clear" w:color="auto" w:fill="FFFFFF"/>
            <w:noWrap w:val="0"/>
            <w:vAlign w:val="center"/>
          </w:tcPr>
          <w:p w14:paraId="50EF5BE6">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D98CA0E">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shd w:val="clear" w:color="auto" w:fill="FFFFFF"/>
            <w:noWrap w:val="0"/>
            <w:vAlign w:val="center"/>
          </w:tcPr>
          <w:p w14:paraId="7BB3ABF6">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C0006900</w:t>
            </w:r>
          </w:p>
        </w:tc>
      </w:tr>
      <w:tr w14:paraId="54D77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143" w:hRule="atLeast"/>
        </w:trPr>
        <w:tc>
          <w:tcPr>
            <w:tcW w:w="714" w:type="dxa"/>
            <w:tcBorders>
              <w:bottom w:val="single" w:color="auto" w:sz="4" w:space="0"/>
            </w:tcBorders>
            <w:shd w:val="clear" w:color="auto" w:fill="FFFFFF"/>
            <w:noWrap w:val="0"/>
            <w:vAlign w:val="center"/>
          </w:tcPr>
          <w:p w14:paraId="5CB2D5B6">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4</w:t>
            </w:r>
          </w:p>
        </w:tc>
        <w:tc>
          <w:tcPr>
            <w:tcW w:w="1626" w:type="dxa"/>
            <w:gridSpan w:val="2"/>
            <w:tcBorders>
              <w:bottom w:val="single" w:color="auto" w:sz="4" w:space="0"/>
            </w:tcBorders>
            <w:shd w:val="clear" w:color="auto" w:fill="FFFFFF"/>
            <w:noWrap w:val="0"/>
            <w:vAlign w:val="center"/>
          </w:tcPr>
          <w:p w14:paraId="7EAE7387">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损坏、拆卸、盗窃使用中或备用塔材、导线等电力设施</w:t>
            </w:r>
          </w:p>
        </w:tc>
        <w:tc>
          <w:tcPr>
            <w:tcW w:w="2981" w:type="dxa"/>
            <w:tcBorders>
              <w:bottom w:val="single" w:color="auto" w:sz="4" w:space="0"/>
            </w:tcBorders>
            <w:shd w:val="clear" w:color="auto" w:fill="FFFFFF"/>
            <w:noWrap w:val="0"/>
            <w:vAlign w:val="center"/>
          </w:tcPr>
          <w:p w14:paraId="7CFFAA5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noWrap w:val="0"/>
            <w:vAlign w:val="center"/>
          </w:tcPr>
          <w:p w14:paraId="66F3FE2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tcBorders>
              <w:bottom w:val="single" w:color="auto" w:sz="4" w:space="0"/>
            </w:tcBorders>
            <w:shd w:val="clear" w:color="auto" w:fill="FFFFFF"/>
            <w:noWrap w:val="0"/>
            <w:vAlign w:val="center"/>
          </w:tcPr>
          <w:p w14:paraId="2219FF7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tcBorders>
              <w:bottom w:val="single" w:color="auto" w:sz="4" w:space="0"/>
            </w:tcBorders>
            <w:shd w:val="clear" w:color="auto" w:fill="FFFFFF"/>
            <w:noWrap w:val="0"/>
            <w:vAlign w:val="center"/>
          </w:tcPr>
          <w:p w14:paraId="360631AE">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1.损坏、拆卸、盗窃使用中的塔材、导线等电力设施或者造成电能损失较大的，系数2-3；2.造成事故的，系数4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bottom w:val="single" w:color="auto" w:sz="4" w:space="0"/>
            </w:tcBorders>
            <w:shd w:val="clear" w:color="auto" w:fill="FFFFFF"/>
            <w:noWrap w:val="0"/>
            <w:vAlign w:val="center"/>
          </w:tcPr>
          <w:p w14:paraId="0901A0E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vMerge w:val="continue"/>
            <w:shd w:val="clear" w:color="auto" w:fill="FFFFFF"/>
            <w:noWrap w:val="0"/>
            <w:vAlign w:val="center"/>
          </w:tcPr>
          <w:p w14:paraId="7F208682">
            <w:pPr>
              <w:autoSpaceDE w:val="0"/>
              <w:spacing w:line="232" w:lineRule="exact"/>
              <w:rPr>
                <w:rFonts w:ascii="宋体" w:hAnsi="宋体" w:eastAsia="宋体"/>
                <w:color w:val="auto"/>
                <w:sz w:val="15"/>
                <w:szCs w:val="15"/>
                <w:highlight w:val="none"/>
              </w:rPr>
            </w:pPr>
          </w:p>
        </w:tc>
        <w:tc>
          <w:tcPr>
            <w:tcW w:w="1304" w:type="dxa"/>
            <w:gridSpan w:val="2"/>
            <w:shd w:val="clear" w:color="auto" w:fill="FFFFFF"/>
            <w:noWrap w:val="0"/>
            <w:vAlign w:val="center"/>
          </w:tcPr>
          <w:p w14:paraId="589A2126">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B259143">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shd w:val="clear" w:color="auto" w:fill="FFFFFF"/>
            <w:noWrap w:val="0"/>
            <w:vAlign w:val="center"/>
          </w:tcPr>
          <w:p w14:paraId="2F4C87AC">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C0007000</w:t>
            </w:r>
          </w:p>
        </w:tc>
      </w:tr>
      <w:tr w14:paraId="6FA2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491" w:hRule="atLeast"/>
        </w:trPr>
        <w:tc>
          <w:tcPr>
            <w:tcW w:w="714" w:type="dxa"/>
            <w:tcBorders>
              <w:bottom w:val="single" w:color="auto" w:sz="4" w:space="0"/>
            </w:tcBorders>
            <w:shd w:val="clear" w:color="auto" w:fill="FFFFFF"/>
            <w:noWrap w:val="0"/>
            <w:vAlign w:val="center"/>
          </w:tcPr>
          <w:p w14:paraId="33C1C2EC">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5</w:t>
            </w:r>
          </w:p>
        </w:tc>
        <w:tc>
          <w:tcPr>
            <w:tcW w:w="1626" w:type="dxa"/>
            <w:gridSpan w:val="2"/>
            <w:tcBorders>
              <w:bottom w:val="single" w:color="auto" w:sz="4" w:space="0"/>
            </w:tcBorders>
            <w:shd w:val="clear" w:color="auto" w:fill="FFFFFF"/>
            <w:noWrap w:val="0"/>
            <w:vAlign w:val="center"/>
          </w:tcPr>
          <w:p w14:paraId="66B69E2B">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拆卸、盗窃使用中或备用变压器等电力设备</w:t>
            </w:r>
          </w:p>
        </w:tc>
        <w:tc>
          <w:tcPr>
            <w:tcW w:w="2981" w:type="dxa"/>
            <w:tcBorders>
              <w:bottom w:val="single" w:color="auto" w:sz="4" w:space="0"/>
            </w:tcBorders>
            <w:shd w:val="clear" w:color="auto" w:fill="FFFFFF"/>
            <w:noWrap w:val="0"/>
            <w:vAlign w:val="center"/>
          </w:tcPr>
          <w:p w14:paraId="6A2E9F88">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noWrap w:val="0"/>
            <w:vAlign w:val="center"/>
          </w:tcPr>
          <w:p w14:paraId="2F96E79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tcBorders>
              <w:bottom w:val="single" w:color="auto" w:sz="4" w:space="0"/>
            </w:tcBorders>
            <w:shd w:val="clear" w:color="auto" w:fill="FFFFFF"/>
            <w:noWrap w:val="0"/>
            <w:vAlign w:val="center"/>
          </w:tcPr>
          <w:p w14:paraId="10A0293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tcBorders>
              <w:bottom w:val="single" w:color="auto" w:sz="4" w:space="0"/>
            </w:tcBorders>
            <w:shd w:val="clear" w:color="auto" w:fill="FFFFFF"/>
            <w:noWrap w:val="0"/>
            <w:vAlign w:val="center"/>
          </w:tcPr>
          <w:p w14:paraId="19D3004B">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1.拆卸、盗窃使用中变压器等电力设备或者造成电能损失较大的，系数2-3；2.造成事故的，系数4。</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bottom w:val="single" w:color="auto" w:sz="4" w:space="0"/>
            </w:tcBorders>
            <w:shd w:val="clear" w:color="auto" w:fill="FFFFFF"/>
            <w:noWrap w:val="0"/>
            <w:vAlign w:val="center"/>
          </w:tcPr>
          <w:p w14:paraId="3CC49F5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tcBorders>
              <w:bottom w:val="single" w:color="auto" w:sz="4" w:space="0"/>
            </w:tcBorders>
            <w:shd w:val="clear" w:color="auto" w:fill="FFFFFF"/>
            <w:noWrap w:val="0"/>
            <w:vAlign w:val="center"/>
          </w:tcPr>
          <w:p w14:paraId="67FFC882">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14:paraId="21C6CD9B">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1304" w:type="dxa"/>
            <w:gridSpan w:val="2"/>
            <w:tcBorders>
              <w:bottom w:val="single" w:color="auto" w:sz="4" w:space="0"/>
            </w:tcBorders>
            <w:shd w:val="clear" w:color="auto" w:fill="FFFFFF"/>
            <w:noWrap w:val="0"/>
            <w:vAlign w:val="center"/>
          </w:tcPr>
          <w:p w14:paraId="6CDEC2CE">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1DCAD63">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tcBorders>
              <w:bottom w:val="single" w:color="auto" w:sz="4" w:space="0"/>
            </w:tcBorders>
            <w:shd w:val="clear" w:color="auto" w:fill="FFFFFF"/>
            <w:noWrap w:val="0"/>
            <w:vAlign w:val="center"/>
          </w:tcPr>
          <w:p w14:paraId="1E1BF9C3">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C0007100</w:t>
            </w:r>
          </w:p>
        </w:tc>
      </w:tr>
      <w:tr w14:paraId="20ED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476" w:hRule="atLeast"/>
        </w:trPr>
        <w:tc>
          <w:tcPr>
            <w:tcW w:w="14587" w:type="dxa"/>
            <w:gridSpan w:val="13"/>
            <w:tcBorders>
              <w:bottom w:val="single" w:color="auto" w:sz="4" w:space="0"/>
            </w:tcBorders>
            <w:shd w:val="clear" w:color="auto" w:fill="FFFFFF"/>
            <w:noWrap w:val="0"/>
            <w:vAlign w:val="center"/>
          </w:tcPr>
          <w:p w14:paraId="1AAA506F">
            <w:pPr>
              <w:pStyle w:val="3"/>
              <w:bidi w:val="0"/>
              <w:jc w:val="center"/>
              <w:rPr>
                <w:rFonts w:hint="default"/>
                <w:color w:val="auto"/>
                <w:highlight w:val="none"/>
                <w:lang w:val="en-US" w:eastAsia="zh-CN"/>
              </w:rPr>
            </w:pPr>
            <w:bookmarkStart w:id="185" w:name="_Toc2096517592"/>
            <w:r>
              <w:rPr>
                <w:rFonts w:hint="eastAsia"/>
                <w:color w:val="auto"/>
                <w:sz w:val="21"/>
                <w:szCs w:val="21"/>
                <w:highlight w:val="none"/>
                <w:lang w:val="en-US" w:eastAsia="zh-CN"/>
              </w:rPr>
              <w:t>《北京市优化营商环境条例》案由1项</w:t>
            </w:r>
            <w:bookmarkEnd w:id="185"/>
          </w:p>
        </w:tc>
        <w:tc>
          <w:tcPr>
            <w:tcW w:w="1869" w:type="dxa"/>
            <w:tcBorders>
              <w:bottom w:val="single" w:color="auto" w:sz="4" w:space="0"/>
            </w:tcBorders>
            <w:shd w:val="clear" w:color="auto" w:fill="FFFFFF"/>
            <w:noWrap w:val="0"/>
            <w:vAlign w:val="center"/>
          </w:tcPr>
          <w:p w14:paraId="7A07AA2A">
            <w:pPr>
              <w:pStyle w:val="3"/>
              <w:bidi w:val="0"/>
              <w:jc w:val="center"/>
              <w:rPr>
                <w:rFonts w:hint="eastAsia"/>
                <w:color w:val="auto"/>
                <w:sz w:val="21"/>
                <w:szCs w:val="21"/>
                <w:highlight w:val="none"/>
                <w:lang w:val="en-US" w:eastAsia="zh-CN"/>
              </w:rPr>
            </w:pPr>
          </w:p>
        </w:tc>
      </w:tr>
      <w:tr w14:paraId="06F7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2198" w:hRule="atLeast"/>
        </w:trPr>
        <w:tc>
          <w:tcPr>
            <w:tcW w:w="714" w:type="dxa"/>
            <w:tcBorders>
              <w:bottom w:val="single" w:color="auto" w:sz="4" w:space="0"/>
            </w:tcBorders>
            <w:shd w:val="clear" w:color="auto" w:fill="FFFFFF"/>
            <w:noWrap w:val="0"/>
            <w:vAlign w:val="center"/>
          </w:tcPr>
          <w:p w14:paraId="0CFDE86E">
            <w:pPr>
              <w:pStyle w:val="8"/>
              <w:jc w:val="center"/>
              <w:rPr>
                <w:rFonts w:hint="eastAsia" w:eastAsia="仿宋_GB2312"/>
                <w:color w:val="auto"/>
                <w:sz w:val="15"/>
                <w:szCs w:val="15"/>
                <w:highlight w:val="none"/>
                <w:lang w:val="en-US" w:eastAsia="zh-CN"/>
              </w:rPr>
            </w:pPr>
            <w:r>
              <w:rPr>
                <w:rFonts w:hint="eastAsia"/>
                <w:color w:val="auto"/>
                <w:sz w:val="15"/>
                <w:szCs w:val="15"/>
                <w:highlight w:val="none"/>
                <w:lang w:val="en-US" w:eastAsia="zh-CN"/>
              </w:rPr>
              <w:t>1</w:t>
            </w:r>
          </w:p>
        </w:tc>
        <w:tc>
          <w:tcPr>
            <w:tcW w:w="1626" w:type="dxa"/>
            <w:gridSpan w:val="2"/>
            <w:tcBorders>
              <w:bottom w:val="single" w:color="auto" w:sz="4" w:space="0"/>
            </w:tcBorders>
            <w:shd w:val="clear" w:color="auto" w:fill="FFFFFF"/>
            <w:noWrap w:val="0"/>
            <w:vAlign w:val="center"/>
          </w:tcPr>
          <w:p w14:paraId="407339EC">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供电企业年供电可靠率低于国家有关规定</w:t>
            </w:r>
          </w:p>
        </w:tc>
        <w:tc>
          <w:tcPr>
            <w:tcW w:w="2981" w:type="dxa"/>
            <w:tcBorders>
              <w:bottom w:val="single" w:color="auto" w:sz="4" w:space="0"/>
            </w:tcBorders>
            <w:shd w:val="clear" w:color="auto" w:fill="FFFFFF"/>
            <w:noWrap w:val="0"/>
            <w:vAlign w:val="center"/>
          </w:tcPr>
          <w:p w14:paraId="3F6949F4">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w:t>
            </w:r>
            <w:r>
              <w:rPr>
                <w:rStyle w:val="62"/>
                <w:rFonts w:hint="eastAsia" w:ascii="宋体" w:hAnsi="宋体" w:eastAsia="宋体" w:cs="宋体"/>
                <w:color w:val="auto"/>
                <w:sz w:val="15"/>
                <w:szCs w:val="15"/>
                <w:highlight w:val="none"/>
                <w:lang w:val="en-US" w:eastAsia="zh-CN" w:bidi="ar"/>
              </w:rPr>
              <w:t>条款、处罚条款：第四十七条 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tc>
        <w:tc>
          <w:tcPr>
            <w:tcW w:w="851" w:type="dxa"/>
            <w:tcBorders>
              <w:bottom w:val="single" w:color="auto" w:sz="4" w:space="0"/>
            </w:tcBorders>
            <w:shd w:val="clear" w:color="auto" w:fill="FFFFFF"/>
            <w:noWrap w:val="0"/>
            <w:vAlign w:val="center"/>
          </w:tcPr>
          <w:p w14:paraId="186B6609">
            <w:pPr>
              <w:spacing w:line="232" w:lineRule="exact"/>
              <w:jc w:val="center"/>
              <w:rPr>
                <w:rFonts w:hint="default" w:ascii="宋体" w:hAnsi="宋体" w:eastAsia="宋体" w:cs="宋体"/>
                <w:strike w:val="0"/>
                <w:dstrike w:val="0"/>
                <w:color w:val="auto"/>
                <w:sz w:val="15"/>
                <w:szCs w:val="15"/>
                <w:highlight w:val="none"/>
                <w:lang w:val="en-US" w:eastAsia="zh-CN"/>
              </w:rPr>
            </w:pPr>
            <w:r>
              <w:rPr>
                <w:rFonts w:hint="eastAsia" w:ascii="宋体" w:hAnsi="宋体" w:eastAsia="宋体" w:cs="宋体"/>
                <w:strike w:val="0"/>
                <w:dstrike w:val="0"/>
                <w:color w:val="auto"/>
                <w:sz w:val="15"/>
                <w:szCs w:val="15"/>
                <w:highlight w:val="none"/>
                <w:lang w:val="en-US" w:eastAsia="zh-CN"/>
              </w:rPr>
              <w:t>50000</w:t>
            </w:r>
          </w:p>
        </w:tc>
        <w:tc>
          <w:tcPr>
            <w:tcW w:w="840" w:type="dxa"/>
            <w:tcBorders>
              <w:bottom w:val="single" w:color="auto" w:sz="4" w:space="0"/>
            </w:tcBorders>
            <w:shd w:val="clear" w:color="auto" w:fill="FFFFFF"/>
            <w:noWrap w:val="0"/>
            <w:vAlign w:val="center"/>
          </w:tcPr>
          <w:p w14:paraId="4730050E">
            <w:pPr>
              <w:spacing w:line="232" w:lineRule="exact"/>
              <w:ind w:firstLine="300" w:firstLineChars="200"/>
              <w:rPr>
                <w:rFonts w:hint="eastAsia" w:ascii="宋体" w:hAnsi="宋体" w:eastAsia="宋体" w:cs="宋体"/>
                <w:strike w:val="0"/>
                <w:dstrike w:val="0"/>
                <w:color w:val="auto"/>
                <w:sz w:val="15"/>
                <w:szCs w:val="15"/>
                <w:highlight w:val="none"/>
                <w:lang w:val="en-US" w:eastAsia="zh-CN"/>
              </w:rPr>
            </w:pPr>
          </w:p>
        </w:tc>
        <w:tc>
          <w:tcPr>
            <w:tcW w:w="2376" w:type="dxa"/>
            <w:tcBorders>
              <w:bottom w:val="single" w:color="auto" w:sz="4" w:space="0"/>
            </w:tcBorders>
            <w:shd w:val="clear" w:color="auto" w:fill="FFFFFF"/>
            <w:noWrap w:val="0"/>
            <w:vAlign w:val="center"/>
          </w:tcPr>
          <w:p w14:paraId="13AF67FB">
            <w:pPr>
              <w:numPr>
                <w:ilvl w:val="0"/>
                <w:numId w:val="0"/>
              </w:numPr>
              <w:spacing w:line="232" w:lineRule="exact"/>
              <w:rPr>
                <w:rFonts w:hint="default" w:ascii="宋体" w:hAnsi="宋体" w:eastAsia="宋体" w:cs="宋体"/>
                <w:strike w:val="0"/>
                <w:dstrike w:val="0"/>
                <w:color w:val="auto"/>
                <w:sz w:val="15"/>
                <w:szCs w:val="15"/>
                <w:highlight w:val="none"/>
                <w:lang w:val="en-US" w:eastAsia="zh-CN"/>
              </w:rPr>
            </w:pPr>
            <w:r>
              <w:rPr>
                <w:rFonts w:hint="default" w:ascii="宋体" w:hAnsi="宋体" w:eastAsia="宋体" w:cs="宋体"/>
                <w:strike w:val="0"/>
                <w:dstrike w:val="0"/>
                <w:color w:val="auto"/>
                <w:sz w:val="15"/>
                <w:szCs w:val="15"/>
                <w:highlight w:val="none"/>
                <w:lang w:val="en-US"/>
              </w:rPr>
              <w:t>1.</w:t>
            </w:r>
            <w:r>
              <w:rPr>
                <w:rFonts w:hint="eastAsia" w:ascii="宋体" w:hAnsi="宋体" w:eastAsia="宋体" w:cs="宋体"/>
                <w:strike w:val="0"/>
                <w:dstrike w:val="0"/>
                <w:color w:val="auto"/>
                <w:sz w:val="15"/>
                <w:szCs w:val="15"/>
                <w:highlight w:val="none"/>
              </w:rPr>
              <w:t>城市电网年供电可靠率</w:t>
            </w:r>
            <w:r>
              <w:rPr>
                <w:rFonts w:hint="eastAsia" w:ascii="宋体" w:hAnsi="宋体" w:eastAsia="宋体" w:cs="宋体"/>
                <w:strike w:val="0"/>
                <w:dstrike w:val="0"/>
                <w:color w:val="auto"/>
                <w:sz w:val="15"/>
                <w:szCs w:val="15"/>
                <w:highlight w:val="none"/>
                <w:lang w:eastAsia="zh-CN"/>
              </w:rPr>
              <w:t>在</w:t>
            </w:r>
            <w:r>
              <w:rPr>
                <w:rFonts w:hint="eastAsia" w:ascii="宋体" w:hAnsi="宋体" w:eastAsia="宋体" w:cs="宋体"/>
                <w:strike w:val="0"/>
                <w:dstrike w:val="0"/>
                <w:color w:val="auto"/>
                <w:sz w:val="15"/>
                <w:szCs w:val="15"/>
                <w:highlight w:val="none"/>
                <w:lang w:val="en-US" w:eastAsia="zh-CN"/>
              </w:rPr>
              <w:t>99%-98.8%（不含99%）的，系数0；98.8%-98.6%（不含98.8%）的，系数1；98.6%-98.4%（不含98.6%）的，系数2；98.4%-98.2%（不含98.4%）的，系数3；98.2%-98%（不含98.2%）的，系数4；98%-97.8%（不含98%）的，系数5；以此类推，</w:t>
            </w:r>
            <w:r>
              <w:rPr>
                <w:rFonts w:hint="eastAsia" w:ascii="宋体" w:hAnsi="宋体" w:eastAsia="宋体" w:cs="宋体"/>
                <w:strike w:val="0"/>
                <w:dstrike w:val="0"/>
                <w:color w:val="auto"/>
                <w:sz w:val="15"/>
                <w:szCs w:val="15"/>
                <w:highlight w:val="none"/>
              </w:rPr>
              <w:t>城市电网年供电可靠率</w:t>
            </w:r>
            <w:r>
              <w:rPr>
                <w:rFonts w:hint="eastAsia" w:ascii="宋体" w:hAnsi="宋体" w:eastAsia="宋体" w:cs="宋体"/>
                <w:strike w:val="0"/>
                <w:dstrike w:val="0"/>
                <w:color w:val="auto"/>
                <w:sz w:val="15"/>
                <w:szCs w:val="15"/>
                <w:highlight w:val="none"/>
                <w:lang w:eastAsia="zh-CN"/>
              </w:rPr>
              <w:t>低于</w:t>
            </w:r>
            <w:r>
              <w:rPr>
                <w:rFonts w:hint="eastAsia" w:ascii="宋体" w:hAnsi="宋体" w:eastAsia="宋体" w:cs="宋体"/>
                <w:strike w:val="0"/>
                <w:dstrike w:val="0"/>
                <w:color w:val="auto"/>
                <w:sz w:val="15"/>
                <w:szCs w:val="15"/>
                <w:highlight w:val="none"/>
                <w:lang w:val="en-US" w:eastAsia="zh-CN"/>
              </w:rPr>
              <w:t>97.2%的，系数9。</w:t>
            </w:r>
          </w:p>
          <w:p w14:paraId="0FDE5FFF">
            <w:pPr>
              <w:spacing w:line="232" w:lineRule="exact"/>
              <w:rPr>
                <w:rFonts w:hint="default" w:ascii="宋体" w:hAnsi="宋体" w:eastAsia="宋体" w:cs="宋体"/>
                <w:strike w:val="0"/>
                <w:dstrike w:val="0"/>
                <w:color w:val="auto"/>
                <w:sz w:val="15"/>
                <w:szCs w:val="15"/>
                <w:highlight w:val="none"/>
                <w:lang w:val="en-US" w:eastAsia="zh-CN"/>
              </w:rPr>
            </w:pP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14:paraId="31AE4BA4">
            <w:pPr>
              <w:spacing w:line="232" w:lineRule="exact"/>
              <w:ind w:firstLine="300" w:firstLineChars="200"/>
              <w:rPr>
                <w:rFonts w:hint="eastAsia" w:ascii="宋体" w:hAnsi="宋体" w:eastAsia="宋体" w:cs="宋体"/>
                <w:strike w:val="0"/>
                <w:dstrike w:val="0"/>
                <w:color w:val="auto"/>
                <w:sz w:val="15"/>
                <w:szCs w:val="15"/>
                <w:highlight w:val="none"/>
                <w:lang w:val="en-US" w:eastAsia="zh-CN"/>
              </w:rPr>
            </w:pPr>
          </w:p>
        </w:tc>
        <w:tc>
          <w:tcPr>
            <w:tcW w:w="1875" w:type="dxa"/>
            <w:gridSpan w:val="2"/>
            <w:tcBorders>
              <w:bottom w:val="single" w:color="auto" w:sz="4" w:space="0"/>
            </w:tcBorders>
            <w:shd w:val="clear" w:color="auto" w:fill="FFFFFF"/>
            <w:noWrap w:val="0"/>
            <w:vAlign w:val="center"/>
          </w:tcPr>
          <w:p w14:paraId="671A39E4">
            <w:pPr>
              <w:spacing w:line="232" w:lineRule="exact"/>
              <w:rPr>
                <w:rFonts w:hint="eastAsia" w:ascii="宋体" w:hAnsi="宋体" w:eastAsia="宋体" w:cs="宋体"/>
                <w:strike w:val="0"/>
                <w:dstrike w:val="0"/>
                <w:color w:val="auto"/>
                <w:sz w:val="15"/>
                <w:szCs w:val="15"/>
                <w:highlight w:val="none"/>
                <w:lang w:val="en-US" w:eastAsia="zh-CN"/>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tcBorders>
              <w:bottom w:val="single" w:color="auto" w:sz="4" w:space="0"/>
            </w:tcBorders>
            <w:shd w:val="clear" w:color="auto" w:fill="FFFFFF"/>
            <w:noWrap w:val="0"/>
            <w:vAlign w:val="center"/>
          </w:tcPr>
          <w:p w14:paraId="0DFC4516">
            <w:pPr>
              <w:keepNext w:val="0"/>
              <w:keepLines w:val="0"/>
              <w:pageBreakBefore w:val="0"/>
              <w:kinsoku/>
              <w:wordWrap/>
              <w:overflowPunct/>
              <w:topLinePunct w:val="0"/>
              <w:autoSpaceDE w:val="0"/>
              <w:autoSpaceDN/>
              <w:bidi w:val="0"/>
              <w:adjustRightInd/>
              <w:snapToGrid/>
              <w:spacing w:line="0" w:lineRule="atLeast"/>
              <w:textAlignment w:val="auto"/>
              <w:rPr>
                <w:rFonts w:hint="eastAsia" w:ascii="宋体" w:hAnsi="宋体" w:eastAsia="宋体"/>
                <w:color w:val="auto"/>
                <w:sz w:val="15"/>
                <w:szCs w:val="15"/>
                <w:highlight w:val="none"/>
              </w:rPr>
            </w:pPr>
          </w:p>
        </w:tc>
        <w:tc>
          <w:tcPr>
            <w:tcW w:w="1304" w:type="dxa"/>
            <w:gridSpan w:val="2"/>
            <w:tcBorders>
              <w:bottom w:val="single" w:color="auto" w:sz="4" w:space="0"/>
            </w:tcBorders>
            <w:shd w:val="clear" w:color="auto" w:fill="FFFFFF"/>
            <w:noWrap w:val="0"/>
            <w:vAlign w:val="center"/>
          </w:tcPr>
          <w:p w14:paraId="3868DE44">
            <w:pPr>
              <w:autoSpaceDE w:val="0"/>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市级</w:t>
            </w:r>
          </w:p>
        </w:tc>
        <w:tc>
          <w:tcPr>
            <w:tcW w:w="1869" w:type="dxa"/>
            <w:tcBorders>
              <w:bottom w:val="single" w:color="auto" w:sz="4" w:space="0"/>
            </w:tcBorders>
            <w:shd w:val="clear" w:color="auto" w:fill="FFFFFF"/>
            <w:noWrap w:val="0"/>
            <w:vAlign w:val="center"/>
          </w:tcPr>
          <w:p w14:paraId="5A1FAFEE">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C4654500</w:t>
            </w:r>
          </w:p>
        </w:tc>
      </w:tr>
      <w:tr w14:paraId="4514C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Pr>
        <w:tc>
          <w:tcPr>
            <w:tcW w:w="14587" w:type="dxa"/>
            <w:gridSpan w:val="13"/>
            <w:shd w:val="clear" w:color="auto" w:fill="auto"/>
            <w:noWrap w:val="0"/>
            <w:vAlign w:val="center"/>
          </w:tcPr>
          <w:p w14:paraId="5C718B0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eastAsia="宋体"/>
                <w:b/>
                <w:strike w:val="0"/>
                <w:dstrike w:val="0"/>
                <w:color w:val="auto"/>
                <w:kern w:val="0"/>
                <w:sz w:val="21"/>
                <w:szCs w:val="21"/>
                <w:highlight w:val="none"/>
              </w:rPr>
            </w:pPr>
            <w:r>
              <w:rPr>
                <w:rFonts w:hint="eastAsia" w:ascii="宋体" w:hAnsi="宋体" w:eastAsia="宋体"/>
                <w:b/>
                <w:strike w:val="0"/>
                <w:dstrike w:val="0"/>
                <w:color w:val="auto"/>
                <w:kern w:val="0"/>
                <w:sz w:val="21"/>
                <w:szCs w:val="21"/>
                <w:highlight w:val="none"/>
              </w:rPr>
              <w:t>石油天然气管道保护类案由22项</w:t>
            </w:r>
          </w:p>
        </w:tc>
        <w:tc>
          <w:tcPr>
            <w:tcW w:w="1869" w:type="dxa"/>
            <w:shd w:val="clear" w:color="auto" w:fill="auto"/>
            <w:noWrap w:val="0"/>
            <w:vAlign w:val="center"/>
          </w:tcPr>
          <w:p w14:paraId="3C1B707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b/>
                <w:strike w:val="0"/>
                <w:dstrike w:val="0"/>
                <w:color w:val="auto"/>
                <w:kern w:val="0"/>
                <w:sz w:val="21"/>
                <w:szCs w:val="21"/>
                <w:highlight w:val="none"/>
              </w:rPr>
            </w:pPr>
          </w:p>
        </w:tc>
      </w:tr>
      <w:tr w14:paraId="6170B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Pr>
        <w:tc>
          <w:tcPr>
            <w:tcW w:w="14587" w:type="dxa"/>
            <w:gridSpan w:val="13"/>
            <w:shd w:val="clear" w:color="auto" w:fill="auto"/>
            <w:noWrap w:val="0"/>
            <w:vAlign w:val="center"/>
          </w:tcPr>
          <w:p w14:paraId="3A792902">
            <w:pPr>
              <w:pStyle w:val="3"/>
              <w:bidi w:val="0"/>
              <w:jc w:val="center"/>
              <w:rPr>
                <w:rFonts w:hint="eastAsia" w:ascii="宋体" w:hAnsi="宋体" w:eastAsia="宋体" w:cs="宋体"/>
                <w:color w:val="auto"/>
                <w:sz w:val="21"/>
                <w:szCs w:val="21"/>
                <w:highlight w:val="none"/>
              </w:rPr>
            </w:pPr>
            <w:bookmarkStart w:id="186" w:name="_Toc110851497"/>
            <w:bookmarkStart w:id="187" w:name="_Toc1490732698"/>
            <w:bookmarkStart w:id="188" w:name="_Toc1769615131"/>
            <w:r>
              <w:rPr>
                <w:rFonts w:hint="eastAsia" w:ascii="宋体" w:hAnsi="宋体" w:eastAsia="宋体" w:cs="宋体"/>
                <w:color w:val="auto"/>
                <w:sz w:val="21"/>
                <w:szCs w:val="21"/>
                <w:highlight w:val="none"/>
                <w:lang w:val="en-US" w:eastAsia="zh-CN"/>
              </w:rPr>
              <w:t>《中华人民共和国石油天然气管道保护法》</w:t>
            </w:r>
            <w:bookmarkEnd w:id="186"/>
            <w:bookmarkEnd w:id="187"/>
            <w:bookmarkStart w:id="189" w:name="_Toc110851498"/>
            <w:bookmarkStart w:id="190" w:name="_Toc63324556"/>
            <w:r>
              <w:rPr>
                <w:rFonts w:hint="eastAsia" w:ascii="宋体" w:hAnsi="宋体" w:eastAsia="宋体" w:cs="宋体"/>
                <w:color w:val="auto"/>
                <w:sz w:val="21"/>
                <w:szCs w:val="21"/>
                <w:highlight w:val="none"/>
                <w:lang w:val="en-US" w:eastAsia="zh-CN"/>
              </w:rPr>
              <w:t>案由22项</w:t>
            </w:r>
            <w:bookmarkEnd w:id="189"/>
            <w:bookmarkEnd w:id="190"/>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（注：不含东城、西城</w:t>
            </w:r>
            <w:r>
              <w:rPr>
                <w:rFonts w:hint="eastAsia" w:ascii="宋体" w:hAnsi="宋体" w:eastAsia="宋体" w:cs="宋体"/>
                <w:color w:val="auto"/>
                <w:sz w:val="21"/>
                <w:szCs w:val="21"/>
                <w:highlight w:val="none"/>
                <w:lang w:eastAsia="zh-CN"/>
              </w:rPr>
              <w:t>、朝阳</w:t>
            </w:r>
            <w:r>
              <w:rPr>
                <w:rFonts w:hint="eastAsia" w:ascii="宋体" w:hAnsi="宋体" w:eastAsia="宋体" w:cs="宋体"/>
                <w:color w:val="auto"/>
                <w:sz w:val="21"/>
                <w:szCs w:val="21"/>
                <w:highlight w:val="none"/>
              </w:rPr>
              <w:t>、天安门</w:t>
            </w:r>
            <w:r>
              <w:rPr>
                <w:rFonts w:hint="eastAsia" w:ascii="宋体" w:hAnsi="宋体" w:eastAsia="宋体" w:cs="宋体"/>
                <w:color w:val="auto"/>
                <w:sz w:val="21"/>
                <w:szCs w:val="21"/>
                <w:highlight w:val="none"/>
                <w:lang w:eastAsia="zh-CN"/>
              </w:rPr>
              <w:t>、重点站区</w:t>
            </w:r>
            <w:r>
              <w:rPr>
                <w:rFonts w:hint="eastAsia" w:ascii="宋体" w:hAnsi="宋体" w:eastAsia="宋体" w:cs="宋体"/>
                <w:color w:val="auto"/>
                <w:sz w:val="21"/>
                <w:szCs w:val="21"/>
                <w:highlight w:val="none"/>
              </w:rPr>
              <w:t>）</w:t>
            </w:r>
            <w:bookmarkEnd w:id="188"/>
          </w:p>
        </w:tc>
        <w:tc>
          <w:tcPr>
            <w:tcW w:w="1869" w:type="dxa"/>
            <w:shd w:val="clear" w:color="auto" w:fill="auto"/>
            <w:noWrap w:val="0"/>
            <w:vAlign w:val="center"/>
          </w:tcPr>
          <w:p w14:paraId="5E789FCB">
            <w:pPr>
              <w:pStyle w:val="3"/>
              <w:bidi w:val="0"/>
              <w:jc w:val="center"/>
              <w:rPr>
                <w:rFonts w:hint="eastAsia" w:ascii="宋体" w:hAnsi="宋体" w:eastAsia="宋体" w:cs="宋体"/>
                <w:color w:val="auto"/>
                <w:sz w:val="21"/>
                <w:szCs w:val="21"/>
                <w:highlight w:val="none"/>
                <w:lang w:val="en-US" w:eastAsia="zh-CN"/>
              </w:rPr>
            </w:pPr>
          </w:p>
        </w:tc>
      </w:tr>
      <w:tr w14:paraId="5887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891" w:hRule="atLeast"/>
        </w:trPr>
        <w:tc>
          <w:tcPr>
            <w:tcW w:w="714" w:type="dxa"/>
            <w:shd w:val="clear" w:color="auto" w:fill="FFFFFF"/>
            <w:noWrap w:val="0"/>
            <w:vAlign w:val="center"/>
          </w:tcPr>
          <w:p w14:paraId="17FA377C">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1626" w:type="dxa"/>
            <w:gridSpan w:val="2"/>
            <w:shd w:val="clear" w:color="auto" w:fill="FFFFFF"/>
            <w:noWrap w:val="0"/>
            <w:vAlign w:val="center"/>
          </w:tcPr>
          <w:p w14:paraId="08974B34">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未依法对管道进行巡护、检测和维修</w:t>
            </w:r>
          </w:p>
        </w:tc>
        <w:tc>
          <w:tcPr>
            <w:tcW w:w="2981" w:type="dxa"/>
            <w:shd w:val="clear" w:color="auto" w:fill="auto"/>
            <w:noWrap w:val="0"/>
            <w:vAlign w:val="center"/>
          </w:tcPr>
          <w:p w14:paraId="550ADD3A">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noWrap w:val="0"/>
            <w:vAlign w:val="center"/>
          </w:tcPr>
          <w:p w14:paraId="714067CE">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20000</w:t>
            </w:r>
          </w:p>
        </w:tc>
        <w:tc>
          <w:tcPr>
            <w:tcW w:w="840" w:type="dxa"/>
            <w:shd w:val="clear" w:color="auto" w:fill="auto"/>
            <w:noWrap w:val="0"/>
            <w:vAlign w:val="center"/>
          </w:tcPr>
          <w:p w14:paraId="093D76EA">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2376" w:type="dxa"/>
            <w:shd w:val="clear" w:color="auto" w:fill="auto"/>
            <w:noWrap w:val="0"/>
            <w:vAlign w:val="center"/>
          </w:tcPr>
          <w:p w14:paraId="5365294F">
            <w:pPr>
              <w:spacing w:line="232" w:lineRule="exact"/>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1.未建立巡护制度的，系数2；2.未配备专人进行日常巡护的，系数2；3.未定期对管道风险比较大的区段和场所进行重点监测采取有效措施的，系数2；4.造成事故或者</w:t>
            </w:r>
            <w:r>
              <w:rPr>
                <w:rFonts w:hint="eastAsia" w:ascii="宋体" w:hAnsi="宋体" w:eastAsia="宋体" w:cs="宋体"/>
                <w:strike w:val="0"/>
                <w:dstrike w:val="0"/>
                <w:color w:val="auto"/>
                <w:kern w:val="0"/>
                <w:sz w:val="15"/>
                <w:szCs w:val="15"/>
                <w:highlight w:val="none"/>
                <w:lang w:eastAsia="zh-CN"/>
              </w:rPr>
              <w:t>其他</w:t>
            </w:r>
            <w:r>
              <w:rPr>
                <w:rFonts w:hint="eastAsia" w:ascii="宋体" w:hAnsi="宋体" w:eastAsia="宋体" w:cs="宋体"/>
                <w:strike w:val="0"/>
                <w:dstrike w:val="0"/>
                <w:color w:val="auto"/>
                <w:kern w:val="0"/>
                <w:sz w:val="15"/>
                <w:szCs w:val="15"/>
                <w:highlight w:val="none"/>
              </w:rPr>
              <w:t>严重后果的，系数4</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5.存在基准2.1.3规定情形的，系数按照相关规定确定（基准2.1.3.5不适用）。</w:t>
            </w:r>
          </w:p>
        </w:tc>
        <w:tc>
          <w:tcPr>
            <w:tcW w:w="1875" w:type="dxa"/>
            <w:gridSpan w:val="2"/>
            <w:shd w:val="clear" w:color="auto" w:fill="auto"/>
            <w:noWrap w:val="0"/>
            <w:vAlign w:val="center"/>
          </w:tcPr>
          <w:p w14:paraId="3C4DADD2">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罚款数额＝20000×（1＋</w:t>
            </w:r>
            <w:r>
              <w:rPr>
                <w:rFonts w:hint="eastAsia" w:ascii="宋体" w:hAnsi="宋体" w:eastAsia="宋体" w:cs="宋体"/>
                <w:strike w:val="0"/>
                <w:dstrike w:val="0"/>
                <w:color w:val="auto"/>
                <w:kern w:val="0"/>
                <w:sz w:val="15"/>
                <w:szCs w:val="15"/>
                <w:highlight w:val="none"/>
                <w:lang w:eastAsia="zh-CN"/>
              </w:rPr>
              <w:t>情节</w:t>
            </w:r>
            <w:r>
              <w:rPr>
                <w:rFonts w:hint="eastAsia" w:ascii="宋体" w:hAnsi="宋体" w:eastAsia="宋体" w:cs="宋体"/>
                <w:strike w:val="0"/>
                <w:dstrike w:val="0"/>
                <w:color w:val="auto"/>
                <w:kern w:val="0"/>
                <w:sz w:val="15"/>
                <w:szCs w:val="15"/>
                <w:highlight w:val="none"/>
              </w:rPr>
              <w:t>系数）</w:t>
            </w:r>
          </w:p>
        </w:tc>
        <w:tc>
          <w:tcPr>
            <w:tcW w:w="2020" w:type="dxa"/>
            <w:gridSpan w:val="2"/>
            <w:shd w:val="clear" w:color="auto" w:fill="auto"/>
            <w:noWrap w:val="0"/>
            <w:vAlign w:val="center"/>
          </w:tcPr>
          <w:p w14:paraId="08A8A165">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14:paraId="3BE2FABF">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需要作出</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额度处罚的，报案审会讨论决定。</w:t>
            </w:r>
          </w:p>
        </w:tc>
        <w:tc>
          <w:tcPr>
            <w:tcW w:w="1304" w:type="dxa"/>
            <w:gridSpan w:val="2"/>
            <w:shd w:val="clear" w:color="auto" w:fill="auto"/>
            <w:noWrap w:val="0"/>
            <w:vAlign w:val="center"/>
          </w:tcPr>
          <w:p w14:paraId="751FA741">
            <w:pPr>
              <w:spacing w:line="232"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市级</w:t>
            </w:r>
          </w:p>
          <w:p w14:paraId="305A3C74">
            <w:pPr>
              <w:spacing w:line="232"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区级</w:t>
            </w:r>
          </w:p>
        </w:tc>
        <w:tc>
          <w:tcPr>
            <w:tcW w:w="1869" w:type="dxa"/>
            <w:shd w:val="clear" w:color="auto" w:fill="auto"/>
            <w:noWrap w:val="0"/>
            <w:vAlign w:val="center"/>
          </w:tcPr>
          <w:p w14:paraId="713B64F5">
            <w:pPr>
              <w:spacing w:line="232" w:lineRule="exact"/>
              <w:jc w:val="center"/>
              <w:rPr>
                <w:rFonts w:hint="eastAsia" w:ascii="宋体" w:hAnsi="宋体" w:eastAsia="宋体"/>
                <w:strike w:val="0"/>
                <w:dstrike w:val="0"/>
                <w:color w:val="auto"/>
                <w:sz w:val="15"/>
                <w:szCs w:val="15"/>
                <w:highlight w:val="none"/>
                <w:lang w:eastAsia="zh"/>
              </w:rPr>
            </w:pPr>
            <w:r>
              <w:rPr>
                <w:rFonts w:hint="eastAsia" w:ascii="宋体" w:hAnsi="宋体"/>
                <w:strike w:val="0"/>
                <w:dstrike w:val="0"/>
                <w:color w:val="auto"/>
                <w:sz w:val="15"/>
                <w:szCs w:val="15"/>
                <w:highlight w:val="none"/>
                <w:lang w:eastAsia="zh"/>
              </w:rPr>
              <w:t>C1800900</w:t>
            </w:r>
          </w:p>
        </w:tc>
      </w:tr>
      <w:tr w14:paraId="5F74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220" w:hRule="atLeast"/>
        </w:trPr>
        <w:tc>
          <w:tcPr>
            <w:tcW w:w="714" w:type="dxa"/>
            <w:shd w:val="clear" w:color="auto" w:fill="FFFFFF"/>
            <w:noWrap w:val="0"/>
            <w:vAlign w:val="center"/>
          </w:tcPr>
          <w:p w14:paraId="50B72DF1">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shd w:val="clear" w:color="auto" w:fill="FFFFFF"/>
            <w:noWrap w:val="0"/>
            <w:vAlign w:val="center"/>
          </w:tcPr>
          <w:p w14:paraId="30571EA9">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不符合安全使用条件的管道未及时更新、改造或者停止使用</w:t>
            </w:r>
          </w:p>
        </w:tc>
        <w:tc>
          <w:tcPr>
            <w:tcW w:w="2981" w:type="dxa"/>
            <w:shd w:val="clear" w:color="auto" w:fill="auto"/>
            <w:noWrap w:val="0"/>
            <w:vAlign w:val="center"/>
          </w:tcPr>
          <w:p w14:paraId="4F3E3E16">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noWrap w:val="0"/>
            <w:vAlign w:val="center"/>
          </w:tcPr>
          <w:p w14:paraId="27D87625">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14:paraId="1DC0B5C6">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3ABC60B5">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1.未采取任何措施继续使用，存在</w:t>
            </w:r>
            <w:r>
              <w:rPr>
                <w:rFonts w:hint="eastAsia" w:ascii="宋体" w:hAnsi="宋体" w:eastAsia="宋体" w:cs="宋体"/>
                <w:color w:val="auto"/>
                <w:kern w:val="0"/>
                <w:sz w:val="15"/>
                <w:szCs w:val="15"/>
                <w:highlight w:val="none"/>
                <w:lang w:eastAsia="zh-CN"/>
              </w:rPr>
              <w:t>安全隐患</w:t>
            </w:r>
            <w:r>
              <w:rPr>
                <w:rFonts w:hint="eastAsia" w:ascii="宋体" w:hAnsi="宋体" w:eastAsia="宋体" w:cs="宋体"/>
                <w:color w:val="auto"/>
                <w:kern w:val="0"/>
                <w:sz w:val="15"/>
                <w:szCs w:val="15"/>
                <w:highlight w:val="none"/>
              </w:rPr>
              <w:t>的，系数2-3；2.造成事故或者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4EF0D9EB">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14:paraId="01F2BDFE">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14:paraId="7866AE37">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1304" w:type="dxa"/>
            <w:gridSpan w:val="2"/>
            <w:shd w:val="clear" w:color="auto" w:fill="auto"/>
            <w:noWrap w:val="0"/>
            <w:vAlign w:val="center"/>
          </w:tcPr>
          <w:p w14:paraId="753FD868">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4EEB1B07">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14:paraId="04D5CB02">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C1801400</w:t>
            </w:r>
          </w:p>
        </w:tc>
      </w:tr>
      <w:tr w14:paraId="5DD1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130" w:hRule="atLeast"/>
        </w:trPr>
        <w:tc>
          <w:tcPr>
            <w:tcW w:w="714" w:type="dxa"/>
            <w:shd w:val="clear" w:color="auto" w:fill="FFFFFF"/>
            <w:noWrap w:val="0"/>
            <w:vAlign w:val="center"/>
          </w:tcPr>
          <w:p w14:paraId="26BE5DF2">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shd w:val="clear" w:color="auto" w:fill="FFFFFF"/>
            <w:noWrap w:val="0"/>
            <w:vAlign w:val="center"/>
          </w:tcPr>
          <w:p w14:paraId="4D999022">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未按规定设置、修复或者更新管道标志</w:t>
            </w:r>
          </w:p>
        </w:tc>
        <w:tc>
          <w:tcPr>
            <w:tcW w:w="2981" w:type="dxa"/>
            <w:shd w:val="clear" w:color="auto" w:fill="auto"/>
            <w:noWrap w:val="0"/>
            <w:vAlign w:val="center"/>
          </w:tcPr>
          <w:p w14:paraId="2A7AC1B7">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noWrap w:val="0"/>
            <w:vAlign w:val="center"/>
          </w:tcPr>
          <w:p w14:paraId="25608071">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14:paraId="1B74CC75">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354262FA">
            <w:pPr>
              <w:spacing w:line="240" w:lineRule="exact"/>
              <w:rPr>
                <w:rFonts w:hint="eastAsia" w:ascii="宋体" w:hAnsi="宋体" w:eastAsia="宋体" w:cs="宋体"/>
                <w:color w:val="auto"/>
                <w:spacing w:val="-3"/>
                <w:kern w:val="0"/>
                <w:sz w:val="15"/>
                <w:szCs w:val="15"/>
                <w:highlight w:val="none"/>
                <w:lang w:eastAsia="zh-CN"/>
              </w:rPr>
            </w:pPr>
            <w:r>
              <w:rPr>
                <w:rFonts w:hint="eastAsia" w:ascii="宋体" w:hAnsi="宋体" w:eastAsia="宋体" w:cs="宋体"/>
                <w:color w:val="auto"/>
                <w:spacing w:val="-3"/>
                <w:kern w:val="0"/>
                <w:sz w:val="15"/>
                <w:szCs w:val="15"/>
                <w:highlight w:val="none"/>
              </w:rPr>
              <w:t>1.未依法设置或者未修复更新，</w:t>
            </w:r>
            <w:r>
              <w:rPr>
                <w:rFonts w:hint="eastAsia" w:ascii="宋体" w:hAnsi="宋体" w:eastAsia="宋体" w:cs="宋体"/>
                <w:color w:val="auto"/>
                <w:kern w:val="0"/>
                <w:sz w:val="15"/>
                <w:szCs w:val="15"/>
                <w:highlight w:val="none"/>
              </w:rPr>
              <w:t>存在</w:t>
            </w:r>
            <w:r>
              <w:rPr>
                <w:rFonts w:hint="eastAsia" w:ascii="宋体" w:hAnsi="宋体" w:eastAsia="宋体" w:cs="宋体"/>
                <w:color w:val="auto"/>
                <w:kern w:val="0"/>
                <w:sz w:val="15"/>
                <w:szCs w:val="15"/>
                <w:highlight w:val="none"/>
                <w:lang w:eastAsia="zh-CN"/>
              </w:rPr>
              <w:t>安全隐患</w:t>
            </w:r>
            <w:r>
              <w:rPr>
                <w:rFonts w:hint="eastAsia" w:ascii="宋体" w:hAnsi="宋体" w:eastAsia="宋体" w:cs="宋体"/>
                <w:color w:val="auto"/>
                <w:kern w:val="0"/>
                <w:sz w:val="15"/>
                <w:szCs w:val="15"/>
                <w:highlight w:val="none"/>
              </w:rPr>
              <w:t>的</w:t>
            </w:r>
            <w:r>
              <w:rPr>
                <w:rFonts w:hint="eastAsia" w:ascii="宋体" w:hAnsi="宋体" w:eastAsia="宋体" w:cs="宋体"/>
                <w:color w:val="auto"/>
                <w:spacing w:val="-3"/>
                <w:kern w:val="0"/>
                <w:sz w:val="15"/>
                <w:szCs w:val="15"/>
                <w:highlight w:val="none"/>
              </w:rPr>
              <w:t>，系数1-3；2.造成事故或者</w:t>
            </w:r>
            <w:r>
              <w:rPr>
                <w:rFonts w:hint="eastAsia" w:ascii="宋体" w:hAnsi="宋体" w:eastAsia="宋体" w:cs="宋体"/>
                <w:color w:val="auto"/>
                <w:spacing w:val="-3"/>
                <w:kern w:val="0"/>
                <w:sz w:val="15"/>
                <w:szCs w:val="15"/>
                <w:highlight w:val="none"/>
                <w:lang w:eastAsia="zh-CN"/>
              </w:rPr>
              <w:t>其他</w:t>
            </w:r>
            <w:r>
              <w:rPr>
                <w:rFonts w:hint="eastAsia" w:ascii="宋体" w:hAnsi="宋体" w:eastAsia="宋体" w:cs="宋体"/>
                <w:color w:val="auto"/>
                <w:spacing w:val="-3"/>
                <w:kern w:val="0"/>
                <w:sz w:val="15"/>
                <w:szCs w:val="15"/>
                <w:highlight w:val="none"/>
              </w:rPr>
              <w:t>严重后果的，系数4</w:t>
            </w:r>
            <w:r>
              <w:rPr>
                <w:rFonts w:hint="eastAsia" w:ascii="宋体" w:hAnsi="宋体" w:eastAsia="宋体" w:cs="宋体"/>
                <w:color w:val="auto"/>
                <w:spacing w:val="-3"/>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2479723A">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14:paraId="6C2CF495">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14:paraId="39D4D696">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1304" w:type="dxa"/>
            <w:gridSpan w:val="2"/>
            <w:shd w:val="clear" w:color="auto" w:fill="auto"/>
            <w:noWrap w:val="0"/>
            <w:vAlign w:val="center"/>
          </w:tcPr>
          <w:p w14:paraId="073A4963">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6F001210">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14:paraId="56F990C8">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C1802800</w:t>
            </w:r>
          </w:p>
        </w:tc>
      </w:tr>
      <w:tr w14:paraId="0192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355" w:hRule="atLeast"/>
        </w:trPr>
        <w:tc>
          <w:tcPr>
            <w:tcW w:w="714" w:type="dxa"/>
            <w:shd w:val="clear" w:color="auto" w:fill="FFFFFF"/>
            <w:noWrap w:val="0"/>
            <w:vAlign w:val="center"/>
          </w:tcPr>
          <w:p w14:paraId="09C5F217">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shd w:val="clear" w:color="auto" w:fill="FFFFFF"/>
            <w:noWrap w:val="0"/>
            <w:vAlign w:val="center"/>
          </w:tcPr>
          <w:p w14:paraId="68011DA7">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未按规定将管道竣工测量图报送备案</w:t>
            </w:r>
          </w:p>
        </w:tc>
        <w:tc>
          <w:tcPr>
            <w:tcW w:w="2981" w:type="dxa"/>
            <w:shd w:val="clear" w:color="auto" w:fill="auto"/>
            <w:noWrap w:val="0"/>
            <w:vAlign w:val="center"/>
          </w:tcPr>
          <w:p w14:paraId="27E2A483">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noWrap w:val="0"/>
            <w:vAlign w:val="center"/>
          </w:tcPr>
          <w:p w14:paraId="69A15A85">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14:paraId="5F0B2DEA">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21DB6BAA">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1.未报送备案，逾期6-10日，系数1，逾期11-15日，系数2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逾期</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日，系数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逾期</w:t>
            </w:r>
            <w:r>
              <w:rPr>
                <w:rFonts w:hint="eastAsia" w:ascii="宋体" w:hAnsi="宋体" w:eastAsia="宋体" w:cs="宋体"/>
                <w:color w:val="auto"/>
                <w:kern w:val="0"/>
                <w:sz w:val="15"/>
                <w:szCs w:val="15"/>
                <w:highlight w:val="none"/>
                <w:lang w:val="en-US" w:eastAsia="zh-CN"/>
              </w:rPr>
              <w:t>21日及以上的</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058F5D8E">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14:paraId="5B91D7DE">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14:paraId="4BD87FAB">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1304" w:type="dxa"/>
            <w:gridSpan w:val="2"/>
            <w:shd w:val="clear" w:color="auto" w:fill="auto"/>
            <w:noWrap w:val="0"/>
            <w:vAlign w:val="center"/>
          </w:tcPr>
          <w:p w14:paraId="509B7A7C">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5DF0FC5F">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14:paraId="323D1828">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C1802700</w:t>
            </w:r>
          </w:p>
        </w:tc>
      </w:tr>
      <w:tr w14:paraId="725D5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90" w:hRule="atLeast"/>
        </w:trPr>
        <w:tc>
          <w:tcPr>
            <w:tcW w:w="714" w:type="dxa"/>
            <w:shd w:val="clear" w:color="auto" w:fill="FFFFFF"/>
            <w:noWrap w:val="0"/>
            <w:vAlign w:val="center"/>
          </w:tcPr>
          <w:p w14:paraId="4384576D">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shd w:val="clear" w:color="auto" w:fill="FFFFFF"/>
            <w:noWrap w:val="0"/>
            <w:vAlign w:val="center"/>
          </w:tcPr>
          <w:p w14:paraId="1B30633B">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未制定管道事故应急预案或者未将应急预案报送备案</w:t>
            </w:r>
          </w:p>
        </w:tc>
        <w:tc>
          <w:tcPr>
            <w:tcW w:w="2981" w:type="dxa"/>
            <w:shd w:val="clear" w:color="auto" w:fill="auto"/>
            <w:noWrap w:val="0"/>
            <w:vAlign w:val="center"/>
          </w:tcPr>
          <w:p w14:paraId="6A37CACC">
            <w:pPr>
              <w:spacing w:line="24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noWrap w:val="0"/>
            <w:vAlign w:val="center"/>
          </w:tcPr>
          <w:p w14:paraId="23D2E56E">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14:paraId="2F90A002">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4AB36921">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1.未制定预案的，系数2；2.造成事故或者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3BD2F863">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14:paraId="42855C39">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14:paraId="35AF3604">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1304" w:type="dxa"/>
            <w:gridSpan w:val="2"/>
            <w:shd w:val="clear" w:color="auto" w:fill="auto"/>
            <w:noWrap w:val="0"/>
            <w:vAlign w:val="center"/>
          </w:tcPr>
          <w:p w14:paraId="23AF7130">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79157E05">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14:paraId="574256BA">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C1802900</w:t>
            </w:r>
          </w:p>
        </w:tc>
      </w:tr>
      <w:tr w14:paraId="0E5AF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855" w:hRule="atLeast"/>
        </w:trPr>
        <w:tc>
          <w:tcPr>
            <w:tcW w:w="714" w:type="dxa"/>
            <w:shd w:val="clear" w:color="auto" w:fill="FFFFFF"/>
            <w:noWrap w:val="0"/>
            <w:vAlign w:val="center"/>
          </w:tcPr>
          <w:p w14:paraId="6A5B2A4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shd w:val="clear" w:color="auto" w:fill="FFFFFF"/>
            <w:noWrap w:val="0"/>
            <w:vAlign w:val="center"/>
          </w:tcPr>
          <w:p w14:paraId="4448A0CC">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未采取有效措施消除或者减轻管道事故危害</w:t>
            </w:r>
          </w:p>
        </w:tc>
        <w:tc>
          <w:tcPr>
            <w:tcW w:w="2981" w:type="dxa"/>
            <w:shd w:val="clear" w:color="auto" w:fill="auto"/>
            <w:noWrap w:val="0"/>
            <w:vAlign w:val="center"/>
          </w:tcPr>
          <w:p w14:paraId="6673AAD3">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noWrap w:val="0"/>
            <w:vAlign w:val="center"/>
          </w:tcPr>
          <w:p w14:paraId="1ED84CB2">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14:paraId="04D54545">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216F3004">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1.启动应急预案迟缓的，系数2；2.措施明显失当的，</w:t>
            </w:r>
            <w:r>
              <w:rPr>
                <w:rFonts w:hint="eastAsia" w:ascii="宋体" w:hAnsi="宋体" w:eastAsia="宋体" w:cs="宋体"/>
                <w:color w:val="auto"/>
                <w:kern w:val="0"/>
                <w:sz w:val="15"/>
                <w:szCs w:val="15"/>
                <w:highlight w:val="none"/>
                <w:lang w:val="en-US" w:eastAsia="zh-CN"/>
              </w:rPr>
              <w:t>系数3</w:t>
            </w:r>
            <w:r>
              <w:rPr>
                <w:rFonts w:hint="eastAsia" w:ascii="宋体" w:hAnsi="宋体" w:eastAsia="宋体" w:cs="宋体"/>
                <w:color w:val="auto"/>
                <w:kern w:val="0"/>
                <w:sz w:val="15"/>
                <w:szCs w:val="15"/>
                <w:highlight w:val="none"/>
              </w:rPr>
              <w:t>；3.造成事故危害扩大的，系数4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4.存在基准2.1.3规定情形的，系数按照相关规定确定（基准2.1.3.5不适用）。</w:t>
            </w:r>
          </w:p>
        </w:tc>
        <w:tc>
          <w:tcPr>
            <w:tcW w:w="1875" w:type="dxa"/>
            <w:gridSpan w:val="2"/>
            <w:shd w:val="clear" w:color="auto" w:fill="auto"/>
            <w:noWrap w:val="0"/>
            <w:vAlign w:val="center"/>
          </w:tcPr>
          <w:p w14:paraId="32CC21ED">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14:paraId="65B94818">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14:paraId="5D7ED67F">
            <w:pPr>
              <w:spacing w:line="19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1304" w:type="dxa"/>
            <w:gridSpan w:val="2"/>
            <w:shd w:val="clear" w:color="auto" w:fill="auto"/>
            <w:noWrap w:val="0"/>
            <w:vAlign w:val="center"/>
          </w:tcPr>
          <w:p w14:paraId="2974DD0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6590347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14:paraId="7172D030">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C1801200</w:t>
            </w:r>
          </w:p>
        </w:tc>
      </w:tr>
      <w:tr w14:paraId="43FA2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970" w:hRule="atLeast"/>
        </w:trPr>
        <w:tc>
          <w:tcPr>
            <w:tcW w:w="714" w:type="dxa"/>
            <w:shd w:val="clear" w:color="auto" w:fill="FFFFFF"/>
            <w:noWrap w:val="0"/>
            <w:vAlign w:val="center"/>
          </w:tcPr>
          <w:p w14:paraId="4AF7C13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shd w:val="clear" w:color="auto" w:fill="FFFFFF"/>
            <w:noWrap w:val="0"/>
            <w:vAlign w:val="center"/>
          </w:tcPr>
          <w:p w14:paraId="2020EDF8">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未对停止运行、封存、报废的管道采取必要的安全防护措施</w:t>
            </w:r>
          </w:p>
        </w:tc>
        <w:tc>
          <w:tcPr>
            <w:tcW w:w="2981" w:type="dxa"/>
            <w:shd w:val="clear" w:color="auto" w:fill="auto"/>
            <w:noWrap w:val="0"/>
            <w:vAlign w:val="center"/>
          </w:tcPr>
          <w:p w14:paraId="20006663">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noWrap w:val="0"/>
            <w:vAlign w:val="center"/>
          </w:tcPr>
          <w:p w14:paraId="747D36A2">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14:paraId="57340DA0">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2EB7426D">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1.未采取任何安全防护措施的，系数2；2.致使事故或者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690536ED">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14:paraId="4C8F8B49">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14:paraId="5DA05FDC">
            <w:pPr>
              <w:spacing w:line="19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1304" w:type="dxa"/>
            <w:gridSpan w:val="2"/>
            <w:shd w:val="clear" w:color="auto" w:fill="auto"/>
            <w:noWrap w:val="0"/>
            <w:vAlign w:val="center"/>
          </w:tcPr>
          <w:p w14:paraId="7818E5A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70149200">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14:paraId="08680147">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C1802200</w:t>
            </w:r>
          </w:p>
        </w:tc>
      </w:tr>
      <w:tr w14:paraId="3E83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177" w:hRule="atLeast"/>
        </w:trPr>
        <w:tc>
          <w:tcPr>
            <w:tcW w:w="714" w:type="dxa"/>
            <w:vMerge w:val="restart"/>
            <w:shd w:val="clear" w:color="auto" w:fill="FFFFFF"/>
            <w:noWrap w:val="0"/>
            <w:vAlign w:val="center"/>
          </w:tcPr>
          <w:p w14:paraId="4F90C0F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vMerge w:val="restart"/>
            <w:shd w:val="clear" w:color="auto" w:fill="auto"/>
            <w:noWrap w:val="0"/>
            <w:vAlign w:val="center"/>
          </w:tcPr>
          <w:p w14:paraId="650FBC52">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981" w:type="dxa"/>
            <w:vMerge w:val="restart"/>
            <w:shd w:val="clear" w:color="auto" w:fill="auto"/>
            <w:noWrap w:val="0"/>
            <w:vAlign w:val="center"/>
          </w:tcPr>
          <w:p w14:paraId="70D81E4B">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14:paraId="6E45A26B">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14:paraId="0AAD804B">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14:paraId="433F0B4A">
            <w:pPr>
              <w:autoSpaceDE w:val="0"/>
              <w:spacing w:line="190" w:lineRule="exact"/>
              <w:ind w:left="15"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shd w:val="clear" w:color="auto" w:fill="auto"/>
            <w:noWrap w:val="0"/>
            <w:vAlign w:val="center"/>
          </w:tcPr>
          <w:p w14:paraId="708B93CF">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74DAE58C">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restart"/>
            <w:shd w:val="clear" w:color="auto" w:fill="auto"/>
            <w:noWrap w:val="0"/>
            <w:vAlign w:val="center"/>
          </w:tcPr>
          <w:p w14:paraId="7D3A6EF8">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14:paraId="112FA28E">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14:paraId="6BB4D840">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p w14:paraId="2F4E7EF1">
            <w:pPr>
              <w:autoSpaceDE w:val="0"/>
              <w:spacing w:line="190" w:lineRule="exact"/>
              <w:rPr>
                <w:rFonts w:ascii="宋体" w:hAnsi="宋体" w:eastAsia="宋体" w:cs="宋体"/>
                <w:color w:val="auto"/>
                <w:kern w:val="0"/>
                <w:sz w:val="15"/>
                <w:szCs w:val="15"/>
                <w:highlight w:val="none"/>
              </w:rPr>
            </w:pPr>
          </w:p>
        </w:tc>
        <w:tc>
          <w:tcPr>
            <w:tcW w:w="1304" w:type="dxa"/>
            <w:gridSpan w:val="2"/>
            <w:vMerge w:val="restart"/>
            <w:shd w:val="clear" w:color="auto" w:fill="auto"/>
            <w:noWrap w:val="0"/>
            <w:vAlign w:val="center"/>
          </w:tcPr>
          <w:p w14:paraId="4E82F3A3">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482918A6">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vMerge w:val="restart"/>
            <w:shd w:val="clear" w:color="auto" w:fill="auto"/>
            <w:noWrap w:val="0"/>
            <w:vAlign w:val="center"/>
          </w:tcPr>
          <w:p w14:paraId="77C68A2D">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C1801100</w:t>
            </w:r>
          </w:p>
        </w:tc>
      </w:tr>
      <w:tr w14:paraId="4B0B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209" w:hRule="atLeast"/>
        </w:trPr>
        <w:tc>
          <w:tcPr>
            <w:tcW w:w="714" w:type="dxa"/>
            <w:vMerge w:val="continue"/>
            <w:shd w:val="clear" w:color="auto" w:fill="FFFFFF"/>
            <w:noWrap w:val="0"/>
            <w:vAlign w:val="center"/>
          </w:tcPr>
          <w:p w14:paraId="0148E65C">
            <w:pPr>
              <w:spacing w:line="232" w:lineRule="exact"/>
              <w:jc w:val="center"/>
              <w:rPr>
                <w:rFonts w:ascii="宋体" w:hAnsi="宋体" w:eastAsia="宋体" w:cs="宋体"/>
                <w:color w:val="auto"/>
                <w:kern w:val="0"/>
                <w:sz w:val="15"/>
                <w:szCs w:val="15"/>
                <w:highlight w:val="none"/>
              </w:rPr>
            </w:pPr>
          </w:p>
        </w:tc>
        <w:tc>
          <w:tcPr>
            <w:tcW w:w="1626" w:type="dxa"/>
            <w:gridSpan w:val="2"/>
            <w:vMerge w:val="continue"/>
            <w:shd w:val="clear" w:color="auto" w:fill="auto"/>
            <w:noWrap w:val="0"/>
            <w:vAlign w:val="center"/>
          </w:tcPr>
          <w:p w14:paraId="1F6D3DA3">
            <w:pPr>
              <w:spacing w:line="232" w:lineRule="exact"/>
              <w:rPr>
                <w:rFonts w:ascii="宋体" w:hAnsi="宋体" w:eastAsia="宋体" w:cs="宋体"/>
                <w:color w:val="auto"/>
                <w:kern w:val="0"/>
                <w:sz w:val="15"/>
                <w:szCs w:val="15"/>
                <w:highlight w:val="none"/>
              </w:rPr>
            </w:pPr>
          </w:p>
        </w:tc>
        <w:tc>
          <w:tcPr>
            <w:tcW w:w="2981" w:type="dxa"/>
            <w:vMerge w:val="continue"/>
            <w:shd w:val="clear" w:color="auto" w:fill="auto"/>
            <w:noWrap w:val="0"/>
            <w:vAlign w:val="center"/>
          </w:tcPr>
          <w:p w14:paraId="1A860954">
            <w:pPr>
              <w:pStyle w:val="20"/>
              <w:widowControl w:val="0"/>
              <w:shd w:val="clear" w:color="auto" w:fill="FFFFFF"/>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noWrap w:val="0"/>
            <w:vAlign w:val="center"/>
          </w:tcPr>
          <w:p w14:paraId="1067D978">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14:paraId="4D88BDA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14:paraId="3FE0B50D">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2376" w:type="dxa"/>
            <w:vMerge w:val="continue"/>
            <w:shd w:val="clear" w:color="auto" w:fill="auto"/>
            <w:noWrap w:val="0"/>
            <w:vAlign w:val="center"/>
          </w:tcPr>
          <w:p w14:paraId="23814082">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14:paraId="76835B1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shd w:val="clear" w:color="auto" w:fill="auto"/>
            <w:noWrap w:val="0"/>
            <w:vAlign w:val="center"/>
          </w:tcPr>
          <w:p w14:paraId="2D75D08A">
            <w:pPr>
              <w:spacing w:line="232" w:lineRule="exact"/>
              <w:rPr>
                <w:rFonts w:ascii="宋体" w:hAnsi="宋体" w:eastAsia="宋体" w:cs="宋体"/>
                <w:color w:val="auto"/>
                <w:kern w:val="0"/>
                <w:sz w:val="15"/>
                <w:szCs w:val="15"/>
                <w:highlight w:val="none"/>
              </w:rPr>
            </w:pPr>
          </w:p>
        </w:tc>
        <w:tc>
          <w:tcPr>
            <w:tcW w:w="1304" w:type="dxa"/>
            <w:gridSpan w:val="2"/>
            <w:vMerge w:val="continue"/>
            <w:shd w:val="clear" w:color="auto" w:fill="auto"/>
            <w:noWrap w:val="0"/>
            <w:vAlign w:val="center"/>
          </w:tcPr>
          <w:p w14:paraId="6D0CDBA8">
            <w:pPr>
              <w:spacing w:line="232" w:lineRule="exact"/>
              <w:jc w:val="center"/>
              <w:rPr>
                <w:rFonts w:ascii="宋体" w:hAnsi="宋体" w:eastAsia="宋体" w:cs="宋体"/>
                <w:color w:val="auto"/>
                <w:kern w:val="0"/>
                <w:sz w:val="15"/>
                <w:szCs w:val="15"/>
                <w:highlight w:val="none"/>
              </w:rPr>
            </w:pPr>
          </w:p>
        </w:tc>
        <w:tc>
          <w:tcPr>
            <w:tcW w:w="1869" w:type="dxa"/>
            <w:vMerge w:val="continue"/>
            <w:shd w:val="clear" w:color="auto" w:fill="auto"/>
            <w:noWrap w:val="0"/>
            <w:vAlign w:val="center"/>
          </w:tcPr>
          <w:p w14:paraId="3EC8D4DA">
            <w:pPr>
              <w:spacing w:line="232" w:lineRule="exact"/>
              <w:jc w:val="center"/>
              <w:rPr>
                <w:rFonts w:hint="eastAsia" w:ascii="宋体" w:hAnsi="宋体" w:eastAsia="宋体" w:cs="宋体"/>
                <w:color w:val="auto"/>
                <w:kern w:val="0"/>
                <w:sz w:val="15"/>
                <w:szCs w:val="15"/>
                <w:highlight w:val="none"/>
                <w:lang w:eastAsia="zh"/>
              </w:rPr>
            </w:pPr>
          </w:p>
        </w:tc>
      </w:tr>
      <w:tr w14:paraId="6E825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911" w:hRule="atLeast"/>
        </w:trPr>
        <w:tc>
          <w:tcPr>
            <w:tcW w:w="714" w:type="dxa"/>
            <w:vMerge w:val="restart"/>
            <w:shd w:val="clear" w:color="auto" w:fill="FFFFFF"/>
            <w:noWrap w:val="0"/>
            <w:vAlign w:val="center"/>
          </w:tcPr>
          <w:p w14:paraId="631035D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vMerge w:val="restart"/>
            <w:shd w:val="clear" w:color="auto" w:fill="auto"/>
            <w:noWrap w:val="0"/>
            <w:vAlign w:val="center"/>
          </w:tcPr>
          <w:p w14:paraId="1A43ECAF">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在管道线路中心线两侧各五米地域范围内种植可能损坏管道防腐层的深根植物</w:t>
            </w:r>
          </w:p>
        </w:tc>
        <w:tc>
          <w:tcPr>
            <w:tcW w:w="2981" w:type="dxa"/>
            <w:vMerge w:val="restart"/>
            <w:shd w:val="clear" w:color="auto" w:fill="auto"/>
            <w:noWrap w:val="0"/>
            <w:vAlign w:val="center"/>
          </w:tcPr>
          <w:p w14:paraId="1F9DA42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14:paraId="186876B3">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14:paraId="2BAD9AAF">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14:paraId="5A0ADC49">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shd w:val="clear" w:color="auto" w:fill="auto"/>
            <w:noWrap w:val="0"/>
            <w:vAlign w:val="center"/>
          </w:tcPr>
          <w:p w14:paraId="366F8C6E">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7EACCE3E">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restart"/>
            <w:shd w:val="clear" w:color="auto" w:fill="auto"/>
            <w:noWrap w:val="0"/>
            <w:vAlign w:val="center"/>
          </w:tcPr>
          <w:p w14:paraId="6337907A">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14:paraId="3AA1DF99">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14:paraId="3F02E385">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1304" w:type="dxa"/>
            <w:gridSpan w:val="2"/>
            <w:vMerge w:val="restart"/>
            <w:shd w:val="clear" w:color="auto" w:fill="auto"/>
            <w:noWrap w:val="0"/>
            <w:vAlign w:val="center"/>
          </w:tcPr>
          <w:p w14:paraId="6452E94E">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5BD47A49">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vMerge w:val="restart"/>
            <w:shd w:val="clear" w:color="auto" w:fill="auto"/>
            <w:noWrap w:val="0"/>
            <w:vAlign w:val="center"/>
          </w:tcPr>
          <w:p w14:paraId="1ED50B8C">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C1803000</w:t>
            </w:r>
          </w:p>
        </w:tc>
      </w:tr>
      <w:tr w14:paraId="50F3B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739" w:hRule="atLeast"/>
        </w:trPr>
        <w:tc>
          <w:tcPr>
            <w:tcW w:w="714" w:type="dxa"/>
            <w:vMerge w:val="continue"/>
            <w:shd w:val="clear" w:color="auto" w:fill="FFFFFF"/>
            <w:noWrap w:val="0"/>
            <w:vAlign w:val="center"/>
          </w:tcPr>
          <w:p w14:paraId="64E47E1D">
            <w:pPr>
              <w:spacing w:line="232" w:lineRule="exact"/>
              <w:jc w:val="center"/>
              <w:rPr>
                <w:rFonts w:ascii="宋体" w:hAnsi="宋体" w:eastAsia="宋体" w:cs="宋体"/>
                <w:color w:val="auto"/>
                <w:kern w:val="0"/>
                <w:sz w:val="15"/>
                <w:szCs w:val="15"/>
                <w:highlight w:val="none"/>
              </w:rPr>
            </w:pPr>
          </w:p>
        </w:tc>
        <w:tc>
          <w:tcPr>
            <w:tcW w:w="1626" w:type="dxa"/>
            <w:gridSpan w:val="2"/>
            <w:vMerge w:val="continue"/>
            <w:shd w:val="clear" w:color="auto" w:fill="auto"/>
            <w:noWrap w:val="0"/>
            <w:vAlign w:val="center"/>
          </w:tcPr>
          <w:p w14:paraId="075BA106">
            <w:pPr>
              <w:spacing w:line="232" w:lineRule="exact"/>
              <w:rPr>
                <w:rFonts w:ascii="宋体" w:hAnsi="宋体" w:eastAsia="宋体" w:cs="宋体"/>
                <w:color w:val="auto"/>
                <w:kern w:val="0"/>
                <w:sz w:val="15"/>
                <w:szCs w:val="15"/>
                <w:highlight w:val="none"/>
              </w:rPr>
            </w:pPr>
          </w:p>
        </w:tc>
        <w:tc>
          <w:tcPr>
            <w:tcW w:w="2981" w:type="dxa"/>
            <w:vMerge w:val="continue"/>
            <w:shd w:val="clear" w:color="auto" w:fill="auto"/>
            <w:noWrap w:val="0"/>
            <w:vAlign w:val="center"/>
          </w:tcPr>
          <w:p w14:paraId="08725DF9">
            <w:pPr>
              <w:spacing w:line="232" w:lineRule="exact"/>
              <w:rPr>
                <w:rFonts w:ascii="宋体" w:hAnsi="宋体" w:eastAsia="宋体"/>
                <w:color w:val="auto"/>
                <w:sz w:val="15"/>
                <w:szCs w:val="15"/>
                <w:highlight w:val="none"/>
              </w:rPr>
            </w:pPr>
          </w:p>
        </w:tc>
        <w:tc>
          <w:tcPr>
            <w:tcW w:w="851" w:type="dxa"/>
            <w:shd w:val="clear" w:color="auto" w:fill="auto"/>
            <w:noWrap w:val="0"/>
            <w:vAlign w:val="center"/>
          </w:tcPr>
          <w:p w14:paraId="1EF5BC93">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14:paraId="5968097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14:paraId="489FBB80">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2376" w:type="dxa"/>
            <w:vMerge w:val="continue"/>
            <w:shd w:val="clear" w:color="auto" w:fill="auto"/>
            <w:noWrap w:val="0"/>
            <w:vAlign w:val="center"/>
          </w:tcPr>
          <w:p w14:paraId="534CF155">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14:paraId="7952953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shd w:val="clear" w:color="auto" w:fill="auto"/>
            <w:noWrap w:val="0"/>
            <w:vAlign w:val="center"/>
          </w:tcPr>
          <w:p w14:paraId="6663359E">
            <w:pPr>
              <w:spacing w:line="232" w:lineRule="exact"/>
              <w:rPr>
                <w:rFonts w:ascii="宋体" w:hAnsi="宋体" w:eastAsia="宋体"/>
                <w:color w:val="auto"/>
                <w:sz w:val="15"/>
                <w:szCs w:val="15"/>
                <w:highlight w:val="none"/>
              </w:rPr>
            </w:pPr>
          </w:p>
        </w:tc>
        <w:tc>
          <w:tcPr>
            <w:tcW w:w="1304" w:type="dxa"/>
            <w:gridSpan w:val="2"/>
            <w:vMerge w:val="continue"/>
            <w:shd w:val="clear" w:color="auto" w:fill="auto"/>
            <w:noWrap w:val="0"/>
            <w:vAlign w:val="center"/>
          </w:tcPr>
          <w:p w14:paraId="0CD52366">
            <w:pPr>
              <w:spacing w:line="232" w:lineRule="exact"/>
              <w:jc w:val="center"/>
              <w:rPr>
                <w:rFonts w:ascii="宋体" w:hAnsi="宋体" w:eastAsia="宋体"/>
                <w:color w:val="auto"/>
                <w:sz w:val="15"/>
                <w:szCs w:val="15"/>
                <w:highlight w:val="none"/>
              </w:rPr>
            </w:pPr>
          </w:p>
        </w:tc>
        <w:tc>
          <w:tcPr>
            <w:tcW w:w="1869" w:type="dxa"/>
            <w:vMerge w:val="continue"/>
            <w:shd w:val="clear" w:color="auto" w:fill="auto"/>
            <w:noWrap w:val="0"/>
            <w:vAlign w:val="center"/>
          </w:tcPr>
          <w:p w14:paraId="58769FC9">
            <w:pPr>
              <w:spacing w:line="232" w:lineRule="exact"/>
              <w:jc w:val="center"/>
              <w:rPr>
                <w:rFonts w:hint="eastAsia" w:ascii="宋体" w:hAnsi="宋体" w:eastAsia="宋体"/>
                <w:color w:val="auto"/>
                <w:sz w:val="15"/>
                <w:szCs w:val="15"/>
                <w:highlight w:val="none"/>
                <w:lang w:eastAsia="zh"/>
              </w:rPr>
            </w:pPr>
          </w:p>
        </w:tc>
      </w:tr>
      <w:tr w14:paraId="7CAD6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739" w:hRule="atLeast"/>
        </w:trPr>
        <w:tc>
          <w:tcPr>
            <w:tcW w:w="714" w:type="dxa"/>
            <w:vMerge w:val="restart"/>
            <w:shd w:val="clear" w:color="auto" w:fill="FFFFFF"/>
            <w:noWrap w:val="0"/>
            <w:vAlign w:val="center"/>
          </w:tcPr>
          <w:p w14:paraId="0ADDEA7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vMerge w:val="restart"/>
            <w:shd w:val="clear" w:color="auto" w:fill="auto"/>
            <w:noWrap w:val="0"/>
            <w:vAlign w:val="center"/>
          </w:tcPr>
          <w:p w14:paraId="37C0CA6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在管道线路中心线两侧各五米地域范围内取土、采石、用火、堆放重物、排放腐蚀性物质、使用机械工具进行挖掘施工</w:t>
            </w:r>
          </w:p>
        </w:tc>
        <w:tc>
          <w:tcPr>
            <w:tcW w:w="2981" w:type="dxa"/>
            <w:vMerge w:val="restart"/>
            <w:shd w:val="clear" w:color="auto" w:fill="auto"/>
            <w:noWrap w:val="0"/>
            <w:vAlign w:val="center"/>
          </w:tcPr>
          <w:p w14:paraId="49E0CEE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14:paraId="3BBD6BDC">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14:paraId="1928B6A1">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14:paraId="6100F2DC">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shd w:val="clear" w:color="auto" w:fill="auto"/>
            <w:noWrap w:val="0"/>
            <w:vAlign w:val="center"/>
          </w:tcPr>
          <w:p w14:paraId="7B7FBDF0">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6982360F">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restart"/>
            <w:shd w:val="clear" w:color="auto" w:fill="auto"/>
            <w:noWrap w:val="0"/>
            <w:vAlign w:val="center"/>
          </w:tcPr>
          <w:p w14:paraId="0B903EAA">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14:paraId="7C7D0A6C">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14:paraId="04F84509">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1304" w:type="dxa"/>
            <w:gridSpan w:val="2"/>
            <w:vMerge w:val="restart"/>
            <w:shd w:val="clear" w:color="auto" w:fill="auto"/>
            <w:noWrap w:val="0"/>
            <w:vAlign w:val="center"/>
          </w:tcPr>
          <w:p w14:paraId="7C7BCFE0">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7507997C">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vMerge w:val="restart"/>
            <w:shd w:val="clear" w:color="auto" w:fill="auto"/>
            <w:noWrap w:val="0"/>
            <w:vAlign w:val="center"/>
          </w:tcPr>
          <w:p w14:paraId="276DDF9A">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C1801800</w:t>
            </w:r>
          </w:p>
        </w:tc>
      </w:tr>
      <w:tr w14:paraId="7DA1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810" w:hRule="atLeast"/>
        </w:trPr>
        <w:tc>
          <w:tcPr>
            <w:tcW w:w="714" w:type="dxa"/>
            <w:vMerge w:val="continue"/>
            <w:shd w:val="clear" w:color="auto" w:fill="FFFFFF"/>
            <w:noWrap w:val="0"/>
            <w:vAlign w:val="center"/>
          </w:tcPr>
          <w:p w14:paraId="678C9E71">
            <w:pPr>
              <w:spacing w:line="232" w:lineRule="exact"/>
              <w:jc w:val="center"/>
              <w:rPr>
                <w:rFonts w:ascii="宋体" w:hAnsi="宋体" w:eastAsia="宋体" w:cs="宋体"/>
                <w:color w:val="auto"/>
                <w:kern w:val="0"/>
                <w:sz w:val="15"/>
                <w:szCs w:val="15"/>
                <w:highlight w:val="none"/>
              </w:rPr>
            </w:pPr>
          </w:p>
        </w:tc>
        <w:tc>
          <w:tcPr>
            <w:tcW w:w="1626" w:type="dxa"/>
            <w:gridSpan w:val="2"/>
            <w:vMerge w:val="continue"/>
            <w:shd w:val="clear" w:color="auto" w:fill="auto"/>
            <w:noWrap w:val="0"/>
            <w:vAlign w:val="center"/>
          </w:tcPr>
          <w:p w14:paraId="213BCF21">
            <w:pPr>
              <w:spacing w:line="232" w:lineRule="exact"/>
              <w:rPr>
                <w:rFonts w:ascii="宋体" w:hAnsi="宋体" w:eastAsia="宋体"/>
                <w:color w:val="auto"/>
                <w:sz w:val="15"/>
                <w:szCs w:val="15"/>
                <w:highlight w:val="none"/>
              </w:rPr>
            </w:pPr>
          </w:p>
        </w:tc>
        <w:tc>
          <w:tcPr>
            <w:tcW w:w="2981" w:type="dxa"/>
            <w:vMerge w:val="continue"/>
            <w:shd w:val="clear" w:color="auto" w:fill="auto"/>
            <w:noWrap w:val="0"/>
            <w:vAlign w:val="center"/>
          </w:tcPr>
          <w:p w14:paraId="42FEDFA7">
            <w:pPr>
              <w:spacing w:line="232" w:lineRule="exact"/>
              <w:rPr>
                <w:rFonts w:ascii="宋体" w:hAnsi="宋体" w:eastAsia="宋体"/>
                <w:color w:val="auto"/>
                <w:sz w:val="15"/>
                <w:szCs w:val="15"/>
                <w:highlight w:val="none"/>
              </w:rPr>
            </w:pPr>
          </w:p>
        </w:tc>
        <w:tc>
          <w:tcPr>
            <w:tcW w:w="851" w:type="dxa"/>
            <w:shd w:val="clear" w:color="auto" w:fill="auto"/>
            <w:noWrap w:val="0"/>
            <w:vAlign w:val="center"/>
          </w:tcPr>
          <w:p w14:paraId="27103187">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14:paraId="5DC100C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14:paraId="41D89DBB">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2376" w:type="dxa"/>
            <w:vMerge w:val="continue"/>
            <w:shd w:val="clear" w:color="auto" w:fill="auto"/>
            <w:noWrap w:val="0"/>
            <w:vAlign w:val="center"/>
          </w:tcPr>
          <w:p w14:paraId="09035097">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14:paraId="1D71E92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shd w:val="clear" w:color="auto" w:fill="auto"/>
            <w:noWrap w:val="0"/>
            <w:vAlign w:val="center"/>
          </w:tcPr>
          <w:p w14:paraId="55C7F45A">
            <w:pPr>
              <w:spacing w:line="232" w:lineRule="exact"/>
              <w:rPr>
                <w:rFonts w:ascii="宋体" w:hAnsi="宋体" w:eastAsia="宋体"/>
                <w:color w:val="auto"/>
                <w:sz w:val="15"/>
                <w:szCs w:val="15"/>
                <w:highlight w:val="none"/>
              </w:rPr>
            </w:pPr>
          </w:p>
        </w:tc>
        <w:tc>
          <w:tcPr>
            <w:tcW w:w="1304" w:type="dxa"/>
            <w:gridSpan w:val="2"/>
            <w:vMerge w:val="continue"/>
            <w:shd w:val="clear" w:color="auto" w:fill="auto"/>
            <w:noWrap w:val="0"/>
            <w:vAlign w:val="center"/>
          </w:tcPr>
          <w:p w14:paraId="695E757D">
            <w:pPr>
              <w:spacing w:line="232" w:lineRule="exact"/>
              <w:jc w:val="center"/>
              <w:rPr>
                <w:rFonts w:ascii="宋体" w:hAnsi="宋体" w:eastAsia="宋体"/>
                <w:color w:val="auto"/>
                <w:sz w:val="15"/>
                <w:szCs w:val="15"/>
                <w:highlight w:val="none"/>
              </w:rPr>
            </w:pPr>
          </w:p>
        </w:tc>
        <w:tc>
          <w:tcPr>
            <w:tcW w:w="1869" w:type="dxa"/>
            <w:vMerge w:val="continue"/>
            <w:shd w:val="clear" w:color="auto" w:fill="auto"/>
            <w:noWrap w:val="0"/>
            <w:vAlign w:val="center"/>
          </w:tcPr>
          <w:p w14:paraId="740133F0">
            <w:pPr>
              <w:spacing w:line="232" w:lineRule="exact"/>
              <w:jc w:val="center"/>
              <w:rPr>
                <w:rFonts w:hint="eastAsia" w:ascii="宋体" w:hAnsi="宋体" w:eastAsia="宋体"/>
                <w:color w:val="auto"/>
                <w:sz w:val="15"/>
                <w:szCs w:val="15"/>
                <w:highlight w:val="none"/>
                <w:lang w:eastAsia="zh"/>
              </w:rPr>
            </w:pPr>
          </w:p>
        </w:tc>
      </w:tr>
      <w:tr w14:paraId="7D6E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798" w:hRule="atLeast"/>
        </w:trPr>
        <w:tc>
          <w:tcPr>
            <w:tcW w:w="714" w:type="dxa"/>
            <w:vMerge w:val="restart"/>
            <w:shd w:val="clear" w:color="auto" w:fill="FFFFFF"/>
            <w:noWrap w:val="0"/>
            <w:vAlign w:val="center"/>
          </w:tcPr>
          <w:p w14:paraId="7927C082">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vMerge w:val="restart"/>
            <w:shd w:val="clear" w:color="auto" w:fill="auto"/>
            <w:noWrap w:val="0"/>
            <w:vAlign w:val="center"/>
          </w:tcPr>
          <w:p w14:paraId="36A114B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在管道线路中心线两侧各五米地域范围内挖塘、修渠、修晒场、修建水产养殖场、建温室、建家畜棚圈、建房以及修建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建筑物、构筑物</w:t>
            </w:r>
          </w:p>
        </w:tc>
        <w:tc>
          <w:tcPr>
            <w:tcW w:w="2981" w:type="dxa"/>
            <w:vMerge w:val="restart"/>
            <w:shd w:val="clear" w:color="auto" w:fill="auto"/>
            <w:noWrap w:val="0"/>
            <w:vAlign w:val="center"/>
          </w:tcPr>
          <w:p w14:paraId="10EA5C46">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14:paraId="771C4DCE">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14:paraId="15A30585">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14:paraId="356AB958">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shd w:val="clear" w:color="auto" w:fill="auto"/>
            <w:noWrap w:val="0"/>
            <w:vAlign w:val="center"/>
          </w:tcPr>
          <w:p w14:paraId="622FB683">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0EE6B136">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restart"/>
            <w:shd w:val="clear" w:color="auto" w:fill="auto"/>
            <w:noWrap w:val="0"/>
            <w:vAlign w:val="center"/>
          </w:tcPr>
          <w:p w14:paraId="529F84DD">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14:paraId="6B99EB55">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14:paraId="7B3FC7CE">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1304" w:type="dxa"/>
            <w:gridSpan w:val="2"/>
            <w:shd w:val="clear" w:color="auto" w:fill="auto"/>
            <w:noWrap w:val="0"/>
            <w:vAlign w:val="center"/>
          </w:tcPr>
          <w:p w14:paraId="5BDB6FB7">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2970D560">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vMerge w:val="restart"/>
            <w:shd w:val="clear" w:color="auto" w:fill="auto"/>
            <w:noWrap w:val="0"/>
            <w:vAlign w:val="center"/>
          </w:tcPr>
          <w:p w14:paraId="408E8482">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C1802000</w:t>
            </w:r>
          </w:p>
        </w:tc>
      </w:tr>
      <w:tr w14:paraId="494D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780" w:hRule="atLeast"/>
        </w:trPr>
        <w:tc>
          <w:tcPr>
            <w:tcW w:w="714" w:type="dxa"/>
            <w:vMerge w:val="continue"/>
            <w:shd w:val="clear" w:color="auto" w:fill="FFFFFF"/>
            <w:noWrap w:val="0"/>
            <w:vAlign w:val="center"/>
          </w:tcPr>
          <w:p w14:paraId="20E59C71">
            <w:pPr>
              <w:autoSpaceDE w:val="0"/>
              <w:spacing w:line="232" w:lineRule="exact"/>
              <w:jc w:val="center"/>
              <w:rPr>
                <w:rFonts w:ascii="宋体" w:hAnsi="宋体" w:eastAsia="宋体" w:cs="宋体"/>
                <w:color w:val="auto"/>
                <w:kern w:val="0"/>
                <w:sz w:val="15"/>
                <w:szCs w:val="15"/>
                <w:highlight w:val="none"/>
              </w:rPr>
            </w:pPr>
          </w:p>
        </w:tc>
        <w:tc>
          <w:tcPr>
            <w:tcW w:w="1626" w:type="dxa"/>
            <w:gridSpan w:val="2"/>
            <w:vMerge w:val="continue"/>
            <w:shd w:val="clear" w:color="auto" w:fill="auto"/>
            <w:noWrap w:val="0"/>
            <w:vAlign w:val="center"/>
          </w:tcPr>
          <w:p w14:paraId="0DF1C13E">
            <w:pPr>
              <w:autoSpaceDE w:val="0"/>
              <w:spacing w:line="232" w:lineRule="exact"/>
              <w:rPr>
                <w:rFonts w:ascii="宋体" w:hAnsi="宋体" w:eastAsia="宋体" w:cs="宋体"/>
                <w:color w:val="auto"/>
                <w:kern w:val="0"/>
                <w:sz w:val="15"/>
                <w:szCs w:val="15"/>
                <w:highlight w:val="none"/>
              </w:rPr>
            </w:pPr>
          </w:p>
        </w:tc>
        <w:tc>
          <w:tcPr>
            <w:tcW w:w="2981" w:type="dxa"/>
            <w:vMerge w:val="continue"/>
            <w:shd w:val="clear" w:color="auto" w:fill="auto"/>
            <w:noWrap w:val="0"/>
            <w:vAlign w:val="center"/>
          </w:tcPr>
          <w:p w14:paraId="0B211967">
            <w:pPr>
              <w:pStyle w:val="20"/>
              <w:widowControl w:val="0"/>
              <w:shd w:val="clear" w:color="auto" w:fill="FFFFFF"/>
              <w:autoSpaceDE w:val="0"/>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noWrap w:val="0"/>
            <w:vAlign w:val="center"/>
          </w:tcPr>
          <w:p w14:paraId="3BF2BD2C">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14:paraId="14344C5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14:paraId="25E9F714">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2376" w:type="dxa"/>
            <w:vMerge w:val="continue"/>
            <w:shd w:val="clear" w:color="auto" w:fill="auto"/>
            <w:noWrap w:val="0"/>
            <w:vAlign w:val="center"/>
          </w:tcPr>
          <w:p w14:paraId="7A6F5163">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14:paraId="371A2D3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shd w:val="clear" w:color="auto" w:fill="auto"/>
            <w:noWrap w:val="0"/>
            <w:vAlign w:val="center"/>
          </w:tcPr>
          <w:p w14:paraId="30087995">
            <w:pPr>
              <w:autoSpaceDE w:val="0"/>
              <w:spacing w:line="232" w:lineRule="exact"/>
              <w:rPr>
                <w:rFonts w:ascii="宋体" w:hAnsi="宋体" w:eastAsia="宋体" w:cs="宋体"/>
                <w:color w:val="auto"/>
                <w:kern w:val="0"/>
                <w:sz w:val="15"/>
                <w:szCs w:val="15"/>
                <w:highlight w:val="none"/>
              </w:rPr>
            </w:pPr>
          </w:p>
        </w:tc>
        <w:tc>
          <w:tcPr>
            <w:tcW w:w="1304" w:type="dxa"/>
            <w:gridSpan w:val="2"/>
            <w:shd w:val="clear" w:color="auto" w:fill="auto"/>
            <w:noWrap w:val="0"/>
            <w:vAlign w:val="center"/>
          </w:tcPr>
          <w:p w14:paraId="13B58F95">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42324D59">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vMerge w:val="continue"/>
            <w:shd w:val="clear" w:color="auto" w:fill="auto"/>
            <w:noWrap w:val="0"/>
            <w:vAlign w:val="center"/>
          </w:tcPr>
          <w:p w14:paraId="1724ECEB">
            <w:pPr>
              <w:autoSpaceDE w:val="0"/>
              <w:spacing w:line="232" w:lineRule="exact"/>
              <w:jc w:val="center"/>
              <w:rPr>
                <w:rFonts w:hint="eastAsia" w:ascii="宋体" w:hAnsi="宋体" w:eastAsia="宋体"/>
                <w:color w:val="auto"/>
                <w:sz w:val="15"/>
                <w:szCs w:val="15"/>
                <w:highlight w:val="none"/>
                <w:lang w:eastAsia="zh"/>
              </w:rPr>
            </w:pPr>
          </w:p>
        </w:tc>
      </w:tr>
      <w:tr w14:paraId="11B3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967" w:hRule="atLeast"/>
        </w:trPr>
        <w:tc>
          <w:tcPr>
            <w:tcW w:w="714" w:type="dxa"/>
            <w:vMerge w:val="restart"/>
            <w:shd w:val="clear" w:color="auto" w:fill="FFFFFF"/>
            <w:noWrap w:val="0"/>
            <w:vAlign w:val="center"/>
          </w:tcPr>
          <w:p w14:paraId="43CA8D27">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vMerge w:val="restart"/>
            <w:shd w:val="clear" w:color="auto" w:fill="FFFFFF"/>
            <w:noWrap w:val="0"/>
            <w:vAlign w:val="center"/>
          </w:tcPr>
          <w:p w14:paraId="2E76F079">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在穿越河流的管道线路中心线两侧各五百米地域范围内抛锚、拖锚、挖砂、挖泥、采石、水下爆破</w:t>
            </w:r>
          </w:p>
        </w:tc>
        <w:tc>
          <w:tcPr>
            <w:tcW w:w="2981" w:type="dxa"/>
            <w:vMerge w:val="restart"/>
            <w:shd w:val="clear" w:color="auto" w:fill="auto"/>
            <w:noWrap w:val="0"/>
            <w:vAlign w:val="center"/>
          </w:tcPr>
          <w:p w14:paraId="7F325331">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14:paraId="6875EE0A">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14:paraId="3BADAC7A">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14:paraId="5295B26D">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shd w:val="clear" w:color="auto" w:fill="auto"/>
            <w:noWrap w:val="0"/>
            <w:vAlign w:val="center"/>
          </w:tcPr>
          <w:p w14:paraId="5DBD0E70">
            <w:pPr>
              <w:spacing w:line="190"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400A3871">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restart"/>
            <w:shd w:val="clear" w:color="auto" w:fill="auto"/>
            <w:noWrap w:val="0"/>
            <w:vAlign w:val="center"/>
          </w:tcPr>
          <w:p w14:paraId="7C858609">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14:paraId="54AD242D">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14:paraId="6058ED2D">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1304" w:type="dxa"/>
            <w:gridSpan w:val="2"/>
            <w:shd w:val="clear" w:color="auto" w:fill="auto"/>
            <w:noWrap w:val="0"/>
            <w:vAlign w:val="center"/>
          </w:tcPr>
          <w:p w14:paraId="20C2D9A5">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636B4BBF">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vMerge w:val="restart"/>
            <w:shd w:val="clear" w:color="auto" w:fill="auto"/>
            <w:noWrap w:val="0"/>
            <w:vAlign w:val="center"/>
          </w:tcPr>
          <w:p w14:paraId="35E4734A">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C1801300</w:t>
            </w:r>
          </w:p>
        </w:tc>
      </w:tr>
      <w:tr w14:paraId="7F43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752" w:hRule="atLeast"/>
        </w:trPr>
        <w:tc>
          <w:tcPr>
            <w:tcW w:w="714" w:type="dxa"/>
            <w:vMerge w:val="continue"/>
            <w:shd w:val="clear" w:color="auto" w:fill="FFFFFF"/>
            <w:noWrap w:val="0"/>
            <w:vAlign w:val="center"/>
          </w:tcPr>
          <w:p w14:paraId="3E1436B1">
            <w:pPr>
              <w:autoSpaceDE w:val="0"/>
              <w:spacing w:line="232" w:lineRule="exact"/>
              <w:jc w:val="center"/>
              <w:rPr>
                <w:rFonts w:ascii="宋体" w:hAnsi="宋体" w:eastAsia="宋体" w:cs="宋体"/>
                <w:color w:val="auto"/>
                <w:kern w:val="0"/>
                <w:sz w:val="15"/>
                <w:szCs w:val="15"/>
                <w:highlight w:val="none"/>
              </w:rPr>
            </w:pPr>
          </w:p>
        </w:tc>
        <w:tc>
          <w:tcPr>
            <w:tcW w:w="1626" w:type="dxa"/>
            <w:gridSpan w:val="2"/>
            <w:vMerge w:val="continue"/>
            <w:shd w:val="clear" w:color="auto" w:fill="FFFFFF"/>
            <w:noWrap w:val="0"/>
            <w:vAlign w:val="center"/>
          </w:tcPr>
          <w:p w14:paraId="08DC8256">
            <w:pPr>
              <w:autoSpaceDE w:val="0"/>
              <w:spacing w:line="232" w:lineRule="exact"/>
              <w:rPr>
                <w:rFonts w:ascii="宋体" w:hAnsi="宋体" w:eastAsia="宋体" w:cs="宋体"/>
                <w:color w:val="auto"/>
                <w:kern w:val="0"/>
                <w:sz w:val="15"/>
                <w:szCs w:val="15"/>
                <w:highlight w:val="none"/>
              </w:rPr>
            </w:pPr>
          </w:p>
        </w:tc>
        <w:tc>
          <w:tcPr>
            <w:tcW w:w="2981" w:type="dxa"/>
            <w:vMerge w:val="continue"/>
            <w:shd w:val="clear" w:color="auto" w:fill="auto"/>
            <w:noWrap w:val="0"/>
            <w:vAlign w:val="center"/>
          </w:tcPr>
          <w:p w14:paraId="01A3F36A">
            <w:pPr>
              <w:pStyle w:val="20"/>
              <w:widowControl w:val="0"/>
              <w:shd w:val="clear" w:color="auto" w:fill="FFFFFF"/>
              <w:autoSpaceDE w:val="0"/>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noWrap w:val="0"/>
            <w:vAlign w:val="center"/>
          </w:tcPr>
          <w:p w14:paraId="4D774C43">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14:paraId="797570A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14:paraId="35A958C9">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2376" w:type="dxa"/>
            <w:vMerge w:val="continue"/>
            <w:shd w:val="clear" w:color="auto" w:fill="auto"/>
            <w:noWrap w:val="0"/>
            <w:vAlign w:val="center"/>
          </w:tcPr>
          <w:p w14:paraId="427DB77B">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14:paraId="07CCFAC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shd w:val="clear" w:color="auto" w:fill="auto"/>
            <w:noWrap w:val="0"/>
            <w:vAlign w:val="center"/>
          </w:tcPr>
          <w:p w14:paraId="24EE0415">
            <w:pPr>
              <w:autoSpaceDE w:val="0"/>
              <w:spacing w:line="232" w:lineRule="exact"/>
              <w:rPr>
                <w:rFonts w:ascii="宋体" w:hAnsi="宋体" w:eastAsia="宋体" w:cs="宋体"/>
                <w:color w:val="auto"/>
                <w:kern w:val="0"/>
                <w:sz w:val="15"/>
                <w:szCs w:val="15"/>
                <w:highlight w:val="none"/>
              </w:rPr>
            </w:pPr>
          </w:p>
        </w:tc>
        <w:tc>
          <w:tcPr>
            <w:tcW w:w="1304" w:type="dxa"/>
            <w:gridSpan w:val="2"/>
            <w:shd w:val="clear" w:color="auto" w:fill="auto"/>
            <w:noWrap w:val="0"/>
            <w:vAlign w:val="center"/>
          </w:tcPr>
          <w:p w14:paraId="56957BA2">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0E5EEF79">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vMerge w:val="continue"/>
            <w:shd w:val="clear" w:color="auto" w:fill="auto"/>
            <w:noWrap w:val="0"/>
            <w:vAlign w:val="center"/>
          </w:tcPr>
          <w:p w14:paraId="768610A7">
            <w:pPr>
              <w:autoSpaceDE w:val="0"/>
              <w:spacing w:line="232" w:lineRule="exact"/>
              <w:jc w:val="center"/>
              <w:rPr>
                <w:rFonts w:hint="eastAsia" w:ascii="宋体" w:hAnsi="宋体" w:eastAsia="宋体"/>
                <w:color w:val="auto"/>
                <w:sz w:val="15"/>
                <w:szCs w:val="15"/>
                <w:highlight w:val="none"/>
                <w:lang w:eastAsia="zh"/>
              </w:rPr>
            </w:pPr>
          </w:p>
        </w:tc>
      </w:tr>
      <w:tr w14:paraId="6C6B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813" w:hRule="atLeast"/>
        </w:trPr>
        <w:tc>
          <w:tcPr>
            <w:tcW w:w="714" w:type="dxa"/>
            <w:vMerge w:val="restart"/>
            <w:shd w:val="clear" w:color="auto" w:fill="FFFFFF"/>
            <w:noWrap w:val="0"/>
            <w:vAlign w:val="center"/>
          </w:tcPr>
          <w:p w14:paraId="15892F80">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vMerge w:val="restart"/>
            <w:shd w:val="clear" w:color="auto" w:fill="FFFFFF"/>
            <w:noWrap w:val="0"/>
            <w:vAlign w:val="center"/>
          </w:tcPr>
          <w:p w14:paraId="68114543">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在管道专用隧道中心线两侧各一千米地域范围内采石、采矿、爆破</w:t>
            </w:r>
          </w:p>
        </w:tc>
        <w:tc>
          <w:tcPr>
            <w:tcW w:w="2981" w:type="dxa"/>
            <w:vMerge w:val="restart"/>
            <w:shd w:val="clear" w:color="auto" w:fill="auto"/>
            <w:noWrap w:val="0"/>
            <w:vAlign w:val="center"/>
          </w:tcPr>
          <w:p w14:paraId="61404464">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14:paraId="5CEE8840">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14:paraId="06432378">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14:paraId="034232FD">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shd w:val="clear" w:color="auto" w:fill="auto"/>
            <w:noWrap w:val="0"/>
            <w:vAlign w:val="center"/>
          </w:tcPr>
          <w:p w14:paraId="7902D163">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3AE028CB">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restart"/>
            <w:shd w:val="clear" w:color="auto" w:fill="auto"/>
            <w:noWrap w:val="0"/>
            <w:vAlign w:val="center"/>
          </w:tcPr>
          <w:p w14:paraId="6F85781E">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14:paraId="53D8C6E0">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14:paraId="71450810">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1304" w:type="dxa"/>
            <w:gridSpan w:val="2"/>
            <w:shd w:val="clear" w:color="auto" w:fill="auto"/>
            <w:noWrap w:val="0"/>
            <w:vAlign w:val="center"/>
          </w:tcPr>
          <w:p w14:paraId="342FEB9E">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7F62174D">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vMerge w:val="restart"/>
            <w:shd w:val="clear" w:color="auto" w:fill="auto"/>
            <w:noWrap w:val="0"/>
            <w:vAlign w:val="center"/>
          </w:tcPr>
          <w:p w14:paraId="1F0B4F07">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C1801700</w:t>
            </w:r>
          </w:p>
        </w:tc>
      </w:tr>
      <w:tr w14:paraId="629D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696" w:hRule="atLeast"/>
        </w:trPr>
        <w:tc>
          <w:tcPr>
            <w:tcW w:w="714" w:type="dxa"/>
            <w:vMerge w:val="continue"/>
            <w:shd w:val="clear" w:color="auto" w:fill="FFFFFF"/>
            <w:noWrap w:val="0"/>
            <w:vAlign w:val="center"/>
          </w:tcPr>
          <w:p w14:paraId="68DDC54C">
            <w:pPr>
              <w:autoSpaceDE w:val="0"/>
              <w:spacing w:line="232" w:lineRule="exact"/>
              <w:jc w:val="center"/>
              <w:rPr>
                <w:rFonts w:ascii="宋体" w:hAnsi="宋体" w:eastAsia="宋体" w:cs="宋体"/>
                <w:color w:val="auto"/>
                <w:kern w:val="0"/>
                <w:sz w:val="15"/>
                <w:szCs w:val="15"/>
                <w:highlight w:val="none"/>
              </w:rPr>
            </w:pPr>
          </w:p>
        </w:tc>
        <w:tc>
          <w:tcPr>
            <w:tcW w:w="1626" w:type="dxa"/>
            <w:gridSpan w:val="2"/>
            <w:vMerge w:val="continue"/>
            <w:shd w:val="clear" w:color="auto" w:fill="FFFFFF"/>
            <w:noWrap w:val="0"/>
            <w:vAlign w:val="center"/>
          </w:tcPr>
          <w:p w14:paraId="27E4C310">
            <w:pPr>
              <w:autoSpaceDE w:val="0"/>
              <w:spacing w:line="232" w:lineRule="exact"/>
              <w:rPr>
                <w:rFonts w:ascii="宋体" w:hAnsi="宋体" w:eastAsia="宋体" w:cs="宋体"/>
                <w:color w:val="auto"/>
                <w:kern w:val="0"/>
                <w:sz w:val="15"/>
                <w:szCs w:val="15"/>
                <w:highlight w:val="none"/>
              </w:rPr>
            </w:pPr>
          </w:p>
        </w:tc>
        <w:tc>
          <w:tcPr>
            <w:tcW w:w="2981" w:type="dxa"/>
            <w:vMerge w:val="continue"/>
            <w:shd w:val="clear" w:color="auto" w:fill="auto"/>
            <w:noWrap w:val="0"/>
            <w:vAlign w:val="center"/>
          </w:tcPr>
          <w:p w14:paraId="293D2BF0">
            <w:pPr>
              <w:autoSpaceDE w:val="0"/>
              <w:spacing w:line="232" w:lineRule="exact"/>
              <w:rPr>
                <w:rFonts w:ascii="宋体" w:hAnsi="宋体" w:eastAsia="宋体" w:cs="宋体"/>
                <w:color w:val="auto"/>
                <w:kern w:val="0"/>
                <w:sz w:val="15"/>
                <w:szCs w:val="15"/>
                <w:highlight w:val="none"/>
              </w:rPr>
            </w:pPr>
          </w:p>
        </w:tc>
        <w:tc>
          <w:tcPr>
            <w:tcW w:w="851" w:type="dxa"/>
            <w:shd w:val="clear" w:color="auto" w:fill="auto"/>
            <w:noWrap w:val="0"/>
            <w:vAlign w:val="center"/>
          </w:tcPr>
          <w:p w14:paraId="41DDA396">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14:paraId="31D51E4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14:paraId="19E665F4">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2376" w:type="dxa"/>
            <w:vMerge w:val="continue"/>
            <w:shd w:val="clear" w:color="auto" w:fill="auto"/>
            <w:noWrap w:val="0"/>
            <w:vAlign w:val="center"/>
          </w:tcPr>
          <w:p w14:paraId="0959B909">
            <w:pPr>
              <w:autoSpaceDE w:val="0"/>
              <w:spacing w:line="232" w:lineRule="exact"/>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14:paraId="61E98C8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shd w:val="clear" w:color="auto" w:fill="auto"/>
            <w:noWrap w:val="0"/>
            <w:vAlign w:val="center"/>
          </w:tcPr>
          <w:p w14:paraId="71C5BCF6">
            <w:pPr>
              <w:autoSpaceDE w:val="0"/>
              <w:spacing w:line="232" w:lineRule="exact"/>
              <w:rPr>
                <w:rFonts w:ascii="宋体" w:hAnsi="宋体" w:eastAsia="宋体" w:cs="宋体"/>
                <w:color w:val="auto"/>
                <w:kern w:val="0"/>
                <w:sz w:val="15"/>
                <w:szCs w:val="15"/>
                <w:highlight w:val="none"/>
              </w:rPr>
            </w:pPr>
          </w:p>
        </w:tc>
        <w:tc>
          <w:tcPr>
            <w:tcW w:w="1304" w:type="dxa"/>
            <w:gridSpan w:val="2"/>
            <w:shd w:val="clear" w:color="auto" w:fill="auto"/>
            <w:noWrap w:val="0"/>
            <w:vAlign w:val="center"/>
          </w:tcPr>
          <w:p w14:paraId="5648DCB5">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3B5534FD">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vMerge w:val="continue"/>
            <w:shd w:val="clear" w:color="auto" w:fill="auto"/>
            <w:noWrap w:val="0"/>
            <w:vAlign w:val="center"/>
          </w:tcPr>
          <w:p w14:paraId="76BD772E">
            <w:pPr>
              <w:autoSpaceDE w:val="0"/>
              <w:spacing w:line="232" w:lineRule="exact"/>
              <w:jc w:val="center"/>
              <w:rPr>
                <w:rFonts w:hint="eastAsia" w:ascii="宋体" w:hAnsi="宋体" w:eastAsia="宋体"/>
                <w:color w:val="auto"/>
                <w:sz w:val="15"/>
                <w:szCs w:val="15"/>
                <w:highlight w:val="none"/>
                <w:lang w:eastAsia="zh"/>
              </w:rPr>
            </w:pPr>
          </w:p>
        </w:tc>
      </w:tr>
      <w:tr w14:paraId="13B1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583" w:hRule="atLeast"/>
        </w:trPr>
        <w:tc>
          <w:tcPr>
            <w:tcW w:w="714" w:type="dxa"/>
            <w:shd w:val="clear" w:color="auto" w:fill="FFFFFF"/>
            <w:noWrap w:val="0"/>
            <w:vAlign w:val="center"/>
          </w:tcPr>
          <w:p w14:paraId="36002816">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shd w:val="clear" w:color="auto" w:fill="FFFFFF"/>
            <w:noWrap w:val="0"/>
            <w:vAlign w:val="center"/>
          </w:tcPr>
          <w:p w14:paraId="474204BC">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981" w:type="dxa"/>
            <w:shd w:val="clear" w:color="auto" w:fill="auto"/>
            <w:noWrap w:val="0"/>
            <w:vAlign w:val="center"/>
          </w:tcPr>
          <w:p w14:paraId="54FE32D3">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noWrap w:val="0"/>
            <w:vAlign w:val="center"/>
          </w:tcPr>
          <w:p w14:paraId="3303753C">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14:paraId="2662FE18">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6108E9C1">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6F3DA701">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14:paraId="4F30B2B8">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14:paraId="46070B76">
            <w:pPr>
              <w:autoSpaceDE w:val="0"/>
              <w:spacing w:line="232" w:lineRule="exact"/>
              <w:rPr>
                <w:rFonts w:ascii="宋体" w:hAnsi="宋体" w:eastAsia="宋体" w:cs="宋体"/>
                <w:color w:val="auto"/>
                <w:kern w:val="0"/>
                <w:sz w:val="15"/>
                <w:szCs w:val="15"/>
                <w:highlight w:val="none"/>
              </w:rPr>
            </w:pPr>
          </w:p>
          <w:p w14:paraId="4BADC116">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额度处罚的，报案审会讨论决定。</w:t>
            </w:r>
          </w:p>
        </w:tc>
        <w:tc>
          <w:tcPr>
            <w:tcW w:w="1304" w:type="dxa"/>
            <w:gridSpan w:val="2"/>
            <w:shd w:val="clear" w:color="auto" w:fill="auto"/>
            <w:noWrap w:val="0"/>
            <w:vAlign w:val="center"/>
          </w:tcPr>
          <w:p w14:paraId="2BB60FE2">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7C7F29DC">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14:paraId="6FC69402">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C1801600</w:t>
            </w:r>
          </w:p>
        </w:tc>
      </w:tr>
      <w:tr w14:paraId="4621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2035" w:hRule="atLeast"/>
        </w:trPr>
        <w:tc>
          <w:tcPr>
            <w:tcW w:w="714" w:type="dxa"/>
            <w:tcBorders>
              <w:bottom w:val="single" w:color="auto" w:sz="4" w:space="0"/>
            </w:tcBorders>
            <w:shd w:val="clear" w:color="auto" w:fill="FFFFFF"/>
            <w:noWrap w:val="0"/>
            <w:vAlign w:val="center"/>
          </w:tcPr>
          <w:p w14:paraId="00BF339E">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6" w:type="dxa"/>
            <w:gridSpan w:val="2"/>
            <w:tcBorders>
              <w:bottom w:val="single" w:color="auto" w:sz="4" w:space="0"/>
            </w:tcBorders>
            <w:shd w:val="clear" w:color="auto" w:fill="auto"/>
            <w:noWrap w:val="0"/>
            <w:vAlign w:val="center"/>
          </w:tcPr>
          <w:p w14:paraId="318FB3C1">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981" w:type="dxa"/>
            <w:tcBorders>
              <w:bottom w:val="single" w:color="auto" w:sz="4" w:space="0"/>
            </w:tcBorders>
            <w:shd w:val="clear" w:color="auto" w:fill="auto"/>
            <w:noWrap w:val="0"/>
            <w:vAlign w:val="center"/>
          </w:tcPr>
          <w:p w14:paraId="7E173BE0">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noWrap w:val="0"/>
            <w:vAlign w:val="center"/>
          </w:tcPr>
          <w:p w14:paraId="6838396D">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bottom w:val="single" w:color="auto" w:sz="4" w:space="0"/>
            </w:tcBorders>
            <w:shd w:val="clear" w:color="auto" w:fill="auto"/>
            <w:noWrap w:val="0"/>
            <w:vAlign w:val="center"/>
          </w:tcPr>
          <w:p w14:paraId="0FD71D8C">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bottom w:val="single" w:color="auto" w:sz="4" w:space="0"/>
            </w:tcBorders>
            <w:shd w:val="clear" w:color="auto" w:fill="auto"/>
            <w:noWrap w:val="0"/>
            <w:vAlign w:val="center"/>
          </w:tcPr>
          <w:p w14:paraId="62BDA04D">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bottom w:val="single" w:color="auto" w:sz="4" w:space="0"/>
            </w:tcBorders>
            <w:shd w:val="clear" w:color="auto" w:fill="auto"/>
            <w:noWrap w:val="0"/>
            <w:vAlign w:val="center"/>
          </w:tcPr>
          <w:p w14:paraId="67D2F0AE">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14:paraId="275D7E4E">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14:paraId="7D4008A1">
            <w:pPr>
              <w:autoSpaceDE w:val="0"/>
              <w:spacing w:line="232" w:lineRule="exact"/>
              <w:rPr>
                <w:rFonts w:ascii="宋体" w:hAnsi="宋体" w:eastAsia="宋体" w:cs="宋体"/>
                <w:color w:val="auto"/>
                <w:kern w:val="0"/>
                <w:sz w:val="15"/>
                <w:szCs w:val="15"/>
                <w:highlight w:val="none"/>
              </w:rPr>
            </w:pPr>
          </w:p>
          <w:p w14:paraId="359B54D0">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1304" w:type="dxa"/>
            <w:gridSpan w:val="2"/>
            <w:shd w:val="clear" w:color="auto" w:fill="auto"/>
            <w:noWrap w:val="0"/>
            <w:vAlign w:val="center"/>
          </w:tcPr>
          <w:p w14:paraId="01956A8F">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2586590E">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14:paraId="629AFFE5">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C1802100</w:t>
            </w:r>
          </w:p>
        </w:tc>
      </w:tr>
      <w:tr w14:paraId="1B443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128" w:hRule="atLeast"/>
        </w:trPr>
        <w:tc>
          <w:tcPr>
            <w:tcW w:w="714" w:type="dxa"/>
            <w:shd w:val="clear" w:color="auto" w:fill="FFFFFF"/>
            <w:noWrap w:val="0"/>
            <w:vAlign w:val="center"/>
          </w:tcPr>
          <w:p w14:paraId="27D02B0C">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shd w:val="clear" w:color="auto" w:fill="FFFFFF"/>
            <w:noWrap w:val="0"/>
            <w:vAlign w:val="center"/>
          </w:tcPr>
          <w:p w14:paraId="0FB254DA">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未经批准进行穿跨越管道的施工作业</w:t>
            </w:r>
          </w:p>
        </w:tc>
        <w:tc>
          <w:tcPr>
            <w:tcW w:w="2981" w:type="dxa"/>
            <w:shd w:val="clear" w:color="auto" w:fill="auto"/>
            <w:noWrap w:val="0"/>
            <w:vAlign w:val="center"/>
          </w:tcPr>
          <w:p w14:paraId="7954B3D2">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noWrap w:val="0"/>
            <w:vAlign w:val="center"/>
          </w:tcPr>
          <w:p w14:paraId="43632597">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14:paraId="4812F8AA">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78767D70">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50C1ADB5">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14:paraId="6412388A">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14:paraId="60493AFF">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1304" w:type="dxa"/>
            <w:gridSpan w:val="2"/>
            <w:shd w:val="clear" w:color="auto" w:fill="auto"/>
            <w:noWrap w:val="0"/>
            <w:vAlign w:val="center"/>
          </w:tcPr>
          <w:p w14:paraId="713A4CB4">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76393CBF">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14:paraId="24E02E19">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C1802500</w:t>
            </w:r>
          </w:p>
        </w:tc>
      </w:tr>
      <w:tr w14:paraId="2497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487" w:hRule="atLeast"/>
        </w:trPr>
        <w:tc>
          <w:tcPr>
            <w:tcW w:w="714" w:type="dxa"/>
            <w:shd w:val="clear" w:color="auto" w:fill="FFFFFF"/>
            <w:noWrap w:val="0"/>
            <w:vAlign w:val="center"/>
          </w:tcPr>
          <w:p w14:paraId="570FEAC5">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6" w:type="dxa"/>
            <w:gridSpan w:val="2"/>
            <w:shd w:val="clear" w:color="auto" w:fill="auto"/>
            <w:noWrap w:val="0"/>
            <w:vAlign w:val="center"/>
          </w:tcPr>
          <w:p w14:paraId="67E6C672">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未经批准，在管道线路中心线两侧各二百米和管道附属设施周边五百米地域范围内，进行爆破、地震法勘探或者工程挖掘、工程钻探、采矿</w:t>
            </w:r>
          </w:p>
        </w:tc>
        <w:tc>
          <w:tcPr>
            <w:tcW w:w="2981" w:type="dxa"/>
            <w:shd w:val="clear" w:color="auto" w:fill="auto"/>
            <w:noWrap w:val="0"/>
            <w:vAlign w:val="center"/>
          </w:tcPr>
          <w:p w14:paraId="2B877E3C">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noWrap w:val="0"/>
            <w:vAlign w:val="center"/>
          </w:tcPr>
          <w:p w14:paraId="6C4F8B93">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14:paraId="3565E9EE">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06C7ADC7">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13DAA394">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14:paraId="75BF5001">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14:paraId="3D56069A">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1304" w:type="dxa"/>
            <w:gridSpan w:val="2"/>
            <w:shd w:val="clear" w:color="auto" w:fill="auto"/>
            <w:noWrap w:val="0"/>
            <w:vAlign w:val="center"/>
          </w:tcPr>
          <w:p w14:paraId="2B5E24A1">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44854DF3">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14:paraId="4A9F1466">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C1801500</w:t>
            </w:r>
          </w:p>
        </w:tc>
      </w:tr>
      <w:tr w14:paraId="3436F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207" w:hRule="atLeast"/>
        </w:trPr>
        <w:tc>
          <w:tcPr>
            <w:tcW w:w="714" w:type="dxa"/>
            <w:shd w:val="clear" w:color="auto" w:fill="FFFFFF"/>
            <w:noWrap w:val="0"/>
            <w:vAlign w:val="center"/>
          </w:tcPr>
          <w:p w14:paraId="42B56F22">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6" w:type="dxa"/>
            <w:gridSpan w:val="2"/>
            <w:shd w:val="clear" w:color="auto" w:fill="FFFFFF"/>
            <w:noWrap w:val="0"/>
            <w:vAlign w:val="center"/>
          </w:tcPr>
          <w:p w14:paraId="10F5DDAE">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擅自开启、关闭管道阀门</w:t>
            </w:r>
          </w:p>
        </w:tc>
        <w:tc>
          <w:tcPr>
            <w:tcW w:w="2981" w:type="dxa"/>
            <w:shd w:val="clear" w:color="auto" w:fill="auto"/>
            <w:noWrap w:val="0"/>
            <w:vAlign w:val="center"/>
          </w:tcPr>
          <w:p w14:paraId="736DD60F">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noWrap w:val="0"/>
            <w:vAlign w:val="center"/>
          </w:tcPr>
          <w:p w14:paraId="2D82A7DB">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14:paraId="45232E83">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006FC203">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6E5F6418">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14:paraId="0A0D3620">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14:paraId="6403CA14">
            <w:pPr>
              <w:autoSpaceDE w:val="0"/>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1304" w:type="dxa"/>
            <w:gridSpan w:val="2"/>
            <w:shd w:val="clear" w:color="auto" w:fill="auto"/>
            <w:noWrap w:val="0"/>
            <w:vAlign w:val="center"/>
          </w:tcPr>
          <w:p w14:paraId="5A2EFCE5">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4947F42A">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14:paraId="550AFC4E">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C1802400</w:t>
            </w:r>
          </w:p>
        </w:tc>
      </w:tr>
      <w:tr w14:paraId="1C8E6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289" w:hRule="atLeast"/>
        </w:trPr>
        <w:tc>
          <w:tcPr>
            <w:tcW w:w="714" w:type="dxa"/>
            <w:shd w:val="clear" w:color="auto" w:fill="FFFFFF"/>
            <w:noWrap w:val="0"/>
            <w:vAlign w:val="center"/>
          </w:tcPr>
          <w:p w14:paraId="3BE9AFDF">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626" w:type="dxa"/>
            <w:gridSpan w:val="2"/>
            <w:shd w:val="clear" w:color="auto" w:fill="FFFFFF"/>
            <w:noWrap w:val="0"/>
            <w:vAlign w:val="center"/>
          </w:tcPr>
          <w:p w14:paraId="62168574">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移动、毁损、涂改管道标志</w:t>
            </w:r>
          </w:p>
        </w:tc>
        <w:tc>
          <w:tcPr>
            <w:tcW w:w="2981" w:type="dxa"/>
            <w:shd w:val="clear" w:color="auto" w:fill="auto"/>
            <w:noWrap w:val="0"/>
            <w:vAlign w:val="center"/>
          </w:tcPr>
          <w:p w14:paraId="663EE509">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noWrap w:val="0"/>
            <w:vAlign w:val="center"/>
          </w:tcPr>
          <w:p w14:paraId="10D095E7">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14:paraId="13B80603">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3EEFDB3D">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7FD22BB1">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14:paraId="24FB75FD">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14:paraId="2924405D">
            <w:pPr>
              <w:autoSpaceDE w:val="0"/>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1304" w:type="dxa"/>
            <w:gridSpan w:val="2"/>
            <w:shd w:val="clear" w:color="auto" w:fill="auto"/>
            <w:noWrap w:val="0"/>
            <w:vAlign w:val="center"/>
          </w:tcPr>
          <w:p w14:paraId="373F357F">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73380187">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14:paraId="5565D33D">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C1802600</w:t>
            </w:r>
          </w:p>
        </w:tc>
      </w:tr>
      <w:tr w14:paraId="37AC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157" w:hRule="atLeast"/>
        </w:trPr>
        <w:tc>
          <w:tcPr>
            <w:tcW w:w="714" w:type="dxa"/>
            <w:shd w:val="clear" w:color="auto" w:fill="FFFFFF"/>
            <w:noWrap w:val="0"/>
            <w:vAlign w:val="center"/>
          </w:tcPr>
          <w:p w14:paraId="0C70A2D6">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626" w:type="dxa"/>
            <w:gridSpan w:val="2"/>
            <w:shd w:val="clear" w:color="auto" w:fill="FFFFFF"/>
            <w:noWrap w:val="0"/>
            <w:vAlign w:val="center"/>
          </w:tcPr>
          <w:p w14:paraId="5BC052EC">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在埋地管道上方巡查便道上行驶重型车辆</w:t>
            </w:r>
          </w:p>
        </w:tc>
        <w:tc>
          <w:tcPr>
            <w:tcW w:w="2981" w:type="dxa"/>
            <w:shd w:val="clear" w:color="auto" w:fill="auto"/>
            <w:noWrap w:val="0"/>
            <w:vAlign w:val="center"/>
          </w:tcPr>
          <w:p w14:paraId="66D1A8A9">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noWrap w:val="0"/>
            <w:vAlign w:val="center"/>
          </w:tcPr>
          <w:p w14:paraId="329C67EE">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14:paraId="18477273">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6A0F66CC">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0729512D">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14:paraId="3EBC253E">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1304" w:type="dxa"/>
            <w:gridSpan w:val="2"/>
            <w:shd w:val="clear" w:color="auto" w:fill="auto"/>
            <w:noWrap w:val="0"/>
            <w:vAlign w:val="center"/>
          </w:tcPr>
          <w:p w14:paraId="2556356B">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4BA4217D">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14:paraId="450A4123">
            <w:pPr>
              <w:autoSpaceDE w:val="0"/>
              <w:spacing w:line="19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C1802300</w:t>
            </w:r>
          </w:p>
        </w:tc>
      </w:tr>
      <w:tr w14:paraId="00156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856" w:hRule="atLeast"/>
        </w:trPr>
        <w:tc>
          <w:tcPr>
            <w:tcW w:w="714" w:type="dxa"/>
            <w:shd w:val="clear" w:color="auto" w:fill="FFFFFF"/>
            <w:noWrap w:val="0"/>
            <w:vAlign w:val="center"/>
          </w:tcPr>
          <w:p w14:paraId="4997EF99">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626" w:type="dxa"/>
            <w:gridSpan w:val="2"/>
            <w:shd w:val="clear" w:color="auto" w:fill="FFFFFF"/>
            <w:noWrap w:val="0"/>
            <w:vAlign w:val="center"/>
          </w:tcPr>
          <w:p w14:paraId="10613776">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在地面管道线路、架空管道线路和管桥上行走或者放置重物</w:t>
            </w:r>
          </w:p>
        </w:tc>
        <w:tc>
          <w:tcPr>
            <w:tcW w:w="2981" w:type="dxa"/>
            <w:shd w:val="clear" w:color="auto" w:fill="auto"/>
            <w:noWrap w:val="0"/>
            <w:vAlign w:val="center"/>
          </w:tcPr>
          <w:p w14:paraId="237BB249">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noWrap w:val="0"/>
            <w:vAlign w:val="center"/>
          </w:tcPr>
          <w:p w14:paraId="0CCE35C1">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14:paraId="7FA6CDD3">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404FCCDF">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0F593AD9">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14:paraId="1B3EBE03">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p>
          <w:p w14:paraId="1B723F6C">
            <w:pPr>
              <w:autoSpaceDE w:val="0"/>
              <w:spacing w:line="19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1304" w:type="dxa"/>
            <w:gridSpan w:val="2"/>
            <w:shd w:val="clear" w:color="auto" w:fill="auto"/>
            <w:noWrap w:val="0"/>
            <w:vAlign w:val="center"/>
          </w:tcPr>
          <w:p w14:paraId="3E2B6D64">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3B7C48DD">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14:paraId="3DA5647B">
            <w:pPr>
              <w:autoSpaceDE w:val="0"/>
              <w:spacing w:line="19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C1801000</w:t>
            </w:r>
          </w:p>
        </w:tc>
      </w:tr>
      <w:tr w14:paraId="0597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888" w:hRule="atLeast"/>
        </w:trPr>
        <w:tc>
          <w:tcPr>
            <w:tcW w:w="714" w:type="dxa"/>
            <w:shd w:val="clear" w:color="auto" w:fill="FFFFFF"/>
            <w:noWrap w:val="0"/>
            <w:vAlign w:val="center"/>
          </w:tcPr>
          <w:p w14:paraId="50113C0B">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626" w:type="dxa"/>
            <w:gridSpan w:val="2"/>
            <w:shd w:val="clear" w:color="auto" w:fill="FFFFFF"/>
            <w:noWrap w:val="0"/>
            <w:vAlign w:val="center"/>
          </w:tcPr>
          <w:p w14:paraId="08ECD93C">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阻碍依法进行的管道建设</w:t>
            </w:r>
          </w:p>
        </w:tc>
        <w:tc>
          <w:tcPr>
            <w:tcW w:w="2981" w:type="dxa"/>
            <w:shd w:val="clear" w:color="auto" w:fill="auto"/>
            <w:noWrap w:val="0"/>
            <w:vAlign w:val="center"/>
          </w:tcPr>
          <w:p w14:paraId="697D58C8">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noWrap w:val="0"/>
            <w:vAlign w:val="center"/>
          </w:tcPr>
          <w:p w14:paraId="4121D3CE">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14:paraId="49C32CD3">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14:paraId="344CC639">
            <w:pPr>
              <w:autoSpaceDE w:val="0"/>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07049845">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14:paraId="446DF1C7">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p>
          <w:p w14:paraId="4FB74FDD">
            <w:pPr>
              <w:autoSpaceDE w:val="0"/>
              <w:spacing w:line="19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1304" w:type="dxa"/>
            <w:gridSpan w:val="2"/>
            <w:shd w:val="clear" w:color="auto" w:fill="auto"/>
            <w:noWrap w:val="0"/>
            <w:vAlign w:val="center"/>
          </w:tcPr>
          <w:p w14:paraId="30E843AE">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1BF0E525">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14:paraId="0C024667">
            <w:pPr>
              <w:autoSpaceDE w:val="0"/>
              <w:spacing w:line="19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C1801900</w:t>
            </w:r>
          </w:p>
        </w:tc>
      </w:tr>
      <w:tr w14:paraId="0BF7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631" w:hRule="atLeast"/>
        </w:trPr>
        <w:tc>
          <w:tcPr>
            <w:tcW w:w="14587" w:type="dxa"/>
            <w:gridSpan w:val="13"/>
            <w:shd w:val="clear" w:color="auto" w:fill="FFFFFF"/>
            <w:noWrap w:val="0"/>
            <w:vAlign w:val="center"/>
          </w:tcPr>
          <w:p w14:paraId="5E0C932C">
            <w:pPr>
              <w:pStyle w:val="2"/>
              <w:keepNext w:val="0"/>
              <w:keepLines w:val="0"/>
              <w:rPr>
                <w:rFonts w:hint="eastAsia" w:ascii="宋体" w:hAnsi="宋体" w:eastAsia="宋体"/>
                <w:color w:val="auto"/>
                <w:szCs w:val="15"/>
                <w:highlight w:val="none"/>
              </w:rPr>
            </w:pPr>
            <w:bookmarkStart w:id="191" w:name="_Toc357578141"/>
            <w:r>
              <w:rPr>
                <w:rFonts w:hint="eastAsia" w:ascii="黑体" w:hAnsi="黑体" w:eastAsia="黑体"/>
                <w:b w:val="0"/>
                <w:color w:val="auto"/>
                <w:sz w:val="28"/>
                <w:szCs w:val="28"/>
                <w:highlight w:val="none"/>
              </w:rPr>
              <w:t>国际交往语言环境建设方面</w:t>
            </w:r>
            <w:bookmarkEnd w:id="191"/>
          </w:p>
        </w:tc>
        <w:tc>
          <w:tcPr>
            <w:tcW w:w="1869" w:type="dxa"/>
            <w:shd w:val="clear" w:color="auto" w:fill="FFFFFF"/>
            <w:noWrap w:val="0"/>
            <w:vAlign w:val="center"/>
          </w:tcPr>
          <w:p w14:paraId="39C82F89">
            <w:pPr>
              <w:pStyle w:val="2"/>
              <w:keepNext w:val="0"/>
              <w:keepLines w:val="0"/>
              <w:rPr>
                <w:rFonts w:hint="eastAsia" w:ascii="黑体" w:hAnsi="黑体" w:eastAsia="黑体"/>
                <w:b w:val="0"/>
                <w:color w:val="auto"/>
                <w:sz w:val="28"/>
                <w:szCs w:val="28"/>
                <w:highlight w:val="none"/>
              </w:rPr>
            </w:pPr>
          </w:p>
        </w:tc>
      </w:tr>
      <w:tr w14:paraId="6BA23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533" w:hRule="atLeast"/>
        </w:trPr>
        <w:tc>
          <w:tcPr>
            <w:tcW w:w="14587" w:type="dxa"/>
            <w:gridSpan w:val="13"/>
            <w:shd w:val="clear" w:color="auto" w:fill="auto"/>
            <w:noWrap w:val="0"/>
            <w:vAlign w:val="center"/>
          </w:tcPr>
          <w:p w14:paraId="64B3CBCB">
            <w:pPr>
              <w:pStyle w:val="3"/>
              <w:bidi w:val="0"/>
              <w:jc w:val="center"/>
              <w:rPr>
                <w:rFonts w:hint="eastAsia" w:ascii="宋体" w:hAnsi="宋体" w:eastAsia="宋体"/>
                <w:color w:val="auto"/>
                <w:szCs w:val="15"/>
                <w:highlight w:val="none"/>
              </w:rPr>
            </w:pPr>
            <w:bookmarkStart w:id="192" w:name="_Toc236707198"/>
            <w:r>
              <w:rPr>
                <w:rFonts w:hint="eastAsia"/>
                <w:color w:val="auto"/>
                <w:sz w:val="21"/>
                <w:szCs w:val="21"/>
                <w:highlight w:val="none"/>
              </w:rPr>
              <w:t>《</w:t>
            </w:r>
            <w:r>
              <w:rPr>
                <w:rFonts w:hint="eastAsia"/>
                <w:color w:val="auto"/>
                <w:sz w:val="21"/>
                <w:szCs w:val="21"/>
                <w:highlight w:val="none"/>
                <w:lang w:val="zh-CN"/>
              </w:rPr>
              <w:t>北京市国际交往语言环境建设条例</w:t>
            </w:r>
            <w:r>
              <w:rPr>
                <w:rFonts w:hint="eastAsia"/>
                <w:color w:val="auto"/>
                <w:sz w:val="21"/>
                <w:szCs w:val="21"/>
                <w:highlight w:val="none"/>
              </w:rPr>
              <w:t>》案由</w:t>
            </w:r>
            <w:r>
              <w:rPr>
                <w:rFonts w:hint="eastAsia"/>
                <w:b w:val="0"/>
                <w:bCs w:val="0"/>
                <w:color w:val="auto"/>
                <w:sz w:val="21"/>
                <w:szCs w:val="21"/>
                <w:highlight w:val="none"/>
              </w:rPr>
              <w:t>4</w:t>
            </w:r>
            <w:r>
              <w:rPr>
                <w:rFonts w:hint="eastAsia"/>
                <w:color w:val="auto"/>
                <w:sz w:val="21"/>
                <w:szCs w:val="21"/>
                <w:highlight w:val="none"/>
              </w:rPr>
              <w:t>项</w:t>
            </w:r>
            <w:bookmarkEnd w:id="192"/>
          </w:p>
        </w:tc>
        <w:tc>
          <w:tcPr>
            <w:tcW w:w="1869" w:type="dxa"/>
            <w:shd w:val="clear" w:color="auto" w:fill="auto"/>
            <w:noWrap w:val="0"/>
            <w:vAlign w:val="center"/>
          </w:tcPr>
          <w:p w14:paraId="246994D6">
            <w:pPr>
              <w:pStyle w:val="3"/>
              <w:bidi w:val="0"/>
              <w:jc w:val="center"/>
              <w:rPr>
                <w:rFonts w:hint="eastAsia"/>
                <w:color w:val="auto"/>
                <w:sz w:val="21"/>
                <w:szCs w:val="21"/>
                <w:highlight w:val="none"/>
              </w:rPr>
            </w:pPr>
          </w:p>
        </w:tc>
      </w:tr>
      <w:tr w14:paraId="7D34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037" w:hRule="atLeast"/>
        </w:trPr>
        <w:tc>
          <w:tcPr>
            <w:tcW w:w="714" w:type="dxa"/>
            <w:shd w:val="clear" w:color="auto" w:fill="auto"/>
            <w:noWrap w:val="0"/>
            <w:vAlign w:val="center"/>
          </w:tcPr>
          <w:p w14:paraId="7A6EDA91">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1626" w:type="dxa"/>
            <w:gridSpan w:val="2"/>
            <w:shd w:val="clear" w:color="auto" w:fill="auto"/>
            <w:noWrap w:val="0"/>
            <w:vAlign w:val="center"/>
          </w:tcPr>
          <w:p w14:paraId="7F81F49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公共场所标识单独使用外语拒不改正</w:t>
            </w:r>
          </w:p>
        </w:tc>
        <w:tc>
          <w:tcPr>
            <w:tcW w:w="2981" w:type="dxa"/>
            <w:shd w:val="clear" w:color="auto" w:fill="auto"/>
            <w:noWrap w:val="0"/>
            <w:vAlign w:val="center"/>
          </w:tcPr>
          <w:p w14:paraId="18B2738D">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shd w:val="clear" w:color="auto" w:fill="auto"/>
            <w:noWrap w:val="0"/>
            <w:vAlign w:val="center"/>
          </w:tcPr>
          <w:p w14:paraId="2992028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5000</w:t>
            </w:r>
          </w:p>
        </w:tc>
        <w:tc>
          <w:tcPr>
            <w:tcW w:w="840" w:type="dxa"/>
            <w:shd w:val="clear" w:color="auto" w:fill="auto"/>
            <w:noWrap w:val="0"/>
            <w:vAlign w:val="center"/>
          </w:tcPr>
          <w:p w14:paraId="73A1073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1</w:t>
            </w:r>
          </w:p>
        </w:tc>
        <w:tc>
          <w:tcPr>
            <w:tcW w:w="2376" w:type="dxa"/>
            <w:shd w:val="clear" w:color="auto" w:fill="auto"/>
            <w:noWrap w:val="0"/>
            <w:vAlign w:val="center"/>
          </w:tcPr>
          <w:p w14:paraId="012FC8F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属于</w:t>
            </w:r>
            <w:r>
              <w:rPr>
                <w:rFonts w:hint="eastAsia" w:ascii="宋体" w:hAnsi="宋体" w:eastAsia="宋体" w:cs="仿宋_GB2312"/>
                <w:color w:val="auto"/>
                <w:kern w:val="0"/>
                <w:sz w:val="15"/>
                <w:szCs w:val="15"/>
                <w:highlight w:val="none"/>
                <w:lang w:bidi="ar"/>
              </w:rPr>
              <w:t>第十七条第一款应当设置、使用外语标识的公共场所的，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1</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2.</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14:paraId="33A64C3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
              </w:rPr>
              <w:t>5</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2020" w:type="dxa"/>
            <w:gridSpan w:val="2"/>
            <w:shd w:val="clear" w:color="auto" w:fill="auto"/>
            <w:noWrap w:val="0"/>
            <w:vAlign w:val="center"/>
          </w:tcPr>
          <w:p w14:paraId="78E6C09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strike/>
                <w:dstrike w:val="0"/>
                <w:color w:val="auto"/>
                <w:kern w:val="2"/>
                <w:sz w:val="15"/>
                <w:szCs w:val="15"/>
                <w:highlight w:val="none"/>
                <w:lang w:val="en-US"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1304" w:type="dxa"/>
            <w:gridSpan w:val="2"/>
            <w:shd w:val="clear" w:color="auto" w:fill="auto"/>
            <w:noWrap w:val="0"/>
            <w:vAlign w:val="center"/>
          </w:tcPr>
          <w:p w14:paraId="1EC0809C">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14:paraId="113A75B5">
            <w:pPr>
              <w:spacing w:line="232" w:lineRule="exact"/>
              <w:jc w:val="center"/>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color w:val="auto"/>
                <w:sz w:val="15"/>
                <w:szCs w:val="15"/>
                <w:highlight w:val="none"/>
                <w:lang w:val="en"/>
              </w:rPr>
              <w:t>区级</w:t>
            </w:r>
          </w:p>
        </w:tc>
        <w:tc>
          <w:tcPr>
            <w:tcW w:w="1869" w:type="dxa"/>
            <w:shd w:val="clear" w:color="auto" w:fill="auto"/>
            <w:noWrap w:val="0"/>
            <w:vAlign w:val="center"/>
          </w:tcPr>
          <w:p w14:paraId="6CA6489A">
            <w:pPr>
              <w:spacing w:line="232" w:lineRule="exact"/>
              <w:jc w:val="center"/>
              <w:rPr>
                <w:rFonts w:hint="eastAsia" w:ascii="宋体" w:hAnsi="宋体" w:eastAsia="宋体" w:cs="仿宋_GB2312"/>
                <w:color w:val="auto"/>
                <w:sz w:val="15"/>
                <w:szCs w:val="15"/>
                <w:highlight w:val="none"/>
                <w:lang w:val="en" w:eastAsia="zh"/>
              </w:rPr>
            </w:pPr>
            <w:r>
              <w:rPr>
                <w:rFonts w:hint="eastAsia" w:ascii="宋体" w:hAnsi="宋体" w:cs="仿宋_GB2312"/>
                <w:color w:val="auto"/>
                <w:sz w:val="15"/>
                <w:szCs w:val="15"/>
                <w:highlight w:val="none"/>
                <w:lang w:val="en" w:eastAsia="zh"/>
              </w:rPr>
              <w:t>C4648600</w:t>
            </w:r>
          </w:p>
        </w:tc>
      </w:tr>
      <w:tr w14:paraId="3F08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037" w:hRule="atLeast"/>
        </w:trPr>
        <w:tc>
          <w:tcPr>
            <w:tcW w:w="714" w:type="dxa"/>
            <w:shd w:val="clear" w:color="auto" w:fill="auto"/>
            <w:noWrap w:val="0"/>
            <w:vAlign w:val="center"/>
          </w:tcPr>
          <w:p w14:paraId="2C17805C">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2</w:t>
            </w:r>
          </w:p>
        </w:tc>
        <w:tc>
          <w:tcPr>
            <w:tcW w:w="1626" w:type="dxa"/>
            <w:gridSpan w:val="2"/>
            <w:shd w:val="clear" w:color="auto" w:fill="auto"/>
            <w:noWrap w:val="0"/>
            <w:vAlign w:val="center"/>
          </w:tcPr>
          <w:p w14:paraId="0FDFC0FD">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应当设置、使用公共场所外语标识而未设置、使用拒不改正</w:t>
            </w:r>
          </w:p>
        </w:tc>
        <w:tc>
          <w:tcPr>
            <w:tcW w:w="2981" w:type="dxa"/>
            <w:shd w:val="clear" w:color="auto" w:fill="auto"/>
            <w:noWrap w:val="0"/>
            <w:vAlign w:val="center"/>
          </w:tcPr>
          <w:p w14:paraId="77D4661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shd w:val="clear" w:color="auto" w:fill="auto"/>
            <w:noWrap w:val="0"/>
            <w:vAlign w:val="center"/>
          </w:tcPr>
          <w:p w14:paraId="400B5846">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2000</w:t>
            </w:r>
          </w:p>
        </w:tc>
        <w:tc>
          <w:tcPr>
            <w:tcW w:w="840" w:type="dxa"/>
            <w:shd w:val="clear" w:color="auto" w:fill="auto"/>
            <w:noWrap w:val="0"/>
            <w:vAlign w:val="center"/>
          </w:tcPr>
          <w:p w14:paraId="1A85FE7C">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2376" w:type="dxa"/>
            <w:shd w:val="clear" w:color="auto" w:fill="auto"/>
            <w:noWrap w:val="0"/>
            <w:vAlign w:val="center"/>
          </w:tcPr>
          <w:p w14:paraId="1D5F23A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14:paraId="05EED132">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2020" w:type="dxa"/>
            <w:gridSpan w:val="2"/>
            <w:shd w:val="clear" w:color="auto" w:fill="auto"/>
            <w:noWrap w:val="0"/>
            <w:vAlign w:val="center"/>
          </w:tcPr>
          <w:p w14:paraId="515B667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strike/>
                <w:dstrike w:val="0"/>
                <w:color w:val="auto"/>
                <w:kern w:val="2"/>
                <w:sz w:val="15"/>
                <w:szCs w:val="15"/>
                <w:highlight w:val="none"/>
                <w:lang w:val="en-US"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1304" w:type="dxa"/>
            <w:gridSpan w:val="2"/>
            <w:shd w:val="clear" w:color="auto" w:fill="auto"/>
            <w:noWrap w:val="0"/>
            <w:vAlign w:val="center"/>
          </w:tcPr>
          <w:p w14:paraId="3826A58D">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14:paraId="7F02288C">
            <w:pPr>
              <w:spacing w:line="232" w:lineRule="exact"/>
              <w:jc w:val="center"/>
              <w:rPr>
                <w:rFonts w:ascii="宋体" w:hAnsi="宋体" w:eastAsia="宋体"/>
                <w:color w:val="auto"/>
                <w:sz w:val="15"/>
                <w:szCs w:val="15"/>
                <w:highlight w:val="none"/>
                <w:lang w:val="en"/>
              </w:rPr>
            </w:pPr>
            <w:r>
              <w:rPr>
                <w:rFonts w:hint="eastAsia" w:ascii="宋体" w:hAnsi="宋体" w:eastAsia="宋体" w:cs="仿宋_GB2312"/>
                <w:color w:val="auto"/>
                <w:sz w:val="15"/>
                <w:szCs w:val="15"/>
                <w:highlight w:val="none"/>
                <w:lang w:val="en"/>
              </w:rPr>
              <w:t>区级</w:t>
            </w:r>
          </w:p>
          <w:p w14:paraId="6E89132B">
            <w:pPr>
              <w:spacing w:line="232" w:lineRule="exact"/>
              <w:ind w:firstLine="333" w:firstLineChars="0"/>
              <w:jc w:val="center"/>
              <w:rPr>
                <w:rFonts w:hint="eastAsia" w:ascii="宋体" w:hAnsi="宋体" w:eastAsia="宋体" w:cs="Times New Roman"/>
                <w:color w:val="auto"/>
                <w:kern w:val="2"/>
                <w:sz w:val="15"/>
                <w:szCs w:val="15"/>
                <w:highlight w:val="none"/>
                <w:lang w:val="en" w:eastAsia="zh-CN" w:bidi="ar-SA"/>
              </w:rPr>
            </w:pPr>
          </w:p>
        </w:tc>
        <w:tc>
          <w:tcPr>
            <w:tcW w:w="1869" w:type="dxa"/>
            <w:shd w:val="clear" w:color="auto" w:fill="auto"/>
            <w:noWrap w:val="0"/>
            <w:vAlign w:val="center"/>
          </w:tcPr>
          <w:p w14:paraId="19390EB3">
            <w:pPr>
              <w:spacing w:line="232" w:lineRule="exact"/>
              <w:jc w:val="center"/>
              <w:rPr>
                <w:rFonts w:hint="eastAsia" w:ascii="宋体" w:hAnsi="宋体" w:eastAsia="宋体" w:cs="Times New Roman"/>
                <w:color w:val="auto"/>
                <w:kern w:val="2"/>
                <w:sz w:val="15"/>
                <w:szCs w:val="15"/>
                <w:highlight w:val="none"/>
                <w:lang w:val="en" w:eastAsia="zh" w:bidi="ar-SA"/>
              </w:rPr>
            </w:pPr>
            <w:r>
              <w:rPr>
                <w:rFonts w:hint="eastAsia" w:ascii="宋体" w:hAnsi="宋体" w:cs="Times New Roman"/>
                <w:color w:val="auto"/>
                <w:kern w:val="2"/>
                <w:sz w:val="15"/>
                <w:szCs w:val="15"/>
                <w:highlight w:val="none"/>
                <w:lang w:val="en" w:eastAsia="zh" w:bidi="ar-SA"/>
              </w:rPr>
              <w:t>C4648500</w:t>
            </w:r>
          </w:p>
        </w:tc>
      </w:tr>
      <w:tr w14:paraId="11E27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791" w:hRule="atLeast"/>
        </w:trPr>
        <w:tc>
          <w:tcPr>
            <w:tcW w:w="714" w:type="dxa"/>
            <w:vMerge w:val="restart"/>
            <w:shd w:val="clear" w:color="auto" w:fill="auto"/>
            <w:noWrap w:val="0"/>
            <w:vAlign w:val="center"/>
          </w:tcPr>
          <w:p w14:paraId="54514E7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3</w:t>
            </w:r>
          </w:p>
        </w:tc>
        <w:tc>
          <w:tcPr>
            <w:tcW w:w="1626" w:type="dxa"/>
            <w:gridSpan w:val="2"/>
            <w:vMerge w:val="restart"/>
            <w:shd w:val="clear" w:color="auto" w:fill="auto"/>
            <w:noWrap w:val="0"/>
            <w:vAlign w:val="center"/>
          </w:tcPr>
          <w:p w14:paraId="79B8C2A8">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公共场所外语标识含有禁止性内容</w:t>
            </w:r>
          </w:p>
        </w:tc>
        <w:tc>
          <w:tcPr>
            <w:tcW w:w="2981" w:type="dxa"/>
            <w:vMerge w:val="restart"/>
            <w:shd w:val="clear" w:color="auto" w:fill="auto"/>
            <w:noWrap w:val="0"/>
            <w:vAlign w:val="center"/>
          </w:tcPr>
          <w:p w14:paraId="7BE8825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spacing w:val="-4"/>
                <w:kern w:val="2"/>
                <w:sz w:val="15"/>
                <w:szCs w:val="15"/>
                <w:highlight w:val="none"/>
                <w:lang w:val="en-US" w:eastAsia="zh-CN" w:bidi="ar-SA"/>
              </w:rPr>
            </w:pPr>
            <w:r>
              <w:rPr>
                <w:rFonts w:hint="eastAsia" w:ascii="宋体" w:hAnsi="宋体" w:eastAsia="宋体" w:cs="仿宋_GB2312"/>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shd w:val="clear" w:color="auto" w:fill="auto"/>
            <w:noWrap w:val="0"/>
            <w:vAlign w:val="center"/>
          </w:tcPr>
          <w:p w14:paraId="16CF66D9">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5000</w:t>
            </w:r>
          </w:p>
        </w:tc>
        <w:tc>
          <w:tcPr>
            <w:tcW w:w="840" w:type="dxa"/>
            <w:shd w:val="clear" w:color="auto" w:fill="auto"/>
            <w:noWrap w:val="0"/>
            <w:vAlign w:val="center"/>
          </w:tcPr>
          <w:p w14:paraId="1BE352F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2376" w:type="dxa"/>
            <w:shd w:val="clear" w:color="auto" w:fill="auto"/>
            <w:noWrap w:val="0"/>
            <w:vAlign w:val="center"/>
          </w:tcPr>
          <w:p w14:paraId="0CD41277">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同时存在两项及以上禁止性内容的，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kern w:val="0"/>
                <w:sz w:val="15"/>
                <w:szCs w:val="15"/>
                <w:highlight w:val="none"/>
                <w:lang w:val="en-US" w:eastAsia="zh-CN" w:bidi="ar"/>
              </w:rPr>
              <w:t>.</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14:paraId="2828670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罚款数额＝5000×（1＋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2020" w:type="dxa"/>
            <w:gridSpan w:val="2"/>
            <w:shd w:val="clear" w:color="auto" w:fill="auto"/>
            <w:noWrap w:val="0"/>
            <w:vAlign w:val="center"/>
          </w:tcPr>
          <w:p w14:paraId="7BAFF05D">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color w:val="auto"/>
                <w:kern w:val="2"/>
                <w:sz w:val="15"/>
                <w:szCs w:val="15"/>
                <w:highlight w:val="none"/>
                <w:lang w:val="en-US" w:eastAsia="zh-CN" w:bidi="ar-SA"/>
              </w:rPr>
            </w:pPr>
          </w:p>
        </w:tc>
        <w:tc>
          <w:tcPr>
            <w:tcW w:w="1304" w:type="dxa"/>
            <w:gridSpan w:val="2"/>
            <w:vMerge w:val="restart"/>
            <w:shd w:val="clear" w:color="auto" w:fill="auto"/>
            <w:noWrap w:val="0"/>
            <w:vAlign w:val="center"/>
          </w:tcPr>
          <w:p w14:paraId="6219AB4C">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14:paraId="6C32A534">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区级</w:t>
            </w:r>
          </w:p>
        </w:tc>
        <w:tc>
          <w:tcPr>
            <w:tcW w:w="1869" w:type="dxa"/>
            <w:vMerge w:val="restart"/>
            <w:shd w:val="clear" w:color="auto" w:fill="auto"/>
            <w:noWrap w:val="0"/>
            <w:vAlign w:val="center"/>
          </w:tcPr>
          <w:p w14:paraId="1E1E0053">
            <w:pPr>
              <w:spacing w:line="232" w:lineRule="exact"/>
              <w:jc w:val="center"/>
              <w:rPr>
                <w:rFonts w:hint="eastAsia" w:ascii="宋体" w:hAnsi="宋体" w:eastAsia="宋体" w:cs="仿宋_GB2312"/>
                <w:color w:val="auto"/>
                <w:sz w:val="15"/>
                <w:szCs w:val="15"/>
                <w:highlight w:val="none"/>
                <w:lang w:val="en" w:eastAsia="zh"/>
              </w:rPr>
            </w:pPr>
            <w:r>
              <w:rPr>
                <w:rFonts w:hint="eastAsia" w:ascii="宋体" w:hAnsi="宋体" w:cs="仿宋_GB2312"/>
                <w:color w:val="auto"/>
                <w:sz w:val="15"/>
                <w:szCs w:val="15"/>
                <w:highlight w:val="none"/>
                <w:lang w:val="en" w:eastAsia="zh"/>
              </w:rPr>
              <w:t>C4648700</w:t>
            </w:r>
          </w:p>
        </w:tc>
      </w:tr>
      <w:tr w14:paraId="2DA1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037" w:hRule="atLeast"/>
        </w:trPr>
        <w:tc>
          <w:tcPr>
            <w:tcW w:w="714" w:type="dxa"/>
            <w:vMerge w:val="continue"/>
            <w:shd w:val="clear" w:color="auto" w:fill="FFFFFF"/>
            <w:noWrap w:val="0"/>
            <w:vAlign w:val="center"/>
          </w:tcPr>
          <w:p w14:paraId="6F9B549D">
            <w:pPr>
              <w:autoSpaceDE w:val="0"/>
              <w:spacing w:line="232" w:lineRule="exact"/>
              <w:jc w:val="center"/>
              <w:rPr>
                <w:rFonts w:hint="eastAsia" w:ascii="宋体" w:hAnsi="宋体" w:eastAsia="宋体" w:cs="宋体"/>
                <w:color w:val="auto"/>
                <w:kern w:val="0"/>
                <w:sz w:val="15"/>
                <w:szCs w:val="15"/>
                <w:highlight w:val="none"/>
              </w:rPr>
            </w:pPr>
          </w:p>
        </w:tc>
        <w:tc>
          <w:tcPr>
            <w:tcW w:w="1626" w:type="dxa"/>
            <w:gridSpan w:val="2"/>
            <w:vMerge w:val="continue"/>
            <w:shd w:val="clear" w:color="auto" w:fill="FFFFFF"/>
            <w:noWrap w:val="0"/>
            <w:vAlign w:val="center"/>
          </w:tcPr>
          <w:p w14:paraId="1A9008AB">
            <w:pPr>
              <w:autoSpaceDE w:val="0"/>
              <w:spacing w:line="190" w:lineRule="exact"/>
              <w:rPr>
                <w:rFonts w:hint="eastAsia" w:ascii="宋体" w:hAnsi="宋体" w:eastAsia="宋体" w:cs="宋体"/>
                <w:color w:val="auto"/>
                <w:kern w:val="0"/>
                <w:sz w:val="15"/>
                <w:szCs w:val="15"/>
                <w:highlight w:val="none"/>
              </w:rPr>
            </w:pPr>
          </w:p>
        </w:tc>
        <w:tc>
          <w:tcPr>
            <w:tcW w:w="2981" w:type="dxa"/>
            <w:vMerge w:val="continue"/>
            <w:shd w:val="clear" w:color="auto" w:fill="auto"/>
            <w:noWrap w:val="0"/>
            <w:vAlign w:val="center"/>
          </w:tcPr>
          <w:p w14:paraId="6CB0FFFB">
            <w:pPr>
              <w:autoSpaceDE w:val="0"/>
              <w:spacing w:line="190" w:lineRule="exact"/>
              <w:rPr>
                <w:rFonts w:hint="eastAsia" w:ascii="宋体" w:hAnsi="宋体" w:eastAsia="宋体" w:cs="宋体"/>
                <w:color w:val="auto"/>
                <w:kern w:val="0"/>
                <w:sz w:val="15"/>
                <w:szCs w:val="15"/>
                <w:highlight w:val="none"/>
              </w:rPr>
            </w:pPr>
          </w:p>
        </w:tc>
        <w:tc>
          <w:tcPr>
            <w:tcW w:w="851" w:type="dxa"/>
            <w:shd w:val="clear" w:color="auto" w:fill="auto"/>
            <w:noWrap w:val="0"/>
            <w:vAlign w:val="center"/>
          </w:tcPr>
          <w:p w14:paraId="7669473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10000</w:t>
            </w:r>
          </w:p>
        </w:tc>
        <w:tc>
          <w:tcPr>
            <w:tcW w:w="840" w:type="dxa"/>
            <w:shd w:val="clear" w:color="auto" w:fill="auto"/>
            <w:noWrap w:val="0"/>
            <w:vAlign w:val="center"/>
          </w:tcPr>
          <w:p w14:paraId="5845548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2376" w:type="dxa"/>
            <w:shd w:val="clear" w:color="auto" w:fill="auto"/>
            <w:noWrap w:val="0"/>
            <w:vAlign w:val="center"/>
          </w:tcPr>
          <w:p w14:paraId="6A9D0EF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同时存在两项禁止性内容的，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1；同时存在三项以上禁止性内容的，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2</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kern w:val="0"/>
                <w:sz w:val="15"/>
                <w:szCs w:val="15"/>
                <w:highlight w:val="none"/>
                <w:lang w:val="en-US" w:eastAsia="zh-CN" w:bidi="ar"/>
              </w:rPr>
              <w:t>.</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14:paraId="520EFE0D">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罚款数额＝10000×（1＋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2020" w:type="dxa"/>
            <w:gridSpan w:val="2"/>
            <w:shd w:val="clear" w:color="auto" w:fill="auto"/>
            <w:noWrap w:val="0"/>
            <w:vAlign w:val="center"/>
          </w:tcPr>
          <w:p w14:paraId="242DCCE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拒不改正或两次及以上违法的，或者被市级以上媒体曝光，或者造成</w:t>
            </w:r>
            <w:r>
              <w:rPr>
                <w:rFonts w:hint="eastAsia" w:ascii="宋体" w:hAnsi="宋体" w:eastAsia="宋体" w:cs="仿宋_GB2312"/>
                <w:color w:val="auto"/>
                <w:sz w:val="15"/>
                <w:szCs w:val="15"/>
                <w:highlight w:val="none"/>
                <w:lang w:val="en" w:eastAsia="zh-CN"/>
              </w:rPr>
              <w:t>其他</w:t>
            </w:r>
            <w:r>
              <w:rPr>
                <w:rFonts w:hint="eastAsia" w:ascii="宋体" w:hAnsi="宋体" w:eastAsia="宋体" w:cs="仿宋_GB2312"/>
                <w:color w:val="auto"/>
                <w:sz w:val="15"/>
                <w:szCs w:val="15"/>
                <w:highlight w:val="none"/>
                <w:lang w:val="en"/>
              </w:rPr>
              <w:t>恶劣影响的，视为“情节严重、造成恶劣影响”。</w:t>
            </w:r>
          </w:p>
          <w:p w14:paraId="64F13A29">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ascii="宋体" w:hAnsi="宋体" w:eastAsia="宋体" w:cs="Times New Roman"/>
                <w:color w:val="auto"/>
                <w:kern w:val="2"/>
                <w:sz w:val="15"/>
                <w:szCs w:val="15"/>
                <w:highlight w:val="none"/>
                <w:lang w:val="en-US" w:eastAsia="zh-CN" w:bidi="ar-SA"/>
              </w:rPr>
            </w:pPr>
            <w:r>
              <w:rPr>
                <w:rFonts w:hint="eastAsia" w:ascii="宋体" w:hAnsi="宋体" w:eastAsia="宋体" w:cs="仿宋_GB2312"/>
                <w:strike w:val="0"/>
                <w:dstrike w:val="0"/>
                <w:color w:val="auto"/>
                <w:kern w:val="2"/>
                <w:sz w:val="15"/>
                <w:szCs w:val="15"/>
                <w:highlight w:val="none"/>
                <w:lang w:val="en" w:eastAsia="zh-CN" w:bidi="ar-SA"/>
              </w:rPr>
              <w:t>拒不改正或两次及以上违法的，不重复计入本项情节系数。</w:t>
            </w:r>
          </w:p>
        </w:tc>
        <w:tc>
          <w:tcPr>
            <w:tcW w:w="1304" w:type="dxa"/>
            <w:gridSpan w:val="2"/>
            <w:vMerge w:val="continue"/>
            <w:shd w:val="clear" w:color="auto" w:fill="auto"/>
            <w:noWrap w:val="0"/>
            <w:vAlign w:val="center"/>
          </w:tcPr>
          <w:p w14:paraId="2819E97B">
            <w:pPr>
              <w:autoSpaceDE w:val="0"/>
              <w:spacing w:line="190" w:lineRule="exact"/>
              <w:jc w:val="center"/>
              <w:rPr>
                <w:rFonts w:hint="eastAsia" w:ascii="宋体" w:hAnsi="宋体" w:eastAsia="宋体"/>
                <w:color w:val="auto"/>
                <w:sz w:val="15"/>
                <w:szCs w:val="15"/>
                <w:highlight w:val="none"/>
              </w:rPr>
            </w:pPr>
          </w:p>
        </w:tc>
        <w:tc>
          <w:tcPr>
            <w:tcW w:w="1869" w:type="dxa"/>
            <w:vMerge w:val="continue"/>
            <w:shd w:val="clear" w:color="auto" w:fill="auto"/>
            <w:noWrap w:val="0"/>
            <w:vAlign w:val="center"/>
          </w:tcPr>
          <w:p w14:paraId="1A019760">
            <w:pPr>
              <w:autoSpaceDE w:val="0"/>
              <w:spacing w:line="190" w:lineRule="exact"/>
              <w:jc w:val="center"/>
              <w:rPr>
                <w:rFonts w:hint="eastAsia" w:ascii="宋体" w:hAnsi="宋体" w:eastAsia="宋体"/>
                <w:color w:val="auto"/>
                <w:sz w:val="15"/>
                <w:szCs w:val="15"/>
                <w:highlight w:val="none"/>
                <w:lang w:eastAsia="zh"/>
              </w:rPr>
            </w:pPr>
          </w:p>
        </w:tc>
      </w:tr>
      <w:tr w14:paraId="51E8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037" w:hRule="atLeast"/>
        </w:trPr>
        <w:tc>
          <w:tcPr>
            <w:tcW w:w="714" w:type="dxa"/>
            <w:shd w:val="clear" w:color="auto" w:fill="auto"/>
            <w:noWrap w:val="0"/>
            <w:vAlign w:val="center"/>
          </w:tcPr>
          <w:p w14:paraId="58940C07">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4</w:t>
            </w:r>
          </w:p>
        </w:tc>
        <w:tc>
          <w:tcPr>
            <w:tcW w:w="1626" w:type="dxa"/>
            <w:gridSpan w:val="2"/>
            <w:shd w:val="clear" w:color="auto" w:fill="auto"/>
            <w:noWrap w:val="0"/>
            <w:vAlign w:val="center"/>
          </w:tcPr>
          <w:p w14:paraId="065A72A7">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公共场所外语标识译写错误或者明显不当拒不改正</w:t>
            </w:r>
          </w:p>
        </w:tc>
        <w:tc>
          <w:tcPr>
            <w:tcW w:w="2981" w:type="dxa"/>
            <w:shd w:val="clear" w:color="auto" w:fill="auto"/>
            <w:noWrap w:val="0"/>
            <w:vAlign w:val="center"/>
          </w:tcPr>
          <w:p w14:paraId="6FC2479E">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shd w:val="clear" w:color="auto" w:fill="auto"/>
            <w:noWrap w:val="0"/>
            <w:vAlign w:val="center"/>
          </w:tcPr>
          <w:p w14:paraId="7DEF024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2000</w:t>
            </w:r>
          </w:p>
        </w:tc>
        <w:tc>
          <w:tcPr>
            <w:tcW w:w="840" w:type="dxa"/>
            <w:shd w:val="clear" w:color="auto" w:fill="auto"/>
            <w:noWrap w:val="0"/>
            <w:vAlign w:val="center"/>
          </w:tcPr>
          <w:p w14:paraId="76FE1621">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2376" w:type="dxa"/>
            <w:shd w:val="clear" w:color="auto" w:fill="auto"/>
            <w:noWrap w:val="0"/>
            <w:vAlign w:val="center"/>
          </w:tcPr>
          <w:p w14:paraId="5CA4DFE8">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属于第十七条第一款应当设置、使用外语标识的公共场所的，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kern w:val="0"/>
                <w:sz w:val="15"/>
                <w:szCs w:val="15"/>
                <w:highlight w:val="none"/>
                <w:lang w:val="en-US" w:eastAsia="zh-CN" w:bidi="ar"/>
              </w:rPr>
              <w:t>2.</w:t>
            </w:r>
            <w:r>
              <w:rPr>
                <w:rFonts w:hint="eastAsia" w:ascii="宋体" w:hAnsi="宋体" w:eastAsia="宋体" w:cs="仿宋_GB2312"/>
                <w:color w:val="auto"/>
                <w:kern w:val="0"/>
                <w:sz w:val="15"/>
                <w:szCs w:val="15"/>
                <w:highlight w:val="none"/>
                <w:lang w:bidi="ar"/>
              </w:rPr>
              <w:t>被媒体曝光的，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1</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3.</w:t>
            </w:r>
            <w:r>
              <w:rPr>
                <w:rFonts w:hint="eastAsia" w:ascii="宋体" w:hAnsi="宋体" w:eastAsia="宋体" w:cs="仿宋_GB2312"/>
                <w:color w:val="auto"/>
                <w:kern w:val="0"/>
                <w:sz w:val="15"/>
                <w:szCs w:val="15"/>
                <w:highlight w:val="none"/>
                <w:lang w:bidi="ar"/>
              </w:rPr>
              <w:t>造成恶劣影响的，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2</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4.</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14:paraId="0DE3CF27">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
              </w:rPr>
              <w:t>2</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2020" w:type="dxa"/>
            <w:gridSpan w:val="2"/>
            <w:shd w:val="clear" w:color="auto" w:fill="auto"/>
            <w:noWrap w:val="0"/>
            <w:vAlign w:val="center"/>
          </w:tcPr>
          <w:p w14:paraId="31640937">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1304" w:type="dxa"/>
            <w:gridSpan w:val="2"/>
            <w:shd w:val="clear" w:color="auto" w:fill="auto"/>
            <w:noWrap w:val="0"/>
            <w:vAlign w:val="center"/>
          </w:tcPr>
          <w:p w14:paraId="466757D4">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14:paraId="2FD01C09">
            <w:pPr>
              <w:spacing w:line="232" w:lineRule="exact"/>
              <w:jc w:val="center"/>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color w:val="auto"/>
                <w:sz w:val="15"/>
                <w:szCs w:val="15"/>
                <w:highlight w:val="none"/>
                <w:lang w:val="en"/>
              </w:rPr>
              <w:t>区级</w:t>
            </w:r>
          </w:p>
        </w:tc>
        <w:tc>
          <w:tcPr>
            <w:tcW w:w="1869" w:type="dxa"/>
            <w:shd w:val="clear" w:color="auto" w:fill="auto"/>
            <w:noWrap w:val="0"/>
            <w:vAlign w:val="center"/>
          </w:tcPr>
          <w:p w14:paraId="778205C7">
            <w:pPr>
              <w:spacing w:line="232" w:lineRule="exact"/>
              <w:jc w:val="center"/>
              <w:rPr>
                <w:rFonts w:hint="eastAsia" w:ascii="宋体" w:hAnsi="宋体" w:eastAsia="宋体" w:cs="仿宋_GB2312"/>
                <w:color w:val="auto"/>
                <w:sz w:val="15"/>
                <w:szCs w:val="15"/>
                <w:highlight w:val="none"/>
                <w:lang w:val="en" w:eastAsia="zh"/>
              </w:rPr>
            </w:pPr>
            <w:r>
              <w:rPr>
                <w:rFonts w:hint="eastAsia" w:ascii="宋体" w:hAnsi="宋体" w:cs="仿宋_GB2312"/>
                <w:color w:val="auto"/>
                <w:sz w:val="15"/>
                <w:szCs w:val="15"/>
                <w:highlight w:val="none"/>
                <w:lang w:val="en" w:eastAsia="zh"/>
              </w:rPr>
              <w:t>C4648400</w:t>
            </w:r>
          </w:p>
        </w:tc>
      </w:tr>
      <w:tr w14:paraId="3505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04" w:hRule="atLeast"/>
        </w:trPr>
        <w:tc>
          <w:tcPr>
            <w:tcW w:w="14587" w:type="dxa"/>
            <w:gridSpan w:val="13"/>
            <w:noWrap w:val="0"/>
            <w:vAlign w:val="center"/>
          </w:tcPr>
          <w:p w14:paraId="41C8E989">
            <w:pPr>
              <w:pStyle w:val="2"/>
              <w:keepNext w:val="0"/>
              <w:keepLines w:val="0"/>
              <w:rPr>
                <w:rFonts w:hint="eastAsia" w:ascii="宋体" w:hAnsi="宋体" w:eastAsia="宋体"/>
                <w:color w:val="auto"/>
                <w:sz w:val="21"/>
                <w:szCs w:val="21"/>
                <w:highlight w:val="none"/>
                <w:lang w:val="en-US" w:eastAsia="zh-CN"/>
              </w:rPr>
            </w:pPr>
            <w:bookmarkStart w:id="193" w:name="_Toc474814892"/>
            <w:r>
              <w:rPr>
                <w:rFonts w:hint="eastAsia" w:ascii="黑体" w:hAnsi="黑体" w:eastAsia="黑体"/>
                <w:b w:val="0"/>
                <w:color w:val="auto"/>
                <w:sz w:val="28"/>
                <w:szCs w:val="28"/>
                <w:highlight w:val="none"/>
                <w:lang w:val="en-US" w:eastAsia="zh-CN"/>
              </w:rPr>
              <w:t>安全生产管理方面</w:t>
            </w:r>
            <w:bookmarkEnd w:id="193"/>
          </w:p>
        </w:tc>
        <w:tc>
          <w:tcPr>
            <w:tcW w:w="1869" w:type="dxa"/>
            <w:noWrap w:val="0"/>
            <w:vAlign w:val="center"/>
          </w:tcPr>
          <w:p w14:paraId="4CA7D74E">
            <w:pPr>
              <w:pStyle w:val="2"/>
              <w:keepNext w:val="0"/>
              <w:keepLines w:val="0"/>
              <w:rPr>
                <w:rFonts w:hint="eastAsia" w:ascii="黑体" w:hAnsi="黑体" w:eastAsia="黑体"/>
                <w:b w:val="0"/>
                <w:color w:val="auto"/>
                <w:sz w:val="28"/>
                <w:szCs w:val="28"/>
                <w:highlight w:val="none"/>
                <w:lang w:val="en-US" w:eastAsia="zh-CN"/>
              </w:rPr>
            </w:pPr>
          </w:p>
        </w:tc>
      </w:tr>
      <w:tr w14:paraId="092A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61" w:hRule="atLeast"/>
        </w:trPr>
        <w:tc>
          <w:tcPr>
            <w:tcW w:w="14587" w:type="dxa"/>
            <w:gridSpan w:val="13"/>
            <w:noWrap w:val="0"/>
            <w:vAlign w:val="center"/>
          </w:tcPr>
          <w:p w14:paraId="5607FB70">
            <w:pPr>
              <w:pStyle w:val="3"/>
              <w:bidi w:val="0"/>
              <w:jc w:val="center"/>
              <w:rPr>
                <w:rFonts w:hint="eastAsia" w:ascii="宋体" w:hAnsi="宋体" w:eastAsia="宋体" w:cs="宋体"/>
                <w:color w:val="auto"/>
                <w:highlight w:val="none"/>
                <w:lang w:eastAsia="zh-Hans"/>
              </w:rPr>
            </w:pPr>
            <w:bookmarkStart w:id="194" w:name="_Toc643225722"/>
            <w:r>
              <w:rPr>
                <w:rFonts w:hint="eastAsia" w:ascii="宋体" w:hAnsi="宋体" w:eastAsia="宋体" w:cs="宋体"/>
                <w:color w:val="auto"/>
                <w:sz w:val="21"/>
                <w:szCs w:val="21"/>
                <w:highlight w:val="none"/>
                <w:lang w:eastAsia="zh-Hans"/>
              </w:rPr>
              <w:t>《中华人民共和国安全生产法》</w:t>
            </w:r>
            <w:r>
              <w:rPr>
                <w:rFonts w:hint="eastAsia" w:ascii="宋体" w:hAnsi="宋体" w:eastAsia="宋体" w:cs="宋体"/>
                <w:color w:val="auto"/>
                <w:sz w:val="21"/>
                <w:szCs w:val="21"/>
                <w:highlight w:val="none"/>
              </w:rPr>
              <w:t>《北京市安全生产条例》</w:t>
            </w:r>
            <w:r>
              <w:rPr>
                <w:rFonts w:hint="eastAsia" w:ascii="宋体" w:hAnsi="宋体" w:eastAsia="宋体" w:cs="宋体"/>
                <w:color w:val="auto"/>
                <w:sz w:val="21"/>
                <w:szCs w:val="21"/>
                <w:highlight w:val="none"/>
                <w:lang w:eastAsia="zh-Hans"/>
              </w:rPr>
              <w:t>案由</w:t>
            </w:r>
            <w:r>
              <w:rPr>
                <w:rFonts w:hint="eastAsia" w:ascii="宋体" w:hAnsi="宋体" w:eastAsia="宋体" w:cs="宋体"/>
                <w:b w:val="0"/>
                <w:bCs w:val="0"/>
                <w:color w:val="auto"/>
                <w:sz w:val="21"/>
                <w:szCs w:val="21"/>
                <w:highlight w:val="none"/>
                <w:lang w:val="en-US" w:eastAsia="zh-CN"/>
              </w:rPr>
              <w:t>4</w:t>
            </w:r>
            <w:r>
              <w:rPr>
                <w:rFonts w:hint="default" w:ascii="宋体" w:hAnsi="宋体" w:eastAsia="宋体" w:cs="宋体"/>
                <w:b w:val="0"/>
                <w:bCs w:val="0"/>
                <w:color w:val="auto"/>
                <w:sz w:val="21"/>
                <w:szCs w:val="21"/>
                <w:highlight w:val="none"/>
                <w:lang w:val="en-US" w:eastAsia="zh-CN"/>
              </w:rPr>
              <w:t>3</w:t>
            </w:r>
            <w:r>
              <w:rPr>
                <w:rFonts w:hint="eastAsia" w:ascii="宋体" w:hAnsi="宋体" w:eastAsia="宋体" w:cs="宋体"/>
                <w:color w:val="auto"/>
                <w:sz w:val="21"/>
                <w:szCs w:val="21"/>
                <w:highlight w:val="none"/>
                <w:lang w:eastAsia="zh-Hans"/>
              </w:rPr>
              <w:t>项</w:t>
            </w:r>
            <w:bookmarkEnd w:id="194"/>
          </w:p>
        </w:tc>
        <w:tc>
          <w:tcPr>
            <w:tcW w:w="1869" w:type="dxa"/>
            <w:noWrap w:val="0"/>
            <w:vAlign w:val="center"/>
          </w:tcPr>
          <w:p w14:paraId="2F9CE7FE">
            <w:pPr>
              <w:pStyle w:val="3"/>
              <w:bidi w:val="0"/>
              <w:jc w:val="center"/>
              <w:rPr>
                <w:rFonts w:hint="eastAsia" w:ascii="宋体" w:hAnsi="宋体" w:eastAsia="宋体" w:cs="宋体"/>
                <w:color w:val="auto"/>
                <w:sz w:val="21"/>
                <w:szCs w:val="21"/>
                <w:highlight w:val="none"/>
                <w:lang w:eastAsia="zh-Hans"/>
              </w:rPr>
            </w:pPr>
          </w:p>
        </w:tc>
      </w:tr>
      <w:tr w14:paraId="6F5B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810" w:hRule="atLeast"/>
        </w:trPr>
        <w:tc>
          <w:tcPr>
            <w:tcW w:w="714" w:type="dxa"/>
            <w:vMerge w:val="restart"/>
            <w:noWrap w:val="0"/>
            <w:vAlign w:val="center"/>
          </w:tcPr>
          <w:p w14:paraId="72FE9002">
            <w:pPr>
              <w:spacing w:line="232" w:lineRule="exact"/>
              <w:ind w:left="6" w:hanging="21"/>
              <w:jc w:val="center"/>
              <w:rPr>
                <w:rFonts w:ascii="宋体" w:hAnsi="宋体" w:eastAsia="宋体" w:cs="宋体"/>
                <w:color w:val="auto"/>
                <w:kern w:val="0"/>
                <w:sz w:val="15"/>
                <w:szCs w:val="15"/>
                <w:highlight w:val="none"/>
              </w:rPr>
            </w:pPr>
          </w:p>
          <w:p w14:paraId="0D99836D">
            <w:pPr>
              <w:spacing w:line="232" w:lineRule="exact"/>
              <w:ind w:left="6" w:hanging="21"/>
              <w:jc w:val="center"/>
              <w:rPr>
                <w:rFonts w:ascii="宋体" w:hAnsi="宋体" w:eastAsia="宋体" w:cs="宋体"/>
                <w:color w:val="auto"/>
                <w:kern w:val="0"/>
                <w:sz w:val="15"/>
                <w:szCs w:val="15"/>
                <w:highlight w:val="none"/>
              </w:rPr>
            </w:pPr>
          </w:p>
          <w:p w14:paraId="62A44AF8">
            <w:pPr>
              <w:spacing w:line="232" w:lineRule="exact"/>
              <w:ind w:left="6" w:hanging="21"/>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p w14:paraId="520DB03A">
            <w:pPr>
              <w:spacing w:line="232" w:lineRule="exact"/>
              <w:ind w:left="6" w:hanging="21"/>
              <w:jc w:val="center"/>
              <w:rPr>
                <w:rFonts w:ascii="宋体" w:hAnsi="宋体" w:eastAsia="宋体" w:cs="宋体"/>
                <w:color w:val="auto"/>
                <w:kern w:val="0"/>
                <w:sz w:val="15"/>
                <w:szCs w:val="15"/>
                <w:highlight w:val="none"/>
              </w:rPr>
            </w:pPr>
          </w:p>
        </w:tc>
        <w:tc>
          <w:tcPr>
            <w:tcW w:w="1626" w:type="dxa"/>
            <w:gridSpan w:val="2"/>
            <w:vMerge w:val="restart"/>
            <w:noWrap w:val="0"/>
            <w:vAlign w:val="center"/>
          </w:tcPr>
          <w:p w14:paraId="40AEF525">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主要负责人未履行安全生产管理职责</w:t>
            </w:r>
          </w:p>
        </w:tc>
        <w:tc>
          <w:tcPr>
            <w:tcW w:w="2981" w:type="dxa"/>
            <w:noWrap w:val="0"/>
            <w:vAlign w:val="center"/>
          </w:tcPr>
          <w:p w14:paraId="1D511AF6">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《中华人民共和国安全生产法》第二十一条第（一）项至第（七）项（根据实际选择）</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w:t>
            </w:r>
            <w:r>
              <w:rPr>
                <w:rFonts w:hint="eastAsia" w:ascii="宋体" w:hAnsi="宋体" w:eastAsia="宋体"/>
                <w:color w:val="auto"/>
                <w:spacing w:val="-4"/>
                <w:sz w:val="15"/>
                <w:szCs w:val="15"/>
                <w:highlight w:val="none"/>
              </w:rPr>
              <w:t>罚条款</w:t>
            </w:r>
            <w:r>
              <w:rPr>
                <w:rFonts w:hint="eastAsia" w:ascii="宋体" w:hAnsi="宋体" w:eastAsia="宋体"/>
                <w:color w:val="auto"/>
                <w:spacing w:val="-4"/>
                <w:sz w:val="15"/>
                <w:szCs w:val="15"/>
                <w:highlight w:val="none"/>
                <w:lang w:eastAsia="zh-CN"/>
              </w:rPr>
              <w:t>：</w:t>
            </w:r>
            <w:r>
              <w:rPr>
                <w:rFonts w:hint="eastAsia" w:ascii="宋体" w:hAnsi="宋体" w:eastAsia="宋体"/>
                <w:color w:val="auto"/>
                <w:spacing w:val="-4"/>
                <w:sz w:val="15"/>
                <w:szCs w:val="15"/>
                <w:highlight w:val="none"/>
              </w:rPr>
              <w:t>第九十四条第一款</w:t>
            </w:r>
            <w:r>
              <w:rPr>
                <w:rFonts w:hint="eastAsia" w:ascii="宋体" w:hAnsi="宋体" w:eastAsia="宋体"/>
                <w:color w:val="auto"/>
                <w:spacing w:val="-4"/>
                <w:sz w:val="15"/>
                <w:szCs w:val="15"/>
                <w:highlight w:val="none"/>
                <w:lang w:eastAsia="zh-CN"/>
              </w:rPr>
              <w:t>，</w:t>
            </w:r>
            <w:r>
              <w:rPr>
                <w:rFonts w:hint="eastAsia" w:ascii="宋体" w:hAnsi="宋体" w:eastAsia="宋体"/>
                <w:color w:val="auto"/>
                <w:spacing w:val="-4"/>
                <w:sz w:val="15"/>
                <w:szCs w:val="15"/>
                <w:highlight w:val="none"/>
              </w:rPr>
              <w:t>责令限期改正，处二万元以上五万元以下的罚款；逾期未改正的，处五万元以上十万元以下的罚款，责令生产经营单位停产停业整顿。</w:t>
            </w:r>
          </w:p>
        </w:tc>
        <w:tc>
          <w:tcPr>
            <w:tcW w:w="5946" w:type="dxa"/>
            <w:gridSpan w:val="6"/>
            <w:vMerge w:val="restart"/>
            <w:noWrap w:val="0"/>
            <w:vAlign w:val="center"/>
          </w:tcPr>
          <w:p w14:paraId="33BA17C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的主要负责人未履行《中华人民共和国安全生产法》规定的安全生产管理职责有1项的，责令限期改正，处2万元以上3万元以下的罚款；逾期未改正的，处5万元以上7万元以下的罚款，责令生产经营单位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的主要负责人未履行《中华人民共和国安全生产法》规定的安全生产管理职责有2项的，责令限期改正，处3万元以上4万元以下的罚款；逾期未改正的，处7万元以上9万元以下的罚款，责令生产经营单位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的主要负责人未履行《中华人民共和国安全生产法》规定的安全生产管理职责有3项以上的，责令限期改正，处4万元以上5万元以下的罚款；逾期未改正的，处9万元以上10万元以下的罚款，责令生产经营单位停产停业整顿。</w:t>
            </w:r>
          </w:p>
        </w:tc>
        <w:tc>
          <w:tcPr>
            <w:tcW w:w="2016" w:type="dxa"/>
            <w:vMerge w:val="restart"/>
            <w:noWrap w:val="0"/>
            <w:vAlign w:val="center"/>
          </w:tcPr>
          <w:p w14:paraId="3927283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vMerge w:val="restart"/>
            <w:noWrap w:val="0"/>
            <w:vAlign w:val="center"/>
          </w:tcPr>
          <w:p w14:paraId="7EF618FA">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15878C21">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restart"/>
            <w:noWrap w:val="0"/>
            <w:vAlign w:val="center"/>
          </w:tcPr>
          <w:p w14:paraId="7DB7B40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C4652000</w:t>
            </w:r>
          </w:p>
        </w:tc>
      </w:tr>
      <w:tr w14:paraId="0D70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85" w:hRule="atLeast"/>
        </w:trPr>
        <w:tc>
          <w:tcPr>
            <w:tcW w:w="714" w:type="dxa"/>
            <w:vMerge w:val="continue"/>
            <w:noWrap w:val="0"/>
            <w:vAlign w:val="center"/>
          </w:tcPr>
          <w:p w14:paraId="21EB92E3">
            <w:pPr>
              <w:spacing w:line="232" w:lineRule="exact"/>
              <w:ind w:left="6" w:hanging="21"/>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7BF58046">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981" w:type="dxa"/>
            <w:noWrap w:val="0"/>
            <w:vAlign w:val="center"/>
          </w:tcPr>
          <w:p w14:paraId="4526CAAC">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违反条款：《北京市生产经营单位安全生产主体责任规定》第四条第（五）项、第（七）项（根据实际选择）；</w:t>
            </w:r>
          </w:p>
          <w:p w14:paraId="61B6E291">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处罚条款：第三十四条第一款，责令改正；拒不改正的，责令停产停业整顿，并处2万元以上5万元以下罚款。</w:t>
            </w:r>
          </w:p>
        </w:tc>
        <w:tc>
          <w:tcPr>
            <w:tcW w:w="5946" w:type="dxa"/>
            <w:gridSpan w:val="6"/>
            <w:vMerge w:val="continue"/>
            <w:noWrap w:val="0"/>
            <w:vAlign w:val="center"/>
          </w:tcPr>
          <w:p w14:paraId="4F85195A">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2016" w:type="dxa"/>
            <w:vMerge w:val="continue"/>
            <w:noWrap w:val="0"/>
            <w:vAlign w:val="center"/>
          </w:tcPr>
          <w:p w14:paraId="2B3C0467">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1304" w:type="dxa"/>
            <w:gridSpan w:val="2"/>
            <w:vMerge w:val="continue"/>
            <w:noWrap w:val="0"/>
            <w:vAlign w:val="center"/>
          </w:tcPr>
          <w:p w14:paraId="6B1F9200">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p>
        </w:tc>
        <w:tc>
          <w:tcPr>
            <w:tcW w:w="1869" w:type="dxa"/>
            <w:vMerge w:val="continue"/>
            <w:noWrap w:val="0"/>
            <w:vAlign w:val="center"/>
          </w:tcPr>
          <w:p w14:paraId="3E021258">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p>
        </w:tc>
      </w:tr>
      <w:tr w14:paraId="71171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36" w:hRule="atLeast"/>
        </w:trPr>
        <w:tc>
          <w:tcPr>
            <w:tcW w:w="714" w:type="dxa"/>
            <w:vMerge w:val="restart"/>
            <w:noWrap w:val="0"/>
            <w:vAlign w:val="center"/>
          </w:tcPr>
          <w:p w14:paraId="0ECC1FF0">
            <w:pPr>
              <w:spacing w:line="232" w:lineRule="exact"/>
              <w:ind w:left="6" w:leftChars="0" w:hanging="21" w:firstLineChars="0"/>
              <w:jc w:val="center"/>
              <w:rPr>
                <w:rFonts w:hint="default" w:ascii="宋体" w:hAnsi="宋体" w:eastAsia="宋体"/>
                <w:color w:val="auto"/>
                <w:sz w:val="15"/>
                <w:szCs w:val="15"/>
                <w:highlight w:val="none"/>
                <w:lang w:val="en-US"/>
              </w:rPr>
            </w:pPr>
            <w:r>
              <w:rPr>
                <w:rFonts w:hint="default" w:ascii="宋体" w:hAnsi="宋体" w:eastAsia="宋体"/>
                <w:color w:val="auto"/>
                <w:sz w:val="15"/>
                <w:szCs w:val="15"/>
                <w:highlight w:val="none"/>
                <w:lang w:val="en-US"/>
              </w:rPr>
              <w:t>2</w:t>
            </w:r>
          </w:p>
        </w:tc>
        <w:tc>
          <w:tcPr>
            <w:tcW w:w="1626" w:type="dxa"/>
            <w:gridSpan w:val="2"/>
            <w:vMerge w:val="restart"/>
            <w:noWrap w:val="0"/>
            <w:vAlign w:val="center"/>
          </w:tcPr>
          <w:p w14:paraId="0EC4215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生产经营单位的决策机构、主要负责人或者个人经营的投资人未保证安全生产所必需的资金投入，致使生产经营单位不具备安全生产条件的且逾期未改正</w:t>
            </w:r>
          </w:p>
        </w:tc>
        <w:tc>
          <w:tcPr>
            <w:tcW w:w="2981" w:type="dxa"/>
            <w:noWrap w:val="0"/>
            <w:vAlign w:val="center"/>
          </w:tcPr>
          <w:p w14:paraId="7ADBA83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违反条款：《中华人民共和国安全生产法》第二十三条第一款；</w:t>
            </w:r>
          </w:p>
          <w:p w14:paraId="7AF60BE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三条第一款：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tc>
        <w:tc>
          <w:tcPr>
            <w:tcW w:w="5946" w:type="dxa"/>
            <w:gridSpan w:val="6"/>
            <w:vMerge w:val="restart"/>
            <w:noWrap w:val="0"/>
            <w:vAlign w:val="center"/>
          </w:tcPr>
          <w:p w14:paraId="4D8DC11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p>
        </w:tc>
        <w:tc>
          <w:tcPr>
            <w:tcW w:w="2016" w:type="dxa"/>
            <w:vMerge w:val="restart"/>
            <w:noWrap w:val="0"/>
            <w:vAlign w:val="center"/>
          </w:tcPr>
          <w:p w14:paraId="115E0A2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vMerge w:val="restart"/>
            <w:noWrap w:val="0"/>
            <w:vAlign w:val="center"/>
          </w:tcPr>
          <w:p w14:paraId="707EA7DB">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4853BB4">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869" w:type="dxa"/>
            <w:vMerge w:val="restart"/>
            <w:noWrap w:val="0"/>
            <w:vAlign w:val="center"/>
          </w:tcPr>
          <w:p w14:paraId="34DF4D00">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C2342400</w:t>
            </w:r>
          </w:p>
        </w:tc>
      </w:tr>
      <w:tr w14:paraId="4BCC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36" w:hRule="atLeast"/>
        </w:trPr>
        <w:tc>
          <w:tcPr>
            <w:tcW w:w="714" w:type="dxa"/>
            <w:vMerge w:val="continue"/>
            <w:noWrap w:val="0"/>
            <w:vAlign w:val="center"/>
          </w:tcPr>
          <w:p w14:paraId="59EA95C3">
            <w:pPr>
              <w:spacing w:line="232" w:lineRule="exact"/>
              <w:ind w:left="6" w:leftChars="0" w:hanging="21" w:firstLineChars="0"/>
              <w:jc w:val="center"/>
              <w:rPr>
                <w:rFonts w:ascii="宋体" w:hAnsi="宋体" w:eastAsia="宋体"/>
                <w:color w:val="auto"/>
                <w:sz w:val="15"/>
                <w:szCs w:val="15"/>
                <w:highlight w:val="none"/>
              </w:rPr>
            </w:pPr>
          </w:p>
        </w:tc>
        <w:tc>
          <w:tcPr>
            <w:tcW w:w="1626" w:type="dxa"/>
            <w:gridSpan w:val="2"/>
            <w:vMerge w:val="continue"/>
            <w:noWrap w:val="0"/>
            <w:vAlign w:val="center"/>
          </w:tcPr>
          <w:p w14:paraId="189FB75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981" w:type="dxa"/>
            <w:noWrap w:val="0"/>
            <w:vAlign w:val="center"/>
          </w:tcPr>
          <w:p w14:paraId="45523D6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违反条款：《北京市生产经营单位安全生产主体责任规定》第九条；</w:t>
            </w:r>
          </w:p>
          <w:p w14:paraId="0364346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五条第一款：生产经营单位未履行安全生产资金投入责任，致使生产经营单位不具备安全生产条件的，由负有安全生产监督管理职责的部门责令改正，提供必需的资金；拒不改正的，责令停产停业整顿。</w:t>
            </w:r>
          </w:p>
        </w:tc>
        <w:tc>
          <w:tcPr>
            <w:tcW w:w="5946" w:type="dxa"/>
            <w:gridSpan w:val="6"/>
            <w:vMerge w:val="continue"/>
            <w:noWrap w:val="0"/>
            <w:vAlign w:val="center"/>
          </w:tcPr>
          <w:p w14:paraId="61BBFAC9">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p>
        </w:tc>
        <w:tc>
          <w:tcPr>
            <w:tcW w:w="2016" w:type="dxa"/>
            <w:vMerge w:val="continue"/>
            <w:noWrap w:val="0"/>
            <w:vAlign w:val="center"/>
          </w:tcPr>
          <w:p w14:paraId="704258D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p>
        </w:tc>
        <w:tc>
          <w:tcPr>
            <w:tcW w:w="1304" w:type="dxa"/>
            <w:gridSpan w:val="2"/>
            <w:vMerge w:val="continue"/>
            <w:noWrap w:val="0"/>
            <w:vAlign w:val="center"/>
          </w:tcPr>
          <w:p w14:paraId="2881CB8C">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p>
        </w:tc>
        <w:tc>
          <w:tcPr>
            <w:tcW w:w="1869" w:type="dxa"/>
            <w:vMerge w:val="continue"/>
            <w:noWrap w:val="0"/>
            <w:vAlign w:val="center"/>
          </w:tcPr>
          <w:p w14:paraId="57EC5746">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p>
        </w:tc>
      </w:tr>
      <w:tr w14:paraId="67497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36" w:hRule="atLeast"/>
        </w:trPr>
        <w:tc>
          <w:tcPr>
            <w:tcW w:w="714" w:type="dxa"/>
            <w:vMerge w:val="restart"/>
            <w:noWrap w:val="0"/>
            <w:vAlign w:val="center"/>
          </w:tcPr>
          <w:p w14:paraId="025C8443">
            <w:pPr>
              <w:spacing w:line="232" w:lineRule="exact"/>
              <w:jc w:val="center"/>
              <w:rPr>
                <w:rFonts w:ascii="宋体" w:hAnsi="宋体" w:eastAsia="宋体"/>
                <w:color w:val="auto"/>
                <w:sz w:val="15"/>
                <w:szCs w:val="15"/>
                <w:highlight w:val="none"/>
              </w:rPr>
            </w:pPr>
            <w:r>
              <w:rPr>
                <w:rFonts w:hint="default" w:ascii="宋体" w:hAnsi="宋体" w:eastAsia="宋体"/>
                <w:color w:val="auto"/>
                <w:sz w:val="15"/>
                <w:szCs w:val="15"/>
                <w:highlight w:val="none"/>
                <w:lang w:val="en-US"/>
              </w:rPr>
              <w:t>3</w:t>
            </w:r>
          </w:p>
        </w:tc>
        <w:tc>
          <w:tcPr>
            <w:tcW w:w="1626" w:type="dxa"/>
            <w:gridSpan w:val="2"/>
            <w:vMerge w:val="restart"/>
            <w:noWrap w:val="0"/>
            <w:vAlign w:val="center"/>
          </w:tcPr>
          <w:p w14:paraId="52889277">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生产经营单位未按照规定设置安全生产管理机构或者配备安全生产管理人员</w:t>
            </w:r>
          </w:p>
        </w:tc>
        <w:tc>
          <w:tcPr>
            <w:tcW w:w="2981" w:type="dxa"/>
            <w:noWrap w:val="0"/>
            <w:vAlign w:val="center"/>
          </w:tcPr>
          <w:p w14:paraId="43D8B327">
            <w:pPr>
              <w:keepNext w:val="0"/>
              <w:keepLines w:val="0"/>
              <w:pageBreakBefore w:val="0"/>
              <w:widowControl w:val="0"/>
              <w:kinsoku/>
              <w:wordWrap/>
              <w:overflowPunct/>
              <w:topLinePunct w:val="0"/>
              <w:autoSpaceDE/>
              <w:autoSpaceDN/>
              <w:bidi w:val="0"/>
              <w:adjustRightInd/>
              <w:snapToGrid/>
              <w:spacing w:line="240" w:lineRule="auto"/>
              <w:jc w:val="both"/>
              <w:textAlignment w:val="auto"/>
              <w:rPr>
                <w:color w:val="auto"/>
                <w:highlight w:val="none"/>
              </w:rPr>
            </w:pPr>
            <w:r>
              <w:rPr>
                <w:rFonts w:hint="eastAsia" w:ascii="宋体" w:hAnsi="宋体" w:eastAsia="宋体"/>
                <w:color w:val="auto"/>
                <w:sz w:val="15"/>
                <w:szCs w:val="15"/>
                <w:highlight w:val="none"/>
              </w:rPr>
              <w:t>违反条款：《中华人民共和国安全生产法》第二十四条；</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vMerge w:val="restart"/>
            <w:noWrap w:val="0"/>
            <w:vAlign w:val="center"/>
          </w:tcPr>
          <w:p w14:paraId="0F2A950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从业人员在30人以下的矿山、金属冶炼和危险物品的生产、经营、储存、装卸单位，未按照规定设置安全生产管理机构或者配备专职安全生产管理人员；从业人员在100人以下的其他生产经营单位，未按照规定配备专职或者兼职的安全生产管理人员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从业人员在30人以上100人以下的矿山、金属冶炼和危险物品的生产、经营、储存、装卸单位，或从业人员在100人以上300人以下的其他生产经营单位，未按照规定设置安全生产管理机构或者配备专职安全生产管理人员的，或者虽设置有安全生产管理机构但配备的专职安全生产管理人员数量、比例不符合市人民政府规定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从业人员在100人以上的矿山、金属冶炼和危险物品的生产、经营、储存、装卸单位，或从业人员在300人以上的其他生产经营单位，未按照规定设置安全生产管理机构或者配备专职安全生产管理人员的，或者虽设置有安全生产管理机构但配备的专职安全生产管理人员数量、比例不符合市人民政府规定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vMerge w:val="restart"/>
            <w:noWrap w:val="0"/>
            <w:vAlign w:val="center"/>
          </w:tcPr>
          <w:p w14:paraId="09B5DBC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vMerge w:val="restart"/>
            <w:noWrap w:val="0"/>
            <w:vAlign w:val="center"/>
          </w:tcPr>
          <w:p w14:paraId="6049D387">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0C12B71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507222A9">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宋体"/>
                <w:color w:val="auto"/>
                <w:kern w:val="0"/>
                <w:sz w:val="15"/>
                <w:szCs w:val="15"/>
                <w:highlight w:val="none"/>
              </w:rPr>
            </w:pPr>
          </w:p>
        </w:tc>
        <w:tc>
          <w:tcPr>
            <w:tcW w:w="1869" w:type="dxa"/>
            <w:vMerge w:val="restart"/>
            <w:noWrap w:val="0"/>
            <w:vAlign w:val="center"/>
          </w:tcPr>
          <w:p w14:paraId="5B9B84D5">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C4686200</w:t>
            </w:r>
          </w:p>
        </w:tc>
      </w:tr>
      <w:tr w14:paraId="716AC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58" w:hRule="atLeast"/>
        </w:trPr>
        <w:tc>
          <w:tcPr>
            <w:tcW w:w="714" w:type="dxa"/>
            <w:vMerge w:val="continue"/>
            <w:noWrap w:val="0"/>
            <w:vAlign w:val="center"/>
          </w:tcPr>
          <w:p w14:paraId="072DD0C9">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14:paraId="463E38D7">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981" w:type="dxa"/>
            <w:noWrap w:val="0"/>
            <w:vAlign w:val="center"/>
          </w:tcPr>
          <w:p w14:paraId="68AE74A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违反条款：《北京市安全生产条例》第二十条； </w:t>
            </w:r>
          </w:p>
          <w:p w14:paraId="3361070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处罚条款：第五十八条第（一）</w:t>
            </w:r>
            <w:r>
              <w:rPr>
                <w:rFonts w:hint="eastAsia" w:ascii="宋体" w:hAnsi="宋体"/>
                <w:color w:val="auto"/>
                <w:sz w:val="15"/>
                <w:szCs w:val="15"/>
                <w:highlight w:val="none"/>
                <w:lang w:val="en-US" w:eastAsia="zh-CN"/>
              </w:rPr>
              <w:t>项</w:t>
            </w:r>
            <w:r>
              <w:rPr>
                <w:rFonts w:hint="eastAsia" w:ascii="宋体" w:hAnsi="宋体" w:eastAsia="宋体"/>
                <w:color w:val="auto"/>
                <w:sz w:val="15"/>
                <w:szCs w:val="15"/>
                <w:highlight w:val="none"/>
              </w:rPr>
              <w:t xml:space="preserve">，责令限期改正，处十万元以下的罚款；逾期未改正的，责令停产停业整顿，并处十万元以上二十万元以下的罚款，对其直接负责的主管人员和其他直接责任人员处二万元以上五万元以下的罚款。 </w:t>
            </w:r>
          </w:p>
        </w:tc>
        <w:tc>
          <w:tcPr>
            <w:tcW w:w="5946" w:type="dxa"/>
            <w:gridSpan w:val="6"/>
            <w:vMerge w:val="continue"/>
            <w:noWrap w:val="0"/>
            <w:vAlign w:val="center"/>
          </w:tcPr>
          <w:p w14:paraId="319BBC86">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2016" w:type="dxa"/>
            <w:vMerge w:val="continue"/>
            <w:noWrap w:val="0"/>
            <w:vAlign w:val="center"/>
          </w:tcPr>
          <w:p w14:paraId="61B66BFE">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1304" w:type="dxa"/>
            <w:gridSpan w:val="2"/>
            <w:vMerge w:val="continue"/>
            <w:noWrap w:val="0"/>
            <w:vAlign w:val="center"/>
          </w:tcPr>
          <w:p w14:paraId="2BBC8771">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1869" w:type="dxa"/>
            <w:vMerge w:val="continue"/>
            <w:noWrap w:val="0"/>
            <w:vAlign w:val="center"/>
          </w:tcPr>
          <w:p w14:paraId="72F052CF">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r>
      <w:tr w14:paraId="670B2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07" w:hRule="atLeast"/>
        </w:trPr>
        <w:tc>
          <w:tcPr>
            <w:tcW w:w="714" w:type="dxa"/>
            <w:noWrap w:val="0"/>
            <w:vAlign w:val="center"/>
          </w:tcPr>
          <w:p w14:paraId="266DE5F0">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4</w:t>
            </w:r>
          </w:p>
        </w:tc>
        <w:tc>
          <w:tcPr>
            <w:tcW w:w="1626" w:type="dxa"/>
            <w:gridSpan w:val="2"/>
            <w:noWrap w:val="0"/>
            <w:vAlign w:val="center"/>
          </w:tcPr>
          <w:p w14:paraId="5F40960C">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生产经营单位其他负责人和安全生产管理人员未履行本法规定的安全生产管理职责</w:t>
            </w:r>
          </w:p>
        </w:tc>
        <w:tc>
          <w:tcPr>
            <w:tcW w:w="2981" w:type="dxa"/>
            <w:noWrap w:val="0"/>
            <w:vAlign w:val="center"/>
          </w:tcPr>
          <w:p w14:paraId="5485A9A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违反条款：《中华人民共和国安全生产法》第二十五条第一款第（一）项至第（七）项（根据实际选择）；</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处罚条款：第九十六条，责令限期改正，处一万元以上三万元以下的罚款；…构成犯罪的，依照刑法有关规定追究刑事责任。</w:t>
            </w:r>
          </w:p>
        </w:tc>
        <w:tc>
          <w:tcPr>
            <w:tcW w:w="5946" w:type="dxa"/>
            <w:gridSpan w:val="6"/>
            <w:noWrap w:val="0"/>
            <w:vAlign w:val="center"/>
          </w:tcPr>
          <w:p w14:paraId="2978A93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未履行第一项至第七项中任一项职责的，责令限期改正，处1万元以上1.5万元以下的罚款；导致发生生产安全事故的，暂停或者吊销其与安全生产有关的资格，并按照《生产安全事故罚款处罚规定》第二十条处以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未履行第一项至第七项中任两项职责的，责令限期改正，处1.5万元以上2万元以下的罚款；导致发生生产安全事故的，暂停或者吊销其与安全生产有关的资格，并按照《生产安全事故罚款处罚规定》第二十条处以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未履行第一项至第七项中任三项以上职责的，责令限期改正，处2万元以上3万元以下的罚款；导致发生生产安全事故的，暂停或者吊销其与安全生产有关的资格，并按照《生产安全事故罚款处罚规定》第二十条处以罚款。</w:t>
            </w:r>
          </w:p>
        </w:tc>
        <w:tc>
          <w:tcPr>
            <w:tcW w:w="2016" w:type="dxa"/>
            <w:noWrap w:val="0"/>
            <w:vAlign w:val="center"/>
          </w:tcPr>
          <w:p w14:paraId="0639445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60A18426">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1944891D">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47E9574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C4652900</w:t>
            </w:r>
          </w:p>
        </w:tc>
      </w:tr>
      <w:tr w14:paraId="317B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16" w:hRule="atLeast"/>
        </w:trPr>
        <w:tc>
          <w:tcPr>
            <w:tcW w:w="714" w:type="dxa"/>
            <w:noWrap w:val="0"/>
            <w:vAlign w:val="center"/>
          </w:tcPr>
          <w:p w14:paraId="130D6013">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5</w:t>
            </w:r>
          </w:p>
        </w:tc>
        <w:tc>
          <w:tcPr>
            <w:tcW w:w="1626" w:type="dxa"/>
            <w:gridSpan w:val="2"/>
            <w:noWrap w:val="0"/>
            <w:vAlign w:val="center"/>
          </w:tcPr>
          <w:p w14:paraId="3BC5EB1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生产经营单位危险物品的生产、经营、储存单位以及建筑施工单位的主要负责人和安全生产管理人员未按照规定经考核合格</w:t>
            </w:r>
          </w:p>
        </w:tc>
        <w:tc>
          <w:tcPr>
            <w:tcW w:w="2981" w:type="dxa"/>
            <w:noWrap w:val="0"/>
            <w:vAlign w:val="center"/>
          </w:tcPr>
          <w:p w14:paraId="47914D3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违反条款：《中华人民共和国安全生产法》第二十七条第二款；</w:t>
            </w:r>
          </w:p>
          <w:p w14:paraId="2C87515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七条第（二）项，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noWrap w:val="0"/>
            <w:vAlign w:val="center"/>
          </w:tcPr>
          <w:p w14:paraId="7B850FF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危险物品的生产、经营、储存、装卸单位以及矿山、金属冶炼、建筑施工、运输单位，安全生产管理人员未按照规定经考核合格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危险物品的生产、经营、储存、装卸单位以及矿山、金属冶炼、建筑施工、运输单位，主要负责人未按照规定经考核合格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危险物品的生产、经营、储存、装卸单位以及矿山、金属冶炼、建筑施工、运输单位，主要负责人和安全生产管理人员均未按照规定经考核合格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noWrap w:val="0"/>
            <w:vAlign w:val="center"/>
          </w:tcPr>
          <w:p w14:paraId="03572F8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33F9CAE3">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0B4492A">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869" w:type="dxa"/>
            <w:noWrap w:val="0"/>
            <w:vAlign w:val="center"/>
          </w:tcPr>
          <w:p w14:paraId="74ED980C">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C2354100</w:t>
            </w:r>
          </w:p>
        </w:tc>
      </w:tr>
      <w:tr w14:paraId="7CAA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972" w:hRule="atLeast"/>
        </w:trPr>
        <w:tc>
          <w:tcPr>
            <w:tcW w:w="714" w:type="dxa"/>
            <w:vMerge w:val="restart"/>
            <w:noWrap w:val="0"/>
            <w:vAlign w:val="center"/>
          </w:tcPr>
          <w:p w14:paraId="6C669443">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6</w:t>
            </w:r>
          </w:p>
        </w:tc>
        <w:tc>
          <w:tcPr>
            <w:tcW w:w="1626" w:type="dxa"/>
            <w:gridSpan w:val="2"/>
            <w:vMerge w:val="restart"/>
            <w:noWrap w:val="0"/>
            <w:vAlign w:val="center"/>
          </w:tcPr>
          <w:p w14:paraId="6C35DA79">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未按照规定对从业人员、被派遣劳动者、实习学生进行安全生产教育和培训</w:t>
            </w:r>
          </w:p>
        </w:tc>
        <w:tc>
          <w:tcPr>
            <w:tcW w:w="2981" w:type="dxa"/>
            <w:noWrap w:val="0"/>
            <w:vAlign w:val="center"/>
          </w:tcPr>
          <w:p w14:paraId="5D03F91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违反条款：《中华人民共和国安全生产法》第二十八条第一款、第二款、第三款、第二十九条（根据实际选择）；</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vMerge w:val="restart"/>
            <w:noWrap w:val="0"/>
            <w:vAlign w:val="center"/>
          </w:tcPr>
          <w:p w14:paraId="20EFA6B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未按规定对从业人员、被派遣劳动者、实习学生进行安全生产教育和培训，或者未按照规定如实告知有关的安全生产事项，涉及人数3人以下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未按规定对从业人员、被派遣劳动者、实习学生进行安全生产教育和培训，或者未按照规定如实告知有关的安全生产事项，涉及人数3人以上10人以下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未按规定对从业人员、被派遣劳动者、实习学生进行安全生产教育和培训，或者未按照规定如实告知有关的安全生产事项，涉及人数10人以上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vMerge w:val="restart"/>
            <w:noWrap w:val="0"/>
            <w:vAlign w:val="center"/>
          </w:tcPr>
          <w:p w14:paraId="5F0D623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vMerge w:val="restart"/>
            <w:noWrap w:val="0"/>
            <w:vAlign w:val="center"/>
          </w:tcPr>
          <w:p w14:paraId="5BC68144">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1252CAB0">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33C870A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C4652300</w:t>
            </w:r>
          </w:p>
        </w:tc>
      </w:tr>
      <w:tr w14:paraId="3AEF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141" w:hRule="atLeast"/>
        </w:trPr>
        <w:tc>
          <w:tcPr>
            <w:tcW w:w="714" w:type="dxa"/>
            <w:vMerge w:val="continue"/>
            <w:noWrap w:val="0"/>
            <w:vAlign w:val="center"/>
          </w:tcPr>
          <w:p w14:paraId="198D8E32">
            <w:pPr>
              <w:spacing w:line="232" w:lineRule="exact"/>
              <w:ind w:left="6" w:hanging="21"/>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27F71001">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981" w:type="dxa"/>
            <w:noWrap w:val="0"/>
            <w:vAlign w:val="center"/>
          </w:tcPr>
          <w:p w14:paraId="625A6B6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b/>
                <w:bCs/>
                <w:color w:val="auto"/>
                <w:sz w:val="15"/>
                <w:szCs w:val="15"/>
                <w:highlight w:val="none"/>
              </w:rPr>
            </w:pPr>
            <w:r>
              <w:rPr>
                <w:rFonts w:hint="eastAsia" w:ascii="宋体" w:hAnsi="宋体" w:eastAsia="宋体"/>
                <w:b/>
                <w:bCs/>
                <w:color w:val="auto"/>
                <w:sz w:val="15"/>
                <w:szCs w:val="15"/>
                <w:highlight w:val="none"/>
              </w:rPr>
              <w:t>（适用于对从业人员开展安全生产教育培训）</w:t>
            </w:r>
          </w:p>
          <w:p w14:paraId="4C0C5C7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b w:val="0"/>
                <w:bCs w:val="0"/>
                <w:color w:val="auto"/>
                <w:sz w:val="15"/>
                <w:szCs w:val="15"/>
                <w:highlight w:val="none"/>
              </w:rPr>
              <w:t>违反条款：《北京市安全生产条例》</w:t>
            </w:r>
            <w:r>
              <w:rPr>
                <w:rFonts w:hint="eastAsia" w:ascii="宋体" w:hAnsi="宋体" w:eastAsia="宋体"/>
                <w:color w:val="auto"/>
                <w:sz w:val="15"/>
                <w:szCs w:val="15"/>
                <w:highlight w:val="none"/>
              </w:rPr>
              <w:t>第二十二条；</w:t>
            </w:r>
          </w:p>
          <w:p w14:paraId="0F87B10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处罚条款：第五十八条第（二）</w:t>
            </w:r>
            <w:r>
              <w:rPr>
                <w:rFonts w:hint="eastAsia" w:ascii="宋体" w:hAnsi="宋体" w:eastAsia="宋体"/>
                <w:color w:val="auto"/>
                <w:sz w:val="15"/>
                <w:szCs w:val="15"/>
                <w:highlight w:val="none"/>
                <w:lang w:eastAsia="zh-CN"/>
              </w:rPr>
              <w:t>项</w:t>
            </w:r>
            <w:r>
              <w:rPr>
                <w:rFonts w:hint="eastAsia" w:ascii="宋体" w:hAnsi="宋体" w:eastAsia="宋体"/>
                <w:color w:val="auto"/>
                <w:sz w:val="15"/>
                <w:szCs w:val="15"/>
                <w:highlight w:val="none"/>
              </w:rPr>
              <w:t xml:space="preserve">，责令限期改正，处十万元以下的罚款；逾期未改正的，责令停产停业整顿，并处十万元以上二十万元以下的罚款，对其直接负责的主管人员和其他直接责任人员处二万元以上五万元以下的罚款。 </w:t>
            </w:r>
          </w:p>
        </w:tc>
        <w:tc>
          <w:tcPr>
            <w:tcW w:w="5946" w:type="dxa"/>
            <w:gridSpan w:val="6"/>
            <w:vMerge w:val="continue"/>
            <w:noWrap w:val="0"/>
            <w:vAlign w:val="center"/>
          </w:tcPr>
          <w:p w14:paraId="4C8609AD">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2016" w:type="dxa"/>
            <w:vMerge w:val="continue"/>
            <w:noWrap w:val="0"/>
            <w:vAlign w:val="center"/>
          </w:tcPr>
          <w:p w14:paraId="33B3BEF4">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1304" w:type="dxa"/>
            <w:gridSpan w:val="2"/>
            <w:vMerge w:val="continue"/>
            <w:noWrap w:val="0"/>
            <w:vAlign w:val="center"/>
          </w:tcPr>
          <w:p w14:paraId="1AC75638">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1869" w:type="dxa"/>
            <w:noWrap w:val="0"/>
            <w:vAlign w:val="center"/>
          </w:tcPr>
          <w:p w14:paraId="4795A3A9">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r>
      <w:tr w14:paraId="112B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67" w:hRule="atLeast"/>
        </w:trPr>
        <w:tc>
          <w:tcPr>
            <w:tcW w:w="714" w:type="dxa"/>
            <w:noWrap w:val="0"/>
            <w:vAlign w:val="center"/>
          </w:tcPr>
          <w:p w14:paraId="3F4313B1">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7</w:t>
            </w:r>
          </w:p>
        </w:tc>
        <w:tc>
          <w:tcPr>
            <w:tcW w:w="1626" w:type="dxa"/>
            <w:gridSpan w:val="2"/>
            <w:noWrap w:val="0"/>
            <w:vAlign w:val="center"/>
          </w:tcPr>
          <w:p w14:paraId="4FFB2D65">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未如实记录安全生产教育和培训情况</w:t>
            </w:r>
          </w:p>
        </w:tc>
        <w:tc>
          <w:tcPr>
            <w:tcW w:w="2981" w:type="dxa"/>
            <w:noWrap w:val="0"/>
            <w:vAlign w:val="center"/>
          </w:tcPr>
          <w:p w14:paraId="4552CAC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违反条款：《中华人民共和国安全生产法》第二十八条第四款；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noWrap w:val="0"/>
            <w:vAlign w:val="center"/>
          </w:tcPr>
          <w:p w14:paraId="599E2E2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未如实记录安全生产教育和培训情况，涉及3人次以下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未如实记录安全生产教育和培训情况，涉及3人次以上10人次以下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未如实记录安全生产教育和培训情况，涉及10人次以上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noWrap w:val="0"/>
            <w:vAlign w:val="center"/>
          </w:tcPr>
          <w:p w14:paraId="76AFC69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6388FF9D">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6535BC1A">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63257FA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C4652600</w:t>
            </w:r>
          </w:p>
        </w:tc>
      </w:tr>
      <w:tr w14:paraId="0C2D5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055" w:hRule="atLeast"/>
        </w:trPr>
        <w:tc>
          <w:tcPr>
            <w:tcW w:w="714" w:type="dxa"/>
            <w:noWrap w:val="0"/>
            <w:vAlign w:val="center"/>
          </w:tcPr>
          <w:p w14:paraId="57CFBD6C">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8</w:t>
            </w:r>
          </w:p>
        </w:tc>
        <w:tc>
          <w:tcPr>
            <w:tcW w:w="1626" w:type="dxa"/>
            <w:gridSpan w:val="2"/>
            <w:noWrap w:val="0"/>
            <w:vAlign w:val="center"/>
          </w:tcPr>
          <w:p w14:paraId="4B8ADC0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生产经营单位特种作业人员未按照规定经专门的安全作业培训并取得相应资格，上岗作业</w:t>
            </w:r>
          </w:p>
        </w:tc>
        <w:tc>
          <w:tcPr>
            <w:tcW w:w="2981" w:type="dxa"/>
            <w:noWrap w:val="0"/>
            <w:vAlign w:val="center"/>
          </w:tcPr>
          <w:p w14:paraId="41A4C08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违反条款：《中华人民共和国安全生产法》第三十条第一款；</w:t>
            </w:r>
          </w:p>
          <w:p w14:paraId="24F5665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七条第（七）项，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noWrap w:val="0"/>
            <w:vAlign w:val="center"/>
          </w:tcPr>
          <w:p w14:paraId="532AF36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特种作业人员未按照规定经专门的安全作业培训并取得相应资格上岗作业，有1人次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特种作业人员未按照规定经专门的安全作业培训并取得相应资格上岗作业，有2人次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特种作业人员未按照规定经专门的安全作业培训并取得相应资格上岗作业，有3人次以上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noWrap w:val="0"/>
            <w:vAlign w:val="center"/>
          </w:tcPr>
          <w:p w14:paraId="62319F1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39A04822">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C015063">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869" w:type="dxa"/>
            <w:noWrap w:val="0"/>
            <w:vAlign w:val="center"/>
          </w:tcPr>
          <w:p w14:paraId="3A2E3325">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C2353800</w:t>
            </w:r>
          </w:p>
        </w:tc>
      </w:tr>
      <w:tr w14:paraId="0074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055" w:hRule="atLeast"/>
        </w:trPr>
        <w:tc>
          <w:tcPr>
            <w:tcW w:w="714" w:type="dxa"/>
            <w:noWrap w:val="0"/>
            <w:vAlign w:val="center"/>
          </w:tcPr>
          <w:p w14:paraId="1FECD5F7">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9</w:t>
            </w:r>
          </w:p>
        </w:tc>
        <w:tc>
          <w:tcPr>
            <w:tcW w:w="1626" w:type="dxa"/>
            <w:gridSpan w:val="2"/>
            <w:noWrap w:val="0"/>
            <w:vAlign w:val="center"/>
          </w:tcPr>
          <w:p w14:paraId="6737DDF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用于生产、储存、装卸危险物品的建设项目安全设施设计未按照规定报经有关部门审查同意</w:t>
            </w:r>
          </w:p>
        </w:tc>
        <w:tc>
          <w:tcPr>
            <w:tcW w:w="2981" w:type="dxa"/>
            <w:noWrap w:val="0"/>
            <w:vAlign w:val="center"/>
          </w:tcPr>
          <w:p w14:paraId="2EEAFB1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违反条款：《中华人民共和国安全生产法》第三十三条第二款；</w:t>
            </w:r>
          </w:p>
          <w:p w14:paraId="4C1DFC3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八条第（二）项，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tc>
        <w:tc>
          <w:tcPr>
            <w:tcW w:w="5946" w:type="dxa"/>
            <w:gridSpan w:val="6"/>
            <w:noWrap w:val="0"/>
            <w:vAlign w:val="center"/>
          </w:tcPr>
          <w:p w14:paraId="5CA1E91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建设项目投资额1000万元以下的，责令停止建设或者停产停业整顿，限期改正，并处10万元以上30万元以下的罚款，对其直接负责的主管人员和其他直接责任人员处2万元以上3万元以下的罚款；逾期未改正的，处50万元以上70万元以下的罚款，对其直接负责的主管人员和其他直接责任人员处5万元以上7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建设项目投资额1000万元以上3000万元以下的，责令停止建设或者停产停业整顿，限期改正，并处30万元以上40万元以下的罚款，对其直接负责的主管人员和其他直接责任人员处3万元以上4万元以下的罚款；逾期未改正的，处70万元以上90万元以下的罚款，对其直接负责的主管人员和其他直接责任人员处7万元以上9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建设项目投资额3000万元以上的，责令停止建设或者停产停业整顿，限期改正，并处40万元以上50万元以下的罚款，对其直接负责的主管人员和其他直接责任人员处4万元以上5万元以下的罚款；逾期未改正的，处90万元以上100万元以下的罚款，对其直接负责的主管人员和其他直接责任人员处9万元以上10万元以下的罚款。</w:t>
            </w:r>
          </w:p>
        </w:tc>
        <w:tc>
          <w:tcPr>
            <w:tcW w:w="2016" w:type="dxa"/>
            <w:noWrap w:val="0"/>
            <w:vAlign w:val="center"/>
          </w:tcPr>
          <w:p w14:paraId="6B2FA4F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3900A658">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5B72998">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5E331977">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C4686000</w:t>
            </w:r>
          </w:p>
        </w:tc>
      </w:tr>
      <w:tr w14:paraId="5921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055" w:hRule="atLeast"/>
        </w:trPr>
        <w:tc>
          <w:tcPr>
            <w:tcW w:w="714" w:type="dxa"/>
            <w:noWrap w:val="0"/>
            <w:vAlign w:val="center"/>
          </w:tcPr>
          <w:p w14:paraId="2A56133A">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10</w:t>
            </w:r>
          </w:p>
        </w:tc>
        <w:tc>
          <w:tcPr>
            <w:tcW w:w="1626" w:type="dxa"/>
            <w:gridSpan w:val="2"/>
            <w:noWrap w:val="0"/>
            <w:vAlign w:val="center"/>
          </w:tcPr>
          <w:p w14:paraId="0C13997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用于生产、储存、装卸危险物品的建设项目竣工投入生产或者使用前，安全设施未经验收合格</w:t>
            </w:r>
          </w:p>
        </w:tc>
        <w:tc>
          <w:tcPr>
            <w:tcW w:w="2981" w:type="dxa"/>
            <w:noWrap w:val="0"/>
            <w:vAlign w:val="center"/>
          </w:tcPr>
          <w:p w14:paraId="6E455E7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违反条款：《中华人民共和国安全生产法》第三十四条第二款；</w:t>
            </w:r>
          </w:p>
          <w:p w14:paraId="625C8EB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八条第（四）项，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tc>
        <w:tc>
          <w:tcPr>
            <w:tcW w:w="5946" w:type="dxa"/>
            <w:gridSpan w:val="6"/>
            <w:noWrap w:val="0"/>
            <w:vAlign w:val="center"/>
          </w:tcPr>
          <w:p w14:paraId="2F0B3AA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建设项目投资额1000万元以下的，责令停止建设或者停产停业整顿，限期改正，并处10万元以上30万元以下的罚款，对其直接负责的主管人员和其他直接责任人员处2万元以上3万元以下的罚款；逾期未改正的，处50万元以上70万元以下的罚款，对其直接负责的主管人员和其他直接责任人员处5万元以上7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建设项目投资额1000万元以上3000万元以下的，责令停止建设或者停产停业整顿，限期改正，并处30万元以上40万元以下的罚款，对其直接负责的主管人员和其他直接责任人员处3万元以上4万元以下的罚款；逾期未改正的，处70万元以上90万元以下的罚款，对其直接负责的主管人员和其他直接责任人员处7万元以上9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建设项目投资额3000万元以上的，责令停止建设或者停产停业整顿，限期改正，并处40万元以上50万元以下的罚款，对其直接负责的主管人员和其他直接责任人员处4万元以上5万元以下的罚款；逾期未改正的，处90万元以上100万元以下的罚款，对其直接负责的主管人员和其他直接责任人员处9万元以上10万元以下的罚款。</w:t>
            </w:r>
          </w:p>
        </w:tc>
        <w:tc>
          <w:tcPr>
            <w:tcW w:w="2016" w:type="dxa"/>
            <w:noWrap w:val="0"/>
            <w:vAlign w:val="center"/>
          </w:tcPr>
          <w:p w14:paraId="25469E5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727D5E47">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78AB4D3">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0290B6B4">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C4686300</w:t>
            </w:r>
          </w:p>
        </w:tc>
      </w:tr>
      <w:tr w14:paraId="5FB6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055" w:hRule="atLeast"/>
        </w:trPr>
        <w:tc>
          <w:tcPr>
            <w:tcW w:w="714" w:type="dxa"/>
            <w:noWrap w:val="0"/>
            <w:vAlign w:val="center"/>
          </w:tcPr>
          <w:p w14:paraId="50F87338">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11</w:t>
            </w:r>
          </w:p>
        </w:tc>
        <w:tc>
          <w:tcPr>
            <w:tcW w:w="1626" w:type="dxa"/>
            <w:gridSpan w:val="2"/>
            <w:noWrap w:val="0"/>
            <w:vAlign w:val="center"/>
          </w:tcPr>
          <w:p w14:paraId="2E7D7351">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生产经营单位未在有较大危险因素的生产经营场所和有关设施、设备上设置明显的安全警示标志</w:t>
            </w:r>
          </w:p>
        </w:tc>
        <w:tc>
          <w:tcPr>
            <w:tcW w:w="2981" w:type="dxa"/>
            <w:noWrap w:val="0"/>
            <w:vAlign w:val="center"/>
          </w:tcPr>
          <w:p w14:paraId="0F5F21F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违反条款：《中华人民共和国安全生产法》第三十五条；</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noWrap w:val="0"/>
            <w:vAlign w:val="center"/>
          </w:tcPr>
          <w:p w14:paraId="72FC351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未在有较大危险因素的生产经营场所和有关设施、设备上设置明显的安全警示标志，涉及3处以下的，责令限期改正，处2万元以下的罚款；逾期未改正的，处5万元以上10万元以下的罚款，对其直接负责的主管人员和其他直接责任人员处1万元以上2万元以下的罚款；情节严重的，责令停产停业整顿；</w:t>
            </w:r>
          </w:p>
          <w:p w14:paraId="4AAF30F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2.未在有较大危险因素的生产经营场所和有关设施、设备上设置明显的安全警示标志，涉及3处以上7处以下的，责令限期改正，处2万元以上4万元以下的罚款；逾期未改正的，处10万元以上15万元以下的罚款，对其直接负责的主管人员和其他直接责任人员处1万元以上2万元以下的罚款；情节严重的，责令停产停业整顿；</w:t>
            </w:r>
          </w:p>
          <w:p w14:paraId="34C8E0C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3.未在有较大危险因素的生产经营场所和有关设施、设备上设置明显的安全警示标志，涉及7处以上的，责令限期改正，处4万元以上5万元以下的罚款；逾期未改正的，处15万元以上20万元以下的罚款，对其直接负责的主管人员和其他直接责任人员处1万元以上2万元以下的罚款；情节严重的，责令停产停业整顿。</w:t>
            </w:r>
          </w:p>
        </w:tc>
        <w:tc>
          <w:tcPr>
            <w:tcW w:w="2016" w:type="dxa"/>
            <w:noWrap w:val="0"/>
            <w:vAlign w:val="center"/>
          </w:tcPr>
          <w:p w14:paraId="4435FD7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4B34DA3E">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A14C59F">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717362B6">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C4652100</w:t>
            </w:r>
          </w:p>
        </w:tc>
      </w:tr>
      <w:tr w14:paraId="16871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117" w:hRule="atLeast"/>
        </w:trPr>
        <w:tc>
          <w:tcPr>
            <w:tcW w:w="714" w:type="dxa"/>
            <w:noWrap w:val="0"/>
            <w:vAlign w:val="center"/>
          </w:tcPr>
          <w:p w14:paraId="4D1B5B8C">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12</w:t>
            </w:r>
          </w:p>
        </w:tc>
        <w:tc>
          <w:tcPr>
            <w:tcW w:w="1626" w:type="dxa"/>
            <w:gridSpan w:val="2"/>
            <w:noWrap w:val="0"/>
            <w:vAlign w:val="center"/>
          </w:tcPr>
          <w:p w14:paraId="7307C08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生产经营单位安全设备的安装、使用、检测、改造和报废不符合国家标准或者行业标准</w:t>
            </w:r>
          </w:p>
        </w:tc>
        <w:tc>
          <w:tcPr>
            <w:tcW w:w="2981" w:type="dxa"/>
            <w:noWrap w:val="0"/>
            <w:vAlign w:val="center"/>
          </w:tcPr>
          <w:p w14:paraId="534A70D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违反条款：《中华人民共和国安全生产法》第三十六条第一款；</w:t>
            </w:r>
          </w:p>
          <w:p w14:paraId="2EFFDDD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二）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noWrap w:val="0"/>
            <w:vAlign w:val="center"/>
          </w:tcPr>
          <w:p w14:paraId="0573297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1.有 1台（套）安全设备安装、使用、检测、改造和报废不符合国家标准或者行业标准的，处2万元以下的罚款；逾期未改正的，处5万元以上10万元以下的罚款，对其直接负责的主管人员和其他直接责任人员处1万元以上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2.有 2台（套）安全设备安装、使用、检测、改造和报废不符合国家标准或者行业标准的，处2万元以上4万元以下的罚款；逾期未改正的，处10万元以上15万元以下的罚款，对其直接负责的主管人员和其他直接责任人员处1万元以上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3.有 3台（套）以上安全设备安装、使用、检测、改造和报废不符合国家标准或者行业标准的，处4万元以上5万元以下的罚款；逾期未改正的，处15万元以上20万元以下的罚款，对其直接负责的主管人员和其他直接责任人员处1万元以上2万元以下的罚款。</w:t>
            </w:r>
          </w:p>
        </w:tc>
        <w:tc>
          <w:tcPr>
            <w:tcW w:w="2016" w:type="dxa"/>
            <w:noWrap w:val="0"/>
            <w:vAlign w:val="center"/>
          </w:tcPr>
          <w:p w14:paraId="285C815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58387451">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5DE2BD28">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16EDC2A2">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C2343400</w:t>
            </w:r>
          </w:p>
        </w:tc>
      </w:tr>
      <w:tr w14:paraId="7C56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14:paraId="00C1E30C">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13</w:t>
            </w:r>
          </w:p>
        </w:tc>
        <w:tc>
          <w:tcPr>
            <w:tcW w:w="1626" w:type="dxa"/>
            <w:gridSpan w:val="2"/>
            <w:noWrap w:val="0"/>
            <w:vAlign w:val="center"/>
          </w:tcPr>
          <w:p w14:paraId="4F6DCB8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生产经营单位未对安全设备进行经常性维护、保养和定期检测</w:t>
            </w:r>
          </w:p>
        </w:tc>
        <w:tc>
          <w:tcPr>
            <w:tcW w:w="2981" w:type="dxa"/>
            <w:noWrap w:val="0"/>
            <w:vAlign w:val="center"/>
          </w:tcPr>
          <w:p w14:paraId="7A1C6F6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违反条款：《中华人民共和国安全生产法》第三十六条第二款；</w:t>
            </w:r>
          </w:p>
          <w:p w14:paraId="28D88B5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三）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noWrap w:val="0"/>
            <w:vAlign w:val="center"/>
          </w:tcPr>
          <w:p w14:paraId="5E12CE4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有1台（套）安全设备未进行经常性维护、保养和定期检测的，责令限期改正，处2万元以下的罚款；逾期未改正的，处5万元以上10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有2台（套）安全设备未进行经常性维护、保养和定期检测的，责令限期改正，处2万元以上4万元以下的罚款；逾期未改正的，处10万元以上15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有3台（套）以上安全设备未进行经常性维护、保养和定期检测的，责令限期改正，处4万元以上5万元以下的罚款；逾期未改正的，处15万元以上20万元以下的罚款，对其直接负责的主管人员和其他直接责任人员处1万元以上2万元以下的罚款；情节严重的，责令停产停业整顿。</w:t>
            </w:r>
          </w:p>
        </w:tc>
        <w:tc>
          <w:tcPr>
            <w:tcW w:w="2016" w:type="dxa"/>
            <w:noWrap w:val="0"/>
            <w:vAlign w:val="center"/>
          </w:tcPr>
          <w:p w14:paraId="1EA0A59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180D474B">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06A58224">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571A17B5">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C2343500</w:t>
            </w:r>
          </w:p>
        </w:tc>
      </w:tr>
      <w:tr w14:paraId="5FA20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18" w:hRule="atLeast"/>
        </w:trPr>
        <w:tc>
          <w:tcPr>
            <w:tcW w:w="714" w:type="dxa"/>
            <w:noWrap w:val="0"/>
            <w:vAlign w:val="center"/>
          </w:tcPr>
          <w:p w14:paraId="085175B8">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14</w:t>
            </w:r>
          </w:p>
        </w:tc>
        <w:tc>
          <w:tcPr>
            <w:tcW w:w="1626" w:type="dxa"/>
            <w:gridSpan w:val="2"/>
            <w:noWrap w:val="0"/>
            <w:vAlign w:val="center"/>
          </w:tcPr>
          <w:p w14:paraId="16945B8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生产经营单位关闭、破坏直接关系生产安全的监控、报警、防护、救生设备、设施，或者篡改、隐瞒、销毁其相关数据、信息</w:t>
            </w:r>
          </w:p>
        </w:tc>
        <w:tc>
          <w:tcPr>
            <w:tcW w:w="2981" w:type="dxa"/>
            <w:noWrap w:val="0"/>
            <w:vAlign w:val="center"/>
          </w:tcPr>
          <w:p w14:paraId="74AE420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违反条款：《中华人民共和国安全生产法》第三十六条第三款；</w:t>
            </w:r>
          </w:p>
          <w:p w14:paraId="54921F6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四）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noWrap w:val="0"/>
            <w:vAlign w:val="center"/>
          </w:tcPr>
          <w:p w14:paraId="7C3DE49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关闭、破坏直接关系生产安全的监控、报警、防护、救生设备、设施1台（套），或篡改、隐瞒、销毁直接关系生产安全相关数据、信息涉及1处的，责令限期改正，处2万元以下的罚款；逾期未改正的，处5万元以上10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关闭、破坏直接关系生产安全的监控、报警、防护、救生设备、设施2台（套），或篡改、隐瞒、销毁直接关系生产安全相关数据、信息涉及2处的，责令限期改正，处2万元以上4万元以下的罚款；逾期未改正的，处10万元以上15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关闭、破坏直接关系生产安全的监控、报警、防护、救生设备、设施3台（套）以上，或篡改、隐瞒、销毁直接关系生产安全相关数据、信息涉及3处以上的，责令限期改正，处4万元以上5万元以下的罚款；逾期未改正的，处15万元以上20万元以下的罚款，对其直接负责的主管人员和其他直接责任人员处1万元以上2万元以下的罚款；情节严重的，责令停产停业整顿。</w:t>
            </w:r>
          </w:p>
        </w:tc>
        <w:tc>
          <w:tcPr>
            <w:tcW w:w="2016" w:type="dxa"/>
            <w:noWrap w:val="0"/>
            <w:vAlign w:val="center"/>
          </w:tcPr>
          <w:p w14:paraId="3EACC52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6B1D9159">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2967C1B">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6745EBD8">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C2354800</w:t>
            </w:r>
          </w:p>
        </w:tc>
      </w:tr>
      <w:tr w14:paraId="29FB9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14:paraId="15F0726D">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15</w:t>
            </w:r>
          </w:p>
        </w:tc>
        <w:tc>
          <w:tcPr>
            <w:tcW w:w="1626" w:type="dxa"/>
            <w:gridSpan w:val="2"/>
            <w:noWrap w:val="0"/>
            <w:vAlign w:val="center"/>
          </w:tcPr>
          <w:p w14:paraId="3609117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生产经营单位使用的危险物品的容器未经具有专业资质的机构检测、检验合格，取得安全使用证或者安全标志，投入使用</w:t>
            </w:r>
          </w:p>
        </w:tc>
        <w:tc>
          <w:tcPr>
            <w:tcW w:w="2981" w:type="dxa"/>
            <w:noWrap w:val="0"/>
            <w:vAlign w:val="center"/>
          </w:tcPr>
          <w:p w14:paraId="64C81CA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违反条款：《中华人民共和国安全生产法》第三十七条；</w:t>
            </w:r>
          </w:p>
          <w:p w14:paraId="3D3B277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六）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noWrap w:val="0"/>
            <w:vAlign w:val="center"/>
          </w:tcPr>
          <w:p w14:paraId="3C039CA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有1台（套）容器、运输工具、特种设备未经具有专业资质的机构检测、检验合格，取得安全使用证或者安全标志，投入使用的，责令限期改正，处2万元以下的罚款；逾期未改正的，处5万元以上10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有2台（套）容器、运输工具、特种设备未经具有专业资质的机构检测、检验合格，取得安全使用证或者安全标志，投入使用的，责令限期改正，处2万元以上4万元以下的罚款；逾期未改正的，处10万元以上15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有3台（套）以上容器、运输工具、特种设备未经具有专业资质的机构检测、检验合格，取得安全使用证或者安全标志，投入使用的，责令限期改正，处4万元以上5万元以下的罚款；逾期未改正的，处15万元以上20万元以下的罚款，对其直接负责的主管人员和其他直接责任人员处1万元以上2万元以下的罚款；情节严重的，责令停产停业整顿。</w:t>
            </w:r>
          </w:p>
        </w:tc>
        <w:tc>
          <w:tcPr>
            <w:tcW w:w="2016" w:type="dxa"/>
            <w:noWrap w:val="0"/>
            <w:vAlign w:val="center"/>
          </w:tcPr>
          <w:p w14:paraId="289661A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4621F2A7">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FEEDEBB">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547626DE">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C2343700</w:t>
            </w:r>
          </w:p>
        </w:tc>
      </w:tr>
      <w:tr w14:paraId="6130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18" w:hRule="atLeast"/>
        </w:trPr>
        <w:tc>
          <w:tcPr>
            <w:tcW w:w="714" w:type="dxa"/>
            <w:noWrap w:val="0"/>
            <w:vAlign w:val="center"/>
          </w:tcPr>
          <w:p w14:paraId="462570D5">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16</w:t>
            </w:r>
          </w:p>
        </w:tc>
        <w:tc>
          <w:tcPr>
            <w:tcW w:w="1626" w:type="dxa"/>
            <w:gridSpan w:val="2"/>
            <w:noWrap w:val="0"/>
            <w:vAlign w:val="center"/>
          </w:tcPr>
          <w:p w14:paraId="3D81A51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生产经营单位使用应当淘汰的危及生产安全的工艺、设备</w:t>
            </w:r>
          </w:p>
        </w:tc>
        <w:tc>
          <w:tcPr>
            <w:tcW w:w="2981" w:type="dxa"/>
            <w:noWrap w:val="0"/>
            <w:vAlign w:val="center"/>
          </w:tcPr>
          <w:p w14:paraId="7C4E38F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违反条款：《中华人民共和国安全生产法》第三十八条第三款；</w:t>
            </w:r>
          </w:p>
          <w:p w14:paraId="17B7FAD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noWrap w:val="0"/>
            <w:vAlign w:val="center"/>
          </w:tcPr>
          <w:p w14:paraId="744BD59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使用1台（套、种）应当淘汰的危及生产安全的工艺、设备的，责令限期改正，处2万元以下的罚款；逾期未改正的，处5万元以上10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使用2台（套、种）应当淘汰的危及生产安全的工艺、设备的，责令限期改正，处2万元以上4万元以下的罚款；逾期未改正的，处10万元以上15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使用3台（套、种）以上应当淘汰的危及生产安全的工艺、设备的，责令限期改正，处4万元以上5万元以下的罚款；逾期未改正的，处15万元以上20万元以下的罚款，对其直接负责的主管人员和其他直接责任人员处1万元以上2万元以下的罚款；情节严重的，责令停产停业整顿。</w:t>
            </w:r>
          </w:p>
        </w:tc>
        <w:tc>
          <w:tcPr>
            <w:tcW w:w="2016" w:type="dxa"/>
            <w:noWrap w:val="0"/>
            <w:vAlign w:val="center"/>
          </w:tcPr>
          <w:p w14:paraId="498D106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4658231B">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0571DBC">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686B7822">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C2354000</w:t>
            </w:r>
          </w:p>
        </w:tc>
      </w:tr>
      <w:tr w14:paraId="5585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18" w:hRule="atLeast"/>
        </w:trPr>
        <w:tc>
          <w:tcPr>
            <w:tcW w:w="714" w:type="dxa"/>
            <w:noWrap w:val="0"/>
            <w:vAlign w:val="center"/>
          </w:tcPr>
          <w:p w14:paraId="7EA858A2">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17</w:t>
            </w:r>
          </w:p>
        </w:tc>
        <w:tc>
          <w:tcPr>
            <w:tcW w:w="1626" w:type="dxa"/>
            <w:gridSpan w:val="2"/>
            <w:noWrap w:val="0"/>
            <w:vAlign w:val="center"/>
          </w:tcPr>
          <w:p w14:paraId="345F2F8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未经依法批准，擅自生产、经营、储存危险物品</w:t>
            </w:r>
          </w:p>
        </w:tc>
        <w:tc>
          <w:tcPr>
            <w:tcW w:w="2981" w:type="dxa"/>
            <w:noWrap w:val="0"/>
            <w:vAlign w:val="center"/>
          </w:tcPr>
          <w:p w14:paraId="5AD7D45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违反条款：《中华人民共和国安全生产法》第三十九条第一款；</w:t>
            </w:r>
          </w:p>
          <w:p w14:paraId="48226BC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条，未经依法批准，擅自生产、经营、运输、储存、使用危险物品或者处置废弃危险物品的，依照有关危险物品安全管理的法律、行政法规的规定予以处罚；构成犯罪的，依照刑法有关规定追究刑事责任。</w:t>
            </w:r>
          </w:p>
        </w:tc>
        <w:tc>
          <w:tcPr>
            <w:tcW w:w="5946" w:type="dxa"/>
            <w:gridSpan w:val="6"/>
            <w:noWrap w:val="0"/>
            <w:vAlign w:val="center"/>
          </w:tcPr>
          <w:p w14:paraId="1F1B0B8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1.没有违法所得或违法所得10万元以下的，责令停止经营活动，没收违法经营的危险化学品以及违法所得，并处10万元以上13万元以下的罚款；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2.违法所得10万元以上30万元以下的，责令停止经营活动，没收违法经营的危险化学品以及违法所得，并处13万元以上17万元以下的罚款；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3.违法所得30万元以上的，责令停止经营活动，没收违法经营的危险化学品以及违法所得，并处17万元以上20万元以下的罚款。</w:t>
            </w:r>
          </w:p>
        </w:tc>
        <w:tc>
          <w:tcPr>
            <w:tcW w:w="2016" w:type="dxa"/>
            <w:noWrap w:val="0"/>
            <w:vAlign w:val="center"/>
          </w:tcPr>
          <w:p w14:paraId="44BADC8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734BBC3A">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6327390F">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869" w:type="dxa"/>
            <w:noWrap w:val="0"/>
            <w:vAlign w:val="center"/>
          </w:tcPr>
          <w:p w14:paraId="28E7192A">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C4685600</w:t>
            </w:r>
          </w:p>
        </w:tc>
      </w:tr>
      <w:tr w14:paraId="495A2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18" w:hRule="atLeast"/>
        </w:trPr>
        <w:tc>
          <w:tcPr>
            <w:tcW w:w="714" w:type="dxa"/>
            <w:noWrap w:val="0"/>
            <w:vAlign w:val="center"/>
          </w:tcPr>
          <w:p w14:paraId="12D388F2">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18</w:t>
            </w:r>
          </w:p>
        </w:tc>
        <w:tc>
          <w:tcPr>
            <w:tcW w:w="1626" w:type="dxa"/>
            <w:gridSpan w:val="2"/>
            <w:noWrap w:val="0"/>
            <w:vAlign w:val="center"/>
          </w:tcPr>
          <w:p w14:paraId="4F1BB63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生产经营单位生产、经营、运输、储存、使用危险物品或者处置废弃危险物品，未建立专门安全管理制度、未采取可靠的安全措施</w:t>
            </w:r>
          </w:p>
        </w:tc>
        <w:tc>
          <w:tcPr>
            <w:tcW w:w="2981" w:type="dxa"/>
            <w:noWrap w:val="0"/>
            <w:vAlign w:val="center"/>
          </w:tcPr>
          <w:p w14:paraId="510049B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违反条款：《中华人民共和国安全生产法》第三十九条第二款；</w:t>
            </w:r>
          </w:p>
          <w:p w14:paraId="2797A0A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一条第（一）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5946" w:type="dxa"/>
            <w:gridSpan w:val="6"/>
            <w:noWrap w:val="0"/>
            <w:vAlign w:val="center"/>
          </w:tcPr>
          <w:p w14:paraId="371312F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生产、经营、运输、储存、使用危险物品或者处置废弃危险物品时，未建立专门的安全管理制度，但采取了可靠的安全措施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生产、经营、运输、储存、使用危险物品或者处置废弃危险物品时，建立了专门的安全管理制度，但未采取可靠的安全措施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生产、经营、运输、储存、使用危险物品或者处置废弃危险物品时，未建立专门的安全管理制度，且未采取可靠的安全措施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noWrap w:val="0"/>
            <w:vAlign w:val="center"/>
          </w:tcPr>
          <w:p w14:paraId="42E9C44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65D67A2A">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57F787E">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2089C556">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C2343900</w:t>
            </w:r>
          </w:p>
        </w:tc>
      </w:tr>
      <w:tr w14:paraId="2DD4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18" w:hRule="atLeast"/>
        </w:trPr>
        <w:tc>
          <w:tcPr>
            <w:tcW w:w="714" w:type="dxa"/>
            <w:noWrap w:val="0"/>
            <w:vAlign w:val="center"/>
          </w:tcPr>
          <w:p w14:paraId="7D0290C5">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19</w:t>
            </w:r>
          </w:p>
        </w:tc>
        <w:tc>
          <w:tcPr>
            <w:tcW w:w="1626" w:type="dxa"/>
            <w:gridSpan w:val="2"/>
            <w:noWrap w:val="0"/>
            <w:vAlign w:val="center"/>
          </w:tcPr>
          <w:p w14:paraId="4E7F924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生产经营单位对重大危险源未登记建档，或者未进行评估、监控，或者未制定应急预案</w:t>
            </w:r>
          </w:p>
        </w:tc>
        <w:tc>
          <w:tcPr>
            <w:tcW w:w="2981" w:type="dxa"/>
            <w:noWrap w:val="0"/>
            <w:vAlign w:val="center"/>
          </w:tcPr>
          <w:p w14:paraId="15829AF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违反条款：《中华人民共和国安全生产法》第四十条第一款；</w:t>
            </w:r>
          </w:p>
          <w:p w14:paraId="2D9BEDB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一条第（二）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5946" w:type="dxa"/>
            <w:gridSpan w:val="6"/>
            <w:noWrap w:val="0"/>
            <w:vAlign w:val="center"/>
          </w:tcPr>
          <w:p w14:paraId="6B2E4E0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对四级重大危险源未登记建档，未进行定期检测、评估、监控，未制定应急预案，或者未告知应急措施的，责令限期改正，处2万元以下的罚款；逾期未改正的，责令停产停业整顿，并处10万元以上12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对三级重大危险源未登记建档，未进行定期检测、评估、监控，未制定应急预案，或者未告知应急措施的，责令限期改正，处2万元以上5万元以下的罚款；逾期未改正的，责令停产停业整顿，并处12万元以上15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对二级重大危险源未登记建档，未进行定期检测、评估、监控，未制定应急预案，或者未告知应急措施的，责令限期改正，处5万元以上8万元以下的罚款；逾期未改正的，责令停产停业整顿，并处15万元以上18万元以下的罚款，对其直接负责的主管人员和其他直接责任人员处4万元以上5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4.生产经营单位对一级重大危险源未登记建档，未进行定期检测、评估、监控，未制定应急预案，或者未告知应急措施的，责令限期改正，处8万元以上10万元以下的罚款；逾期未改正的，责令停产停业整顿，并处18万元以上20万元以下的罚款，对其直接负责的主管人员和其他直接责任人员处5万元的罚款。</w:t>
            </w:r>
          </w:p>
        </w:tc>
        <w:tc>
          <w:tcPr>
            <w:tcW w:w="2016" w:type="dxa"/>
            <w:noWrap w:val="0"/>
            <w:vAlign w:val="center"/>
          </w:tcPr>
          <w:p w14:paraId="308F611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46E2F468">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64140BA0">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217521C2">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C2344000</w:t>
            </w:r>
          </w:p>
        </w:tc>
      </w:tr>
      <w:tr w14:paraId="49E4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14:paraId="7BDAD39A">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20</w:t>
            </w:r>
          </w:p>
        </w:tc>
        <w:tc>
          <w:tcPr>
            <w:tcW w:w="1626" w:type="dxa"/>
            <w:gridSpan w:val="2"/>
            <w:noWrap w:val="0"/>
            <w:vAlign w:val="center"/>
          </w:tcPr>
          <w:p w14:paraId="336B0D7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生产经营单位未建立安全风险分级管控制度或者未按照安全风险分级采取相应管控措施</w:t>
            </w:r>
          </w:p>
        </w:tc>
        <w:tc>
          <w:tcPr>
            <w:tcW w:w="2981" w:type="dxa"/>
            <w:noWrap w:val="0"/>
            <w:vAlign w:val="center"/>
          </w:tcPr>
          <w:p w14:paraId="6CE8600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违反条款：《中华人民共和国安全生产法》第四十一条第一款；</w:t>
            </w:r>
          </w:p>
          <w:p w14:paraId="0EDEC1F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一条第（四）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5946" w:type="dxa"/>
            <w:gridSpan w:val="6"/>
            <w:noWrap w:val="0"/>
            <w:vAlign w:val="center"/>
          </w:tcPr>
          <w:p w14:paraId="1066C01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矿山、金属冶炼、建筑施工、道路运输单位和危险物品的生产、经营、储存、装卸单位以外的其他生产经营单位，未建立安全风险分级管控制度或者未按照安全风险分级采取相应管控措施的，责令限期改正，处2万元以下的罚款；逾期未改正的，责令停产停业整顿，并处10万元以上12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矿山、金属冶炼、建筑施工、道路运输单位和危险物品的生产、经营、储存、装卸单位以外的其他生产经营单位，未建立安全风险分级管控制度，且未按照安全风险分级采取相应管控措施的，责令限期改正，处2万元以上5万元以下的罚款；逾期未改正的，责令停产停业整顿，并处12万元以上15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矿山、金属冶炼、建筑施工、道路运输单位和危险物品的生产、经营、储存、装卸单位，未建立安全风险分级管控制度或者未按照安全风险分级采取相应管控措施的，责令限期改正，处5万元以上8万元以下的罚款；逾期未改正的，责令停产停业整顿，并处15万元以上18万元以下的罚款，对其直接负责的主管人员和其他直接责任人员处4万元以上5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4.矿山、金属冶炼、建筑施工、道路运输单位和危险物品的生产、经营、储存、装卸单位，未建立安全风险分级管控制度，且未按照安全风险分级采取相应管控措施的，责令限期改正，处8万元以上10万元以下的罚款；逾期未改正的，责令停产停业整顿，并处18万元以上20万元以下的罚款，对其直接负责的主管人员和其他直接责任人员处5万元的罚款</w:t>
            </w:r>
          </w:p>
        </w:tc>
        <w:tc>
          <w:tcPr>
            <w:tcW w:w="2016" w:type="dxa"/>
            <w:noWrap w:val="0"/>
            <w:vAlign w:val="center"/>
          </w:tcPr>
          <w:p w14:paraId="04E07C4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341559D2">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4CA59E8">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77D191EE">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C2354900</w:t>
            </w:r>
          </w:p>
        </w:tc>
      </w:tr>
      <w:tr w14:paraId="67B2D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18" w:hRule="atLeast"/>
        </w:trPr>
        <w:tc>
          <w:tcPr>
            <w:tcW w:w="714" w:type="dxa"/>
            <w:noWrap w:val="0"/>
            <w:vAlign w:val="center"/>
          </w:tcPr>
          <w:p w14:paraId="6C3BC070">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21</w:t>
            </w:r>
          </w:p>
        </w:tc>
        <w:tc>
          <w:tcPr>
            <w:tcW w:w="1626" w:type="dxa"/>
            <w:gridSpan w:val="2"/>
            <w:noWrap w:val="0"/>
            <w:vAlign w:val="center"/>
          </w:tcPr>
          <w:p w14:paraId="25AD8D49">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生产经营单位未建立事故隐患排查治理制度，或者重大事故隐患排查治理情况未按照规定报告</w:t>
            </w:r>
          </w:p>
        </w:tc>
        <w:tc>
          <w:tcPr>
            <w:tcW w:w="2981" w:type="dxa"/>
            <w:noWrap w:val="0"/>
            <w:vAlign w:val="center"/>
          </w:tcPr>
          <w:p w14:paraId="0CA3039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违反条款：《中华人民共和国安全生产法》第四十一条第二款；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5946" w:type="dxa"/>
            <w:gridSpan w:val="6"/>
            <w:noWrap w:val="0"/>
            <w:vAlign w:val="center"/>
          </w:tcPr>
          <w:p w14:paraId="55B7CD0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矿山、金属冶炼、建筑施工、道路运输单位和危险物品的生产、经营、储存、装卸单位以外的其他生产经营单位，未建立事故隐患排查治理制度，或者重大事故隐患排查治理情况未按照规定报告的，责令限期改正，处2万元以下的罚款；逾期未改正的，责令停产停业整顿，并处10万元以上12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矿山、金属冶炼、建筑施工、道路运输单位和危险物品的生产、经营、储存、装卸单位以外的其他生产经营单位，未建立事故隐患排查治理制度，且重大事故隐患排查治理情况未按照规定报告的，责令限期改正，处2万元以上5万元以下的罚款；逾期未改正的，责令停产停业整顿，并处12万元以上15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矿山、金属冶炼、建筑施工、道路运输单位和危险物品的生产、经营、储存、装卸单位，未建立事故隐患排查治理制度，或者重大事故隐患排查治理情况未按照规定报告的，责令限期改正，处5万元以上8万元以下的罚款；逾期未改正的，责令停产停业整顿，并处15万元以上18万元以下的罚款，对其直接负责的主管人员和其他直接责任人员处4万元以上5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4.矿山、金属冶炼、建筑施工、道路运输单位和危险物品的生产、经营、储存、装卸单位，未建立事故隐患排查治理制度，且重大事故隐患排查治理情况未按照规定报告的，责令限期改正，处8万元以上10万元以下的罚款；逾期未改正的，责令停产停业整顿，并处18万元以上20万元以下的罚款，对其直接负责的主管人员和其他直接责任人员处5万元的罚款。</w:t>
            </w:r>
          </w:p>
        </w:tc>
        <w:tc>
          <w:tcPr>
            <w:tcW w:w="2016" w:type="dxa"/>
            <w:noWrap w:val="0"/>
            <w:vAlign w:val="center"/>
          </w:tcPr>
          <w:p w14:paraId="5933C10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4D71846F">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50B29C42">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699196DA">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C4652200</w:t>
            </w:r>
          </w:p>
        </w:tc>
      </w:tr>
      <w:tr w14:paraId="2374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29" w:hRule="atLeast"/>
        </w:trPr>
        <w:tc>
          <w:tcPr>
            <w:tcW w:w="714" w:type="dxa"/>
            <w:noWrap w:val="0"/>
            <w:vAlign w:val="center"/>
          </w:tcPr>
          <w:p w14:paraId="3031746D">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22</w:t>
            </w:r>
          </w:p>
        </w:tc>
        <w:tc>
          <w:tcPr>
            <w:tcW w:w="1626" w:type="dxa"/>
            <w:gridSpan w:val="2"/>
            <w:noWrap w:val="0"/>
            <w:vAlign w:val="center"/>
          </w:tcPr>
          <w:p w14:paraId="68B686B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生产经营单位未将事故隐患排查治理情况如实记录或者未向从业人员通报</w:t>
            </w:r>
          </w:p>
        </w:tc>
        <w:tc>
          <w:tcPr>
            <w:tcW w:w="2981" w:type="dxa"/>
            <w:noWrap w:val="0"/>
            <w:vAlign w:val="center"/>
          </w:tcPr>
          <w:p w14:paraId="372944B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违反条款：《中华人民共和国安全生产法》第四十一条第二款 </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noWrap w:val="0"/>
            <w:vAlign w:val="center"/>
          </w:tcPr>
          <w:p w14:paraId="469CC27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有3处以下一般事故隐患或1处重大事故隐患排查治理情况未如实记录或者未向从业人员通报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有3处以上7处以下一般事故隐患或2处重大事故隐患排查治理情况未如实记录或者未向从业人员通报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有7处以上一般事故隐患或3处以上重大事故隐患排查治理情况未如实记录或者未向从业人员通报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noWrap w:val="0"/>
            <w:vAlign w:val="center"/>
          </w:tcPr>
          <w:p w14:paraId="3DD1E79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69341F8D">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6956D313">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6453D882">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C4652800</w:t>
            </w:r>
          </w:p>
        </w:tc>
      </w:tr>
      <w:tr w14:paraId="1793C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29" w:hRule="atLeast"/>
        </w:trPr>
        <w:tc>
          <w:tcPr>
            <w:tcW w:w="714" w:type="dxa"/>
            <w:noWrap w:val="0"/>
            <w:vAlign w:val="center"/>
          </w:tcPr>
          <w:p w14:paraId="63A6C524">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23</w:t>
            </w:r>
          </w:p>
        </w:tc>
        <w:tc>
          <w:tcPr>
            <w:tcW w:w="1626" w:type="dxa"/>
            <w:gridSpan w:val="2"/>
            <w:noWrap w:val="0"/>
            <w:vAlign w:val="center"/>
          </w:tcPr>
          <w:p w14:paraId="2A0A93A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生产经营单位未采取措施消除事故隐患</w:t>
            </w:r>
          </w:p>
        </w:tc>
        <w:tc>
          <w:tcPr>
            <w:tcW w:w="2981" w:type="dxa"/>
            <w:noWrap w:val="0"/>
            <w:vAlign w:val="center"/>
          </w:tcPr>
          <w:p w14:paraId="0AF6EE5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eastAsia="zh-CN"/>
              </w:rPr>
            </w:pPr>
            <w:r>
              <w:rPr>
                <w:rFonts w:hint="eastAsia" w:ascii="宋体" w:hAnsi="宋体" w:eastAsia="宋体"/>
                <w:strike w:val="0"/>
                <w:color w:val="auto"/>
                <w:sz w:val="15"/>
                <w:szCs w:val="15"/>
                <w:highlight w:val="none"/>
                <w:lang w:eastAsia="zh-CN"/>
              </w:rPr>
              <w:t>违反条款：《中华人民共和国安全生产法》第四十一条第二款；</w:t>
            </w:r>
          </w:p>
          <w:p w14:paraId="630DC38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eastAsia="zh-CN"/>
              </w:rPr>
            </w:pPr>
            <w:r>
              <w:rPr>
                <w:rFonts w:hint="eastAsia" w:ascii="宋体" w:hAnsi="宋体" w:eastAsia="宋体"/>
                <w:strike w:val="0"/>
                <w:color w:val="auto"/>
                <w:sz w:val="15"/>
                <w:szCs w:val="15"/>
                <w:highlight w:val="none"/>
                <w:lang w:eastAsia="zh-CN"/>
              </w:rPr>
              <w:t>处罚条款：第一百零二条，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5946" w:type="dxa"/>
            <w:gridSpan w:val="6"/>
            <w:noWrap w:val="0"/>
            <w:vAlign w:val="center"/>
          </w:tcPr>
          <w:p w14:paraId="37F707B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val="en-US" w:eastAsia="zh-CN"/>
              </w:rPr>
            </w:pPr>
            <w:r>
              <w:rPr>
                <w:rFonts w:hint="eastAsia" w:ascii="宋体" w:hAnsi="宋体" w:eastAsia="宋体"/>
                <w:strike w:val="0"/>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strike w:val="0"/>
                <w:color w:val="auto"/>
                <w:sz w:val="15"/>
                <w:szCs w:val="15"/>
                <w:highlight w:val="none"/>
                <w:lang w:val="en-US" w:eastAsia="zh-CN"/>
              </w:rPr>
              <w:br w:type="textWrapping"/>
            </w:r>
            <w:r>
              <w:rPr>
                <w:rFonts w:hint="eastAsia" w:ascii="宋体" w:hAnsi="宋体" w:eastAsia="宋体"/>
                <w:strike w:val="0"/>
                <w:color w:val="auto"/>
                <w:sz w:val="15"/>
                <w:szCs w:val="15"/>
                <w:highlight w:val="none"/>
                <w:lang w:val="en-US" w:eastAsia="zh-CN"/>
              </w:rPr>
              <w:t>1.未对3处以下一般事故隐患或1处重大事故隐患采取措施消除的，责令立即消除或者限期消除，处2万元以下的罚款；生产经营单位拒不执行的，责令停产停业整顿，对其直接负责的主管人员和其他直接责任人员处5万元以上7万元以下的罚款；</w:t>
            </w:r>
            <w:r>
              <w:rPr>
                <w:rFonts w:hint="eastAsia" w:ascii="宋体" w:hAnsi="宋体" w:eastAsia="宋体"/>
                <w:strike w:val="0"/>
                <w:color w:val="auto"/>
                <w:sz w:val="15"/>
                <w:szCs w:val="15"/>
                <w:highlight w:val="none"/>
                <w:lang w:val="en-US" w:eastAsia="zh-CN"/>
              </w:rPr>
              <w:br w:type="textWrapping"/>
            </w:r>
            <w:r>
              <w:rPr>
                <w:rFonts w:hint="eastAsia" w:ascii="宋体" w:hAnsi="宋体" w:eastAsia="宋体"/>
                <w:strike w:val="0"/>
                <w:color w:val="auto"/>
                <w:sz w:val="15"/>
                <w:szCs w:val="15"/>
                <w:highlight w:val="none"/>
                <w:lang w:val="en-US" w:eastAsia="zh-CN"/>
              </w:rPr>
              <w:t>2.未对3处以上7处以下一般事故隐患或2处重大事故隐患采取措施消除的，责令立即消除或者限期消除，处2万元以上4万元以下的罚款；生产经营单位拒不执行的，责令停产停业整顿，对其直接负责的主管人员和其他直接责任人员处7万元以上9万元以下的罚款；</w:t>
            </w:r>
            <w:r>
              <w:rPr>
                <w:rFonts w:hint="eastAsia" w:ascii="宋体" w:hAnsi="宋体" w:eastAsia="宋体"/>
                <w:strike w:val="0"/>
                <w:color w:val="auto"/>
                <w:sz w:val="15"/>
                <w:szCs w:val="15"/>
                <w:highlight w:val="none"/>
                <w:lang w:val="en-US" w:eastAsia="zh-CN"/>
              </w:rPr>
              <w:br w:type="textWrapping"/>
            </w:r>
            <w:r>
              <w:rPr>
                <w:rFonts w:hint="eastAsia" w:ascii="宋体" w:hAnsi="宋体" w:eastAsia="宋体"/>
                <w:strike w:val="0"/>
                <w:color w:val="auto"/>
                <w:sz w:val="15"/>
                <w:szCs w:val="15"/>
                <w:highlight w:val="none"/>
                <w:lang w:val="en-US" w:eastAsia="zh-CN"/>
              </w:rPr>
              <w:t>3.未对7处以上一般事故隐患或3处以上重大事故隐患采取措施消除的，责令立即消除或者限期消除，处4万元以上5万元以下的罚款；生产经营单位拒不执行的，责令停产停业整顿，对其直接负责的主管人员和其他直接责任人员处9万元以上10万元以下的罚款。</w:t>
            </w:r>
          </w:p>
        </w:tc>
        <w:tc>
          <w:tcPr>
            <w:tcW w:w="2016" w:type="dxa"/>
            <w:noWrap w:val="0"/>
            <w:vAlign w:val="center"/>
          </w:tcPr>
          <w:p w14:paraId="098E668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val="en-US" w:eastAsia="zh-CN"/>
              </w:rPr>
            </w:pPr>
            <w:r>
              <w:rPr>
                <w:rFonts w:hint="eastAsia" w:ascii="宋体" w:hAnsi="宋体" w:eastAsia="宋体"/>
                <w:strike w:val="0"/>
                <w:color w:val="auto"/>
                <w:sz w:val="15"/>
                <w:szCs w:val="15"/>
                <w:highlight w:val="none"/>
                <w:lang w:val="en-US" w:eastAsia="zh-CN"/>
              </w:rPr>
              <w:t>《应急管理行政裁量权基准暂行规定》（应急管理部令第12号）</w:t>
            </w:r>
            <w:r>
              <w:rPr>
                <w:rFonts w:hint="eastAsia" w:ascii="宋体" w:hAnsi="宋体" w:eastAsia="宋体"/>
                <w:strike w:val="0"/>
                <w:color w:val="auto"/>
                <w:sz w:val="15"/>
                <w:szCs w:val="15"/>
                <w:highlight w:val="none"/>
                <w:lang w:val="en-US" w:eastAsia="zh-CN"/>
              </w:rPr>
              <w:br w:type="textWrapping"/>
            </w:r>
            <w:r>
              <w:rPr>
                <w:rFonts w:hint="eastAsia" w:ascii="宋体" w:hAnsi="宋体" w:eastAsia="宋体"/>
                <w:strike w:val="0"/>
                <w:color w:val="auto"/>
                <w:sz w:val="15"/>
                <w:szCs w:val="15"/>
                <w:highlight w:val="none"/>
                <w:lang w:val="en-US" w:eastAsia="zh-CN"/>
              </w:rPr>
              <w:t>《应急管理行政处罚裁量权基准》</w:t>
            </w:r>
            <w:r>
              <w:rPr>
                <w:rFonts w:hint="eastAsia" w:ascii="宋体" w:hAnsi="宋体" w:eastAsia="宋体"/>
                <w:strike w:val="0"/>
                <w:color w:val="auto"/>
                <w:sz w:val="15"/>
                <w:szCs w:val="15"/>
                <w:highlight w:val="none"/>
                <w:lang w:val="en-US" w:eastAsia="zh-CN"/>
              </w:rPr>
              <w:br w:type="textWrapping"/>
            </w:r>
            <w:r>
              <w:rPr>
                <w:rFonts w:hint="eastAsia" w:ascii="宋体" w:hAnsi="宋体" w:eastAsia="宋体"/>
                <w:strike w:val="0"/>
                <w:color w:val="auto"/>
                <w:sz w:val="15"/>
                <w:szCs w:val="15"/>
                <w:highlight w:val="none"/>
                <w:lang w:val="en-US" w:eastAsia="zh-CN"/>
              </w:rPr>
              <w:t>《北京市安全生产行政处罚自由裁量基准》（2025 年修订版）</w:t>
            </w:r>
          </w:p>
        </w:tc>
        <w:tc>
          <w:tcPr>
            <w:tcW w:w="1304" w:type="dxa"/>
            <w:gridSpan w:val="2"/>
            <w:noWrap w:val="0"/>
            <w:vAlign w:val="center"/>
          </w:tcPr>
          <w:p w14:paraId="7ED9FE71">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00BB6E2F">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869" w:type="dxa"/>
            <w:noWrap w:val="0"/>
            <w:vAlign w:val="center"/>
          </w:tcPr>
          <w:p w14:paraId="0CE0102B">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C2344300</w:t>
            </w:r>
          </w:p>
        </w:tc>
      </w:tr>
      <w:tr w14:paraId="099C0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14:paraId="2A6E178D">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24</w:t>
            </w:r>
          </w:p>
        </w:tc>
        <w:tc>
          <w:tcPr>
            <w:tcW w:w="1626" w:type="dxa"/>
            <w:gridSpan w:val="2"/>
            <w:noWrap w:val="0"/>
            <w:vAlign w:val="center"/>
          </w:tcPr>
          <w:p w14:paraId="51C2E24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生产、经营、储存、使用危险物品的车间、商店、仓库与员工宿舍在同一座建筑内，或者与员工宿舍的距离不符合安全要求</w:t>
            </w:r>
          </w:p>
        </w:tc>
        <w:tc>
          <w:tcPr>
            <w:tcW w:w="2981" w:type="dxa"/>
            <w:noWrap w:val="0"/>
            <w:vAlign w:val="center"/>
          </w:tcPr>
          <w:p w14:paraId="1C1CB78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违反条款：《中华人民共和国安全生产法》第四十二条第一款；</w:t>
            </w:r>
          </w:p>
          <w:p w14:paraId="5866040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五条第（一）项，责令限期改正，处五万元以下的罚款，对其直接负责的主管人员和其他直接责任人员处一万元以下的罚款；逾期未改正的，责令停产停业整顿；构成犯罪的，依照刑法有关规定追究刑事责任。</w:t>
            </w:r>
          </w:p>
        </w:tc>
        <w:tc>
          <w:tcPr>
            <w:tcW w:w="5946" w:type="dxa"/>
            <w:gridSpan w:val="6"/>
            <w:noWrap w:val="0"/>
            <w:vAlign w:val="center"/>
          </w:tcPr>
          <w:p w14:paraId="3A1D246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储存、使用危险物品的车间、商店、仓库与员工宿舍在同一座建筑内，或者与员工宿舍的距离不符合安全要求，其员工宿舍中住宿人员有3人以下的，责令限期改正，处2万元以下的罚款，对其直接负责的主管人员和其他直接责任人员处1万元以下的罚款；逾期未改正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储存、使用危险物品的车间、商店、仓库与员工宿舍在同一座建筑内，或者与员工宿舍的距离不符合安全要求，其员工宿舍中住宿人员有3人以上10人以下的，责令限期改正，处2万元以上4万元以下的罚款，对其直接负责的主管人员和其他直接责任人员处1万元以下的罚款；逾期未改正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储存、使用危险物品的车间、商店、仓库与员工宿舍在同一座建筑内，或者与员工宿舍的距离不符合安全要求，其员工宿舍中住宿人员有10人以上的，责令限期改正，处4万元以上5万元以下的罚款，对其直接负责的主管人员和其他直接责任人员处1万元以下的罚款；逾期未改正的，责令停产停业整顿。</w:t>
            </w:r>
          </w:p>
        </w:tc>
        <w:tc>
          <w:tcPr>
            <w:tcW w:w="2016" w:type="dxa"/>
            <w:noWrap w:val="0"/>
            <w:vAlign w:val="center"/>
          </w:tcPr>
          <w:p w14:paraId="17A5BA4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62264EB2">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522D2AD5">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869" w:type="dxa"/>
            <w:noWrap w:val="0"/>
            <w:vAlign w:val="center"/>
          </w:tcPr>
          <w:p w14:paraId="2343B742">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C2344700</w:t>
            </w:r>
          </w:p>
        </w:tc>
      </w:tr>
      <w:tr w14:paraId="79B57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099" w:hRule="atLeast"/>
        </w:trPr>
        <w:tc>
          <w:tcPr>
            <w:tcW w:w="714" w:type="dxa"/>
            <w:noWrap w:val="0"/>
            <w:vAlign w:val="center"/>
          </w:tcPr>
          <w:p w14:paraId="260063DD">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25</w:t>
            </w:r>
          </w:p>
        </w:tc>
        <w:tc>
          <w:tcPr>
            <w:tcW w:w="1626" w:type="dxa"/>
            <w:gridSpan w:val="2"/>
            <w:noWrap w:val="0"/>
            <w:vAlign w:val="center"/>
          </w:tcPr>
          <w:p w14:paraId="09BFD00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生产经营场所和员工宿舍未设有符合紧急疏散需要、标志明显、保持畅通的出口，或者封闭、堵塞生产经营场所或者员工宿舍出口</w:t>
            </w:r>
          </w:p>
        </w:tc>
        <w:tc>
          <w:tcPr>
            <w:tcW w:w="2981" w:type="dxa"/>
            <w:noWrap w:val="0"/>
            <w:vAlign w:val="center"/>
          </w:tcPr>
          <w:p w14:paraId="7D829B0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违反条款：《中华人民共和国安全生产法》第四十二条第二款：</w:t>
            </w:r>
          </w:p>
          <w:p w14:paraId="6405F81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五条第（二）项，责令限期改正，处五万元以下的罚款，对其直接负责的主管人员和其他直接责任人员处一万元以下的罚款；逾期未改正的，责令停产停业整顿；构成犯罪的，依照刑法有关规定追究刑事责任。</w:t>
            </w:r>
          </w:p>
        </w:tc>
        <w:tc>
          <w:tcPr>
            <w:tcW w:w="5946" w:type="dxa"/>
            <w:gridSpan w:val="6"/>
            <w:noWrap w:val="0"/>
            <w:vAlign w:val="center"/>
          </w:tcPr>
          <w:p w14:paraId="446DFD2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场所和员工宿舍设置的出口、疏散通道不符合紧急疏散需要、没有明显标志的，责令限期改正，处2万元以下的罚款，对其直接负责的主管人员和其他直接责任人员处1万元以下的罚款；逾期未改正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场所或者员工宿舍出口、疏散通道被占用、锁闭或封堵，未保持通畅的，责令限期改正，处2万元以上4万元以下的罚款，对其直接负责的主管人员和其他直接责任人员处1万元以下的罚款；逾期未改正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场所和员工宿舍未按照规定设置紧急疏散出口、疏散通道的，责令限期改正，处4万元以上5万元以下的罚款，对其直接负责的主管人员和其他直接责任人员处1万元以下的罚款；逾期未改正的，责令停产停业整顿。</w:t>
            </w:r>
          </w:p>
        </w:tc>
        <w:tc>
          <w:tcPr>
            <w:tcW w:w="2016" w:type="dxa"/>
            <w:noWrap w:val="0"/>
            <w:vAlign w:val="center"/>
          </w:tcPr>
          <w:p w14:paraId="67CA279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42E9763E">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EA0B250">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7DDC447A">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C2344800</w:t>
            </w:r>
          </w:p>
        </w:tc>
      </w:tr>
      <w:tr w14:paraId="61B41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099" w:hRule="atLeast"/>
        </w:trPr>
        <w:tc>
          <w:tcPr>
            <w:tcW w:w="714" w:type="dxa"/>
            <w:noWrap w:val="0"/>
            <w:vAlign w:val="center"/>
          </w:tcPr>
          <w:p w14:paraId="4DECE0C6">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26</w:t>
            </w:r>
          </w:p>
        </w:tc>
        <w:tc>
          <w:tcPr>
            <w:tcW w:w="1626" w:type="dxa"/>
            <w:gridSpan w:val="2"/>
            <w:noWrap w:val="0"/>
            <w:vAlign w:val="center"/>
          </w:tcPr>
          <w:p w14:paraId="438013C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生产经营单位进行危险作业未安排专门管理人员进行现场安全管理</w:t>
            </w:r>
          </w:p>
        </w:tc>
        <w:tc>
          <w:tcPr>
            <w:tcW w:w="2981" w:type="dxa"/>
            <w:noWrap w:val="0"/>
            <w:vAlign w:val="center"/>
          </w:tcPr>
          <w:p w14:paraId="6DB0F65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违反条款：《中华人民共和国安全生产法》第四十三条；</w:t>
            </w:r>
          </w:p>
          <w:p w14:paraId="7FB2677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一条第（三）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5946" w:type="dxa"/>
            <w:gridSpan w:val="6"/>
            <w:noWrap w:val="0"/>
            <w:vAlign w:val="center"/>
          </w:tcPr>
          <w:p w14:paraId="3E82BD9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有1处（次）危险作业未安排专门人员进行现场安全管理的，责令限期改正，处3万元以下的罚款；逾期未改正的，责令停产停业整顿，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有2处（次）危险作业未安排专门人员进行现场安全管理的，责令限期改正，处3万元以上7万元以下的罚款；逾期未改正的，责令停产停业整顿，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有3处（次）以上危险作业未安排专门人员进行现场安全管理的，责令限期改正，处7万元以上10万元以下的罚款；逾期未改正的，责令停产停业整顿，处17万元以上20万元以下的罚款，对其直接负责的主管人员和其他直接责任人员处4万元以上5万元以下的罚款。</w:t>
            </w:r>
          </w:p>
        </w:tc>
        <w:tc>
          <w:tcPr>
            <w:tcW w:w="2016" w:type="dxa"/>
            <w:noWrap w:val="0"/>
            <w:vAlign w:val="center"/>
          </w:tcPr>
          <w:p w14:paraId="145F3B0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7698FEEC">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59CD24FB">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122D0729">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C2344100</w:t>
            </w:r>
          </w:p>
        </w:tc>
      </w:tr>
      <w:tr w14:paraId="609A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90" w:hRule="atLeast"/>
        </w:trPr>
        <w:tc>
          <w:tcPr>
            <w:tcW w:w="714" w:type="dxa"/>
            <w:vMerge w:val="restart"/>
            <w:noWrap w:val="0"/>
            <w:vAlign w:val="center"/>
          </w:tcPr>
          <w:p w14:paraId="2ED19F05">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27</w:t>
            </w:r>
          </w:p>
        </w:tc>
        <w:tc>
          <w:tcPr>
            <w:tcW w:w="1626" w:type="dxa"/>
            <w:gridSpan w:val="2"/>
            <w:vMerge w:val="restart"/>
            <w:noWrap w:val="0"/>
            <w:vAlign w:val="center"/>
          </w:tcPr>
          <w:p w14:paraId="0C4C5973">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生产经营单位未按照规定向从业人员如实告知有关的安全生产事项</w:t>
            </w:r>
          </w:p>
        </w:tc>
        <w:tc>
          <w:tcPr>
            <w:tcW w:w="2981" w:type="dxa"/>
            <w:noWrap w:val="0"/>
            <w:vAlign w:val="center"/>
          </w:tcPr>
          <w:p w14:paraId="17AE73F9">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违反条款：《中华人民共和国安全生产法》第四十四条第一款；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vMerge w:val="restart"/>
            <w:noWrap w:val="0"/>
            <w:vAlign w:val="center"/>
          </w:tcPr>
          <w:p w14:paraId="194EC6F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未按照规定如实告知有关的安全生产事项，涉及人数3人以下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未按照规定如实告知有关的安全生产事项，涉及人数3人以上10人以下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未按照规定如实告知有关的安全生产事项，涉及人数10人以上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vMerge w:val="restart"/>
            <w:noWrap w:val="0"/>
            <w:vAlign w:val="center"/>
          </w:tcPr>
          <w:p w14:paraId="07F5D66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2A716B08">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6E760B0">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restart"/>
            <w:noWrap w:val="0"/>
            <w:vAlign w:val="center"/>
          </w:tcPr>
          <w:p w14:paraId="33A628F3">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C2357200</w:t>
            </w:r>
          </w:p>
        </w:tc>
      </w:tr>
      <w:tr w14:paraId="7CC1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97" w:hRule="atLeast"/>
        </w:trPr>
        <w:tc>
          <w:tcPr>
            <w:tcW w:w="714" w:type="dxa"/>
            <w:vMerge w:val="continue"/>
            <w:noWrap w:val="0"/>
            <w:vAlign w:val="center"/>
          </w:tcPr>
          <w:p w14:paraId="55A3D1B2">
            <w:pPr>
              <w:spacing w:line="232" w:lineRule="exact"/>
              <w:ind w:left="6" w:hanging="21"/>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14:paraId="1066189A">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981" w:type="dxa"/>
            <w:noWrap w:val="0"/>
            <w:vAlign w:val="center"/>
          </w:tcPr>
          <w:p w14:paraId="6E0FCE2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违反条款：《北京市安全生产条例》第三十七条第一款</w:t>
            </w:r>
            <w:r>
              <w:rPr>
                <w:rFonts w:hint="eastAsia" w:ascii="宋体" w:hAnsi="宋体" w:eastAsia="宋体"/>
                <w:color w:val="auto"/>
                <w:sz w:val="15"/>
                <w:szCs w:val="15"/>
                <w:highlight w:val="none"/>
                <w:lang w:eastAsia="zh-CN"/>
              </w:rPr>
              <w:t>；</w:t>
            </w:r>
          </w:p>
          <w:p w14:paraId="6FDF262A">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vMerge w:val="continue"/>
            <w:noWrap w:val="0"/>
            <w:vAlign w:val="center"/>
          </w:tcPr>
          <w:p w14:paraId="0CF34B8D">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2016" w:type="dxa"/>
            <w:vMerge w:val="continue"/>
            <w:noWrap w:val="0"/>
            <w:vAlign w:val="center"/>
          </w:tcPr>
          <w:p w14:paraId="4503B8EB">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1304" w:type="dxa"/>
            <w:gridSpan w:val="2"/>
            <w:noWrap w:val="0"/>
            <w:vAlign w:val="center"/>
          </w:tcPr>
          <w:p w14:paraId="6FD05A64">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586F9E56">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continue"/>
            <w:noWrap w:val="0"/>
            <w:vAlign w:val="center"/>
          </w:tcPr>
          <w:p w14:paraId="47EE75CB">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p>
        </w:tc>
      </w:tr>
      <w:tr w14:paraId="45CF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18" w:hRule="atLeast"/>
        </w:trPr>
        <w:tc>
          <w:tcPr>
            <w:tcW w:w="714" w:type="dxa"/>
            <w:noWrap w:val="0"/>
            <w:vAlign w:val="center"/>
          </w:tcPr>
          <w:p w14:paraId="5787DFA4">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28</w:t>
            </w:r>
          </w:p>
        </w:tc>
        <w:tc>
          <w:tcPr>
            <w:tcW w:w="1626" w:type="dxa"/>
            <w:gridSpan w:val="2"/>
            <w:noWrap w:val="0"/>
            <w:vAlign w:val="center"/>
          </w:tcPr>
          <w:p w14:paraId="1C0CC7D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生产经营单位未为从业人员提供符合国家标准或者行业标准的劳动防护用品</w:t>
            </w:r>
          </w:p>
        </w:tc>
        <w:tc>
          <w:tcPr>
            <w:tcW w:w="2981" w:type="dxa"/>
            <w:noWrap w:val="0"/>
            <w:vAlign w:val="center"/>
          </w:tcPr>
          <w:p w14:paraId="0DB6412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违反条款：《中华人民共和国安全生产法》第四十五条；</w:t>
            </w:r>
          </w:p>
          <w:p w14:paraId="327EB75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五</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noWrap w:val="0"/>
            <w:vAlign w:val="center"/>
          </w:tcPr>
          <w:p w14:paraId="4C13FBD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未为3名以下从业人员提供符合国家标准或者行业标准的劳动防护用品，或者提供的劳动防护用品有3种以下不符合国家标准或者行业标准的，责令限期改正，处2万元以下的罚款；逾期未改正的，处5万元以上10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未为3名以上10名以下从业人员提供符合国家标准或者行业标准的劳动防护用品，或者提供的劳动防护用品有3种以上7种以下不符合国家标准或者行业标准的，责令限期改正，处2万元以上4万元以下的罚款；逾期未改正的，处10万元以上15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未为10名以上从业人员提供符合国家标准或者行业标准的劳动防护用品，或者提供的劳动防护用品有7种以上不符合国家标准或者行业标准的，责令限期改正，处4万元以上5万元以下的罚款；逾期未改正的，处15万元以上20万元以下的罚款，对其直接负责的主管人员和其他直接责任人员处1万元以上2万元以下的罚款；情节严重的，责令停产停业整顿。</w:t>
            </w:r>
          </w:p>
        </w:tc>
        <w:tc>
          <w:tcPr>
            <w:tcW w:w="2016" w:type="dxa"/>
            <w:noWrap w:val="0"/>
            <w:vAlign w:val="center"/>
          </w:tcPr>
          <w:p w14:paraId="5FE5445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0FE4EEBF">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43E98C2">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41FF8694">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C2354300</w:t>
            </w:r>
          </w:p>
        </w:tc>
      </w:tr>
      <w:tr w14:paraId="5F41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82" w:hRule="atLeast"/>
        </w:trPr>
        <w:tc>
          <w:tcPr>
            <w:tcW w:w="714" w:type="dxa"/>
            <w:noWrap w:val="0"/>
            <w:vAlign w:val="center"/>
          </w:tcPr>
          <w:p w14:paraId="3825BD88">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29</w:t>
            </w:r>
          </w:p>
        </w:tc>
        <w:tc>
          <w:tcPr>
            <w:tcW w:w="1626" w:type="dxa"/>
            <w:gridSpan w:val="2"/>
            <w:noWrap w:val="0"/>
            <w:vAlign w:val="center"/>
          </w:tcPr>
          <w:p w14:paraId="12DFE90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两个以上生产经营单位在同一作业区域内进行可能危及对方安全生产的生产经营活动，未签订安全生产管理协议或者未指定专职安全生产管理人员进行安全检查与协调</w:t>
            </w:r>
          </w:p>
        </w:tc>
        <w:tc>
          <w:tcPr>
            <w:tcW w:w="2981" w:type="dxa"/>
            <w:noWrap w:val="0"/>
            <w:vAlign w:val="center"/>
          </w:tcPr>
          <w:p w14:paraId="0FFCC7F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违反条款：《中华人民共和国安全生产法》第四十八条；</w:t>
            </w:r>
          </w:p>
          <w:p w14:paraId="470221F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处罚条款：第一百零四条，责令限期改正，处五万元以下的罚款，对其直接负责的主管人员和其他直接责任人员处一万元以下的罚款；逾期未改正的，责令停产停业。</w:t>
            </w:r>
          </w:p>
        </w:tc>
        <w:tc>
          <w:tcPr>
            <w:tcW w:w="5946" w:type="dxa"/>
            <w:gridSpan w:val="6"/>
            <w:noWrap w:val="0"/>
            <w:vAlign w:val="center"/>
          </w:tcPr>
          <w:p w14:paraId="6640483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两个以上生产经营单位在同一作业区域内进行可能危及对方安全生产的生产经营活动，未签订安全生产管理协议，但指定了专职安全生产管理人员进行安全检查与协调的，责令限期改正，处2万元以下的罚款，对其直接负责的主管人员和其他直接责任人员处1万元以下的罚款；逾期未改正的，责令停产停业；</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两个以上生产经营单位在同一作业区域内进行可能危及对方安全生产的生产经营活动，签订了安全生产管理协议，但未指定专职安全生产管理人员进行安全检查与协调的，责令限期改正，处2万元以上4万元以下的罚款，对其直接负责的主管人员和其他直接责任人员处1万元以下的罚款；逾期未改正的，责令停产停业；</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两个以上生产经营单位在同一作业区域内进行可能危及对方安全生产的生产经营活动，未签订安全生产管理协议，且未指定专职安全生产管理人员进行安全检查与协调的，责令限期改正，处4万元以上5万元以下的罚款，对其直接负责的主管人员和其他直接责任人员处1万元以下的罚款；逾期未改正的，责令停产停业。</w:t>
            </w:r>
          </w:p>
        </w:tc>
        <w:tc>
          <w:tcPr>
            <w:tcW w:w="2016" w:type="dxa"/>
            <w:noWrap w:val="0"/>
            <w:vAlign w:val="center"/>
          </w:tcPr>
          <w:p w14:paraId="64D4D59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796E160C">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60E4E57F">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3B6F7F2F">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C2344600</w:t>
            </w:r>
          </w:p>
        </w:tc>
      </w:tr>
      <w:tr w14:paraId="3E837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677" w:hRule="atLeast"/>
        </w:trPr>
        <w:tc>
          <w:tcPr>
            <w:tcW w:w="714" w:type="dxa"/>
            <w:vMerge w:val="restart"/>
            <w:noWrap w:val="0"/>
            <w:vAlign w:val="center"/>
          </w:tcPr>
          <w:p w14:paraId="7E465E64">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30</w:t>
            </w:r>
          </w:p>
        </w:tc>
        <w:tc>
          <w:tcPr>
            <w:tcW w:w="1626" w:type="dxa"/>
            <w:gridSpan w:val="2"/>
            <w:vMerge w:val="restart"/>
            <w:noWrap w:val="0"/>
            <w:vAlign w:val="center"/>
          </w:tcPr>
          <w:p w14:paraId="436B3DD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生产经营单位将生产经营项目、场所、设备发包或者出租给不具备安全生产条件或者相应资质的单位或者个人</w:t>
            </w:r>
          </w:p>
        </w:tc>
        <w:tc>
          <w:tcPr>
            <w:tcW w:w="2981" w:type="dxa"/>
            <w:noWrap w:val="0"/>
            <w:vAlign w:val="center"/>
          </w:tcPr>
          <w:p w14:paraId="6D17951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违反条款：《中华人民共和国安全生产法》第四十九条第一款；</w:t>
            </w:r>
          </w:p>
          <w:p w14:paraId="62A6B10F">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lang w:val="en-US" w:eastAsia="zh-CN"/>
              </w:rPr>
              <w:t>处罚条款：第一百零三条第一款，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5946" w:type="dxa"/>
            <w:gridSpan w:val="6"/>
            <w:vMerge w:val="restart"/>
            <w:noWrap w:val="0"/>
            <w:vAlign w:val="center"/>
          </w:tcPr>
          <w:p w14:paraId="1E4A84A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1.没有违法所得的，责令限期改正，处10万元以上15万元以下的罚款；对其直接负责的主管人员和其他直接责任人员处1万元以上2万元以下的罚款；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2.违法所得10万元以下的，责令限期改正，没收违法所得，并处15万元以上20万元以下的罚款；对其直接负责的主管人员和其他直接责任人员处1万元以上2万元以下的罚款；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3.违法所得10万元以上的，责令限期改正，没收违法所得，并处违法所得2倍以上5倍以下的罚款；对其直接负责的主管人员和其他直接责任人员处1万元以上2万元以下的罚款；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4.违法所得 30万元以上 40万元以下的，并处违法所得 3倍的罚款，对其直接负责的主管人员和其他直接责任人员处 1万元以上 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5.违法所得 40万元以上 50万元以下的，并处违法所得 4倍的罚款，对其直接负责的主管人员和其他直接责任人员处 1万元以上 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6.违法所得 50万元以上的，并处违法所得 5倍的罚款，对其直接负责的主管人员和其他直接责任人员处 1万元以上 2万元以下的罚款。</w:t>
            </w:r>
          </w:p>
        </w:tc>
        <w:tc>
          <w:tcPr>
            <w:tcW w:w="2016" w:type="dxa"/>
            <w:vMerge w:val="restart"/>
            <w:noWrap w:val="0"/>
            <w:vAlign w:val="center"/>
          </w:tcPr>
          <w:p w14:paraId="4B1FDB0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vMerge w:val="restart"/>
            <w:noWrap w:val="0"/>
            <w:vAlign w:val="center"/>
          </w:tcPr>
          <w:p w14:paraId="7302E025">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808EB83">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restart"/>
            <w:noWrap w:val="0"/>
            <w:vAlign w:val="center"/>
          </w:tcPr>
          <w:p w14:paraId="06BC0B92">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C2353400</w:t>
            </w:r>
          </w:p>
        </w:tc>
      </w:tr>
      <w:tr w14:paraId="4488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82" w:hRule="atLeast"/>
        </w:trPr>
        <w:tc>
          <w:tcPr>
            <w:tcW w:w="714" w:type="dxa"/>
            <w:vMerge w:val="continue"/>
            <w:noWrap w:val="0"/>
            <w:vAlign w:val="center"/>
          </w:tcPr>
          <w:p w14:paraId="5DF6F08D">
            <w:pPr>
              <w:spacing w:line="232" w:lineRule="exact"/>
              <w:ind w:left="6" w:hanging="21"/>
              <w:jc w:val="center"/>
              <w:rPr>
                <w:rFonts w:hint="eastAsia" w:ascii="宋体" w:hAnsi="宋体" w:eastAsia="宋体" w:cs="宋体"/>
                <w:color w:val="auto"/>
                <w:kern w:val="0"/>
                <w:sz w:val="15"/>
                <w:szCs w:val="15"/>
                <w:highlight w:val="none"/>
              </w:rPr>
            </w:pPr>
          </w:p>
        </w:tc>
        <w:tc>
          <w:tcPr>
            <w:tcW w:w="1626" w:type="dxa"/>
            <w:gridSpan w:val="2"/>
            <w:vMerge w:val="continue"/>
            <w:noWrap w:val="0"/>
            <w:vAlign w:val="center"/>
          </w:tcPr>
          <w:p w14:paraId="2338E7D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981" w:type="dxa"/>
            <w:noWrap w:val="0"/>
            <w:vAlign w:val="center"/>
          </w:tcPr>
          <w:p w14:paraId="744E25B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违反条款：《建设工程安全生产管理条例》第十一条第一款：</w:t>
            </w:r>
          </w:p>
          <w:p w14:paraId="78CB185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处罚条款：第五十五条第（三）项，责令限期改正，处20万元以上50万元以下的罚款；造成重大安全事故，构成犯罪的，对直接责任人员，依照刑法有关规定追究刑事责任；造成损失的，依法承担赔偿责任。</w:t>
            </w:r>
          </w:p>
        </w:tc>
        <w:tc>
          <w:tcPr>
            <w:tcW w:w="5946" w:type="dxa"/>
            <w:gridSpan w:val="6"/>
            <w:vMerge w:val="continue"/>
            <w:noWrap w:val="0"/>
            <w:vAlign w:val="center"/>
          </w:tcPr>
          <w:p w14:paraId="6A852D33">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2016" w:type="dxa"/>
            <w:vMerge w:val="continue"/>
            <w:noWrap w:val="0"/>
            <w:vAlign w:val="center"/>
          </w:tcPr>
          <w:p w14:paraId="107E6F7B">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1304" w:type="dxa"/>
            <w:gridSpan w:val="2"/>
            <w:vMerge w:val="continue"/>
            <w:noWrap w:val="0"/>
            <w:vAlign w:val="center"/>
          </w:tcPr>
          <w:p w14:paraId="10E1B1FC">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p>
        </w:tc>
        <w:tc>
          <w:tcPr>
            <w:tcW w:w="1869" w:type="dxa"/>
            <w:vMerge w:val="continue"/>
            <w:noWrap w:val="0"/>
            <w:vAlign w:val="center"/>
          </w:tcPr>
          <w:p w14:paraId="47C3FA4B">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p>
        </w:tc>
      </w:tr>
      <w:tr w14:paraId="4BB5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37" w:hRule="atLeast"/>
        </w:trPr>
        <w:tc>
          <w:tcPr>
            <w:tcW w:w="714" w:type="dxa"/>
            <w:noWrap w:val="0"/>
            <w:vAlign w:val="center"/>
          </w:tcPr>
          <w:p w14:paraId="3B6E2CCA">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31</w:t>
            </w:r>
          </w:p>
        </w:tc>
        <w:tc>
          <w:tcPr>
            <w:tcW w:w="1626" w:type="dxa"/>
            <w:gridSpan w:val="2"/>
            <w:noWrap w:val="0"/>
            <w:vAlign w:val="center"/>
          </w:tcPr>
          <w:p w14:paraId="572062C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生产经营单位未与承包单位、承租单位签订专门的安全生产管理协议或者未在承包合同、租赁合同中明确各自的安全生产管理职责，或者未对承包单位、承租单位的安全生产统一协调、管理</w:t>
            </w:r>
          </w:p>
        </w:tc>
        <w:tc>
          <w:tcPr>
            <w:tcW w:w="2981" w:type="dxa"/>
            <w:noWrap w:val="0"/>
            <w:vAlign w:val="center"/>
          </w:tcPr>
          <w:p w14:paraId="3728186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违反条款：《中华人民共和国安全生产法》第四十九条第二款；</w:t>
            </w:r>
          </w:p>
          <w:p w14:paraId="31772AE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处罚条款：第一百零三条第二款，责令限期改正，处五万元以下的罚款，对其直接负责的主管人员和其他直接责任人员处一万元以下的罚款；逾期未改正的，责令停产停业整顿。</w:t>
            </w:r>
          </w:p>
        </w:tc>
        <w:tc>
          <w:tcPr>
            <w:tcW w:w="5946" w:type="dxa"/>
            <w:gridSpan w:val="6"/>
            <w:noWrap w:val="0"/>
            <w:vAlign w:val="center"/>
          </w:tcPr>
          <w:p w14:paraId="6BD4B97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未与承包单位、承租单位签订专门的安全生产管理协议或者未在承包合同、租赁合同中明确各自的安全生产管理职责的，责令限期改正，处2万元以下的罚款，对其直接负责的主管人员和其他直接责任人员处1万元以下的罚款；逾期未改正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未对承包单位、承租单位的安全生产统一协调、管理的，责令限期改正，处2万元以上4万元以下的罚款，对其直接负责的主管人员和其他直接责任人员处1万元以下的罚款；逾期未改正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未与承包单位、承租单位签订专门的安全生产管理协议或者未在承包合同、租赁合同中明确各自的安全生产管理职责，且未对承包单位、承租单位的安全生产统一协调、管理的，责令限期改正，处4万元以上5万元以下的罚款，对其直接负责的主管人员和其他直接责任人员处1万元以下的罚款；逾期未改正的，责令停产停业整顿。</w:t>
            </w:r>
          </w:p>
        </w:tc>
        <w:tc>
          <w:tcPr>
            <w:tcW w:w="2016" w:type="dxa"/>
            <w:noWrap w:val="0"/>
            <w:vAlign w:val="center"/>
          </w:tcPr>
          <w:p w14:paraId="7D9216E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40B85674">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638A90A5">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3641477E">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C2344500</w:t>
            </w:r>
          </w:p>
        </w:tc>
      </w:tr>
      <w:tr w14:paraId="3D3D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86" w:hRule="atLeast"/>
        </w:trPr>
        <w:tc>
          <w:tcPr>
            <w:tcW w:w="714" w:type="dxa"/>
            <w:noWrap w:val="0"/>
            <w:vAlign w:val="center"/>
          </w:tcPr>
          <w:p w14:paraId="79019006">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32</w:t>
            </w:r>
          </w:p>
        </w:tc>
        <w:tc>
          <w:tcPr>
            <w:tcW w:w="1626" w:type="dxa"/>
            <w:gridSpan w:val="2"/>
            <w:noWrap w:val="0"/>
            <w:vAlign w:val="center"/>
          </w:tcPr>
          <w:p w14:paraId="20E70E5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用于生产、储存、装卸危险物品的建设项目的施工单位未按照规定对施工项目进行安全管理的或者倒卖、出租、出借、挂靠或者以其他形式非法转让施工资质</w:t>
            </w:r>
          </w:p>
        </w:tc>
        <w:tc>
          <w:tcPr>
            <w:tcW w:w="2981" w:type="dxa"/>
            <w:noWrap w:val="0"/>
            <w:vAlign w:val="center"/>
          </w:tcPr>
          <w:p w14:paraId="50EE0DF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违反条款：《中华人民共和国安全生产法》第四十九条第三款；</w:t>
            </w:r>
          </w:p>
          <w:p w14:paraId="74E9448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三条第三款，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tc>
        <w:tc>
          <w:tcPr>
            <w:tcW w:w="5946" w:type="dxa"/>
            <w:gridSpan w:val="6"/>
            <w:noWrap w:val="0"/>
            <w:vAlign w:val="center"/>
          </w:tcPr>
          <w:p w14:paraId="3F3E40F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2016" w:type="dxa"/>
            <w:noWrap w:val="0"/>
            <w:vAlign w:val="center"/>
          </w:tcPr>
          <w:p w14:paraId="7F22E1EA">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1304" w:type="dxa"/>
            <w:gridSpan w:val="2"/>
            <w:noWrap w:val="0"/>
            <w:vAlign w:val="center"/>
          </w:tcPr>
          <w:p w14:paraId="003A58A3">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144046EE">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3381FADB">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C2355200</w:t>
            </w:r>
          </w:p>
        </w:tc>
      </w:tr>
      <w:tr w14:paraId="7B8E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86" w:hRule="atLeast"/>
        </w:trPr>
        <w:tc>
          <w:tcPr>
            <w:tcW w:w="714" w:type="dxa"/>
            <w:vMerge w:val="restart"/>
            <w:noWrap w:val="0"/>
            <w:vAlign w:val="center"/>
          </w:tcPr>
          <w:p w14:paraId="2651A43A">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33</w:t>
            </w:r>
          </w:p>
        </w:tc>
        <w:tc>
          <w:tcPr>
            <w:tcW w:w="1626" w:type="dxa"/>
            <w:gridSpan w:val="2"/>
            <w:vMerge w:val="restart"/>
            <w:noWrap w:val="0"/>
            <w:vAlign w:val="center"/>
          </w:tcPr>
          <w:p w14:paraId="48BC13F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高危行业、领域的生产经营单位未按照国家规定投保安全生产责任保险</w:t>
            </w:r>
          </w:p>
        </w:tc>
        <w:tc>
          <w:tcPr>
            <w:tcW w:w="2981" w:type="dxa"/>
            <w:noWrap w:val="0"/>
            <w:vAlign w:val="center"/>
          </w:tcPr>
          <w:p w14:paraId="1C0D6B8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违反条款：《中华人民共和国安全生产法》第五十一条第二款；</w:t>
            </w:r>
          </w:p>
          <w:p w14:paraId="08833FE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处罚条款：第一百零九条，责令限期改正，处五万元以上十万元以下的罚款；逾期未改正的，处十万元以上二十万元以下的罚款。</w:t>
            </w:r>
          </w:p>
        </w:tc>
        <w:tc>
          <w:tcPr>
            <w:tcW w:w="5946" w:type="dxa"/>
            <w:gridSpan w:val="6"/>
            <w:vMerge w:val="restart"/>
            <w:noWrap w:val="0"/>
            <w:vAlign w:val="center"/>
          </w:tcPr>
          <w:p w14:paraId="06128CD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高危行业、领域的生产经营单位未按照国家规定投保安全生产责任保险，未投保人数3人以下或占应投保总人数比例在20%以下的，责令限期改正，处5万元以上7万元以下的罚款；逾期未改正的，处10万元以上13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高危行业、领域的生产经营单位未按照国家规定投保安全生产责任保险，未投保人数3人以上10人以下或占应投保总人数比例在20%以上50%以下的，责令限期改正，处7万元以上9万元以下的罚款；逾期未改正的，处13万元以上17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高危行业、领域的生产经营单位未按照国家规定投保安全生产责任保险，未投保人数10人以上或占应投保总人数比例在50%以上的，责令限期改正，处9万元以上10万元以下的罚款；逾期未改正的，处17万元以上20万元以下的罚款。</w:t>
            </w:r>
          </w:p>
        </w:tc>
        <w:tc>
          <w:tcPr>
            <w:tcW w:w="2016" w:type="dxa"/>
            <w:vMerge w:val="restart"/>
            <w:noWrap w:val="0"/>
            <w:vAlign w:val="center"/>
          </w:tcPr>
          <w:p w14:paraId="6EDDC2E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4B16B3EC">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127A0E6">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restart"/>
            <w:noWrap w:val="0"/>
            <w:vAlign w:val="center"/>
          </w:tcPr>
          <w:p w14:paraId="4684A87C">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C2355000</w:t>
            </w:r>
          </w:p>
        </w:tc>
      </w:tr>
      <w:tr w14:paraId="361E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86" w:hRule="atLeast"/>
        </w:trPr>
        <w:tc>
          <w:tcPr>
            <w:tcW w:w="714" w:type="dxa"/>
            <w:vMerge w:val="continue"/>
            <w:noWrap w:val="0"/>
            <w:vAlign w:val="center"/>
          </w:tcPr>
          <w:p w14:paraId="0290A4F1">
            <w:pPr>
              <w:spacing w:line="232" w:lineRule="exact"/>
              <w:ind w:left="6" w:hanging="21"/>
              <w:jc w:val="center"/>
              <w:rPr>
                <w:rFonts w:hint="eastAsia" w:ascii="宋体" w:hAnsi="宋体" w:eastAsia="宋体" w:cs="宋体"/>
                <w:color w:val="auto"/>
                <w:kern w:val="0"/>
                <w:sz w:val="15"/>
                <w:szCs w:val="15"/>
                <w:highlight w:val="none"/>
              </w:rPr>
            </w:pPr>
          </w:p>
        </w:tc>
        <w:tc>
          <w:tcPr>
            <w:tcW w:w="1626" w:type="dxa"/>
            <w:gridSpan w:val="2"/>
            <w:vMerge w:val="continue"/>
            <w:noWrap w:val="0"/>
            <w:vAlign w:val="center"/>
          </w:tcPr>
          <w:p w14:paraId="1C4CB7D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981" w:type="dxa"/>
            <w:noWrap w:val="0"/>
            <w:vAlign w:val="center"/>
          </w:tcPr>
          <w:p w14:paraId="4F81322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违反条款：《北京市安全生产条例》第三十六条第二款；</w:t>
            </w:r>
          </w:p>
          <w:p w14:paraId="1D7C9E3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处罚条款：第五十九条，责令限期改正，处五万元以上十万元以下的罚款；逾期未改正的，处十万元以上二十万元以下的罚款。</w:t>
            </w:r>
          </w:p>
        </w:tc>
        <w:tc>
          <w:tcPr>
            <w:tcW w:w="5946" w:type="dxa"/>
            <w:gridSpan w:val="6"/>
            <w:vMerge w:val="continue"/>
            <w:noWrap w:val="0"/>
            <w:vAlign w:val="center"/>
          </w:tcPr>
          <w:p w14:paraId="3A41BCE4">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2016" w:type="dxa"/>
            <w:vMerge w:val="continue"/>
            <w:noWrap w:val="0"/>
            <w:vAlign w:val="center"/>
          </w:tcPr>
          <w:p w14:paraId="19657508">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1304" w:type="dxa"/>
            <w:gridSpan w:val="2"/>
            <w:noWrap w:val="0"/>
            <w:vAlign w:val="center"/>
          </w:tcPr>
          <w:p w14:paraId="78A0D235">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ECC5B5B">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continue"/>
            <w:noWrap w:val="0"/>
            <w:vAlign w:val="center"/>
          </w:tcPr>
          <w:p w14:paraId="69AFA423">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p>
        </w:tc>
      </w:tr>
      <w:tr w14:paraId="4686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86" w:hRule="atLeast"/>
        </w:trPr>
        <w:tc>
          <w:tcPr>
            <w:tcW w:w="714" w:type="dxa"/>
            <w:noWrap w:val="0"/>
            <w:vAlign w:val="center"/>
          </w:tcPr>
          <w:p w14:paraId="1AA1887B">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34</w:t>
            </w:r>
          </w:p>
        </w:tc>
        <w:tc>
          <w:tcPr>
            <w:tcW w:w="1626" w:type="dxa"/>
            <w:gridSpan w:val="2"/>
            <w:noWrap w:val="0"/>
            <w:vAlign w:val="center"/>
          </w:tcPr>
          <w:p w14:paraId="3ADCDA0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生产经营单位与从业人员订立协议，免除或者减轻其对从业人员因生产安全事故伤亡依法应承担的责任</w:t>
            </w:r>
          </w:p>
        </w:tc>
        <w:tc>
          <w:tcPr>
            <w:tcW w:w="2981" w:type="dxa"/>
            <w:noWrap w:val="0"/>
            <w:vAlign w:val="center"/>
          </w:tcPr>
          <w:p w14:paraId="100B1A9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违反条款：《中华人民共和国安全生产法》第五十二条第二款；</w:t>
            </w:r>
          </w:p>
          <w:p w14:paraId="0334CBD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处罚条款：第一百零六条，该协议无效；对生产经营单位的主要负责人、个人经营的投资人处二万元以上十万元以下的罚款。</w:t>
            </w:r>
          </w:p>
        </w:tc>
        <w:tc>
          <w:tcPr>
            <w:tcW w:w="5946" w:type="dxa"/>
            <w:gridSpan w:val="6"/>
            <w:noWrap w:val="0"/>
            <w:vAlign w:val="center"/>
          </w:tcPr>
          <w:p w14:paraId="5491095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1.生产经营单位与3名以下从业人员订立协议，免除或者减轻其对从业人员因生产安全事故伤亡依法应承担的责任的，处2万元以上5万元以下的罚款；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2.生产经营单位与3名以上10名以下从业人员订立协议，免除或者减轻其对从业人员因生产安全事故伤亡依法应承担的责任的，处5万元以上8万元以下的罚款；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3.生产经营单位与10名以上从业人员订立协议，免除或者减轻其对从业人员因生产安全事故伤亡依法应承担的责任的，处8万元以上10万元以下的罚款。</w:t>
            </w:r>
          </w:p>
        </w:tc>
        <w:tc>
          <w:tcPr>
            <w:tcW w:w="2016" w:type="dxa"/>
            <w:noWrap w:val="0"/>
            <w:vAlign w:val="center"/>
          </w:tcPr>
          <w:p w14:paraId="3E98B47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59C5643A">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4A59F4D">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782E5453">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C2344900</w:t>
            </w:r>
          </w:p>
        </w:tc>
      </w:tr>
      <w:tr w14:paraId="3332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82" w:hRule="atLeast"/>
        </w:trPr>
        <w:tc>
          <w:tcPr>
            <w:tcW w:w="714" w:type="dxa"/>
            <w:noWrap w:val="0"/>
            <w:vAlign w:val="center"/>
          </w:tcPr>
          <w:p w14:paraId="79530998">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35</w:t>
            </w:r>
          </w:p>
        </w:tc>
        <w:tc>
          <w:tcPr>
            <w:tcW w:w="1626" w:type="dxa"/>
            <w:gridSpan w:val="2"/>
            <w:noWrap w:val="0"/>
            <w:vAlign w:val="center"/>
          </w:tcPr>
          <w:p w14:paraId="70C908E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生产经营单位拒绝、阻碍负有安全生产监督管理职责的部门依法实施监督检查的，责令改正；拒不改正</w:t>
            </w:r>
          </w:p>
        </w:tc>
        <w:tc>
          <w:tcPr>
            <w:tcW w:w="2981" w:type="dxa"/>
            <w:noWrap w:val="0"/>
            <w:vAlign w:val="center"/>
          </w:tcPr>
          <w:p w14:paraId="5BAD25F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违反条款：《中华人民共和国安全生产法》第六十六条；</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5946" w:type="dxa"/>
            <w:gridSpan w:val="6"/>
            <w:noWrap w:val="0"/>
            <w:vAlign w:val="center"/>
          </w:tcPr>
          <w:p w14:paraId="0C9F28A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1.以不知道、不配合等消极方式拒绝安全生产监督检查人员监督检查的，责令改正；拒不改正的，处2万元以上8万元以下的罚款，对其直接负责的主管人员和其他直接责任人员处1万元以上2万元以下的罚款；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2.以吵闹、谩骂等主动方式阻碍安全生产监督检查人员监督检查的，责令改正；拒不改正的，处8万元以上14万元以下的罚款，对其直接负责的主管人员和其他直接责任人员处1万元以上2万元以下的罚款；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3.以暴力、威胁的方式阻碍安全生产监督检查人员监督检查的，责令改正；拒不改正的，处14万元以上20万元以下的罚款，对其直接负责的主管人员和其他直接责任人员处1万元以上2万元以下的罚款；</w:t>
            </w:r>
          </w:p>
        </w:tc>
        <w:tc>
          <w:tcPr>
            <w:tcW w:w="2016" w:type="dxa"/>
            <w:noWrap w:val="0"/>
            <w:vAlign w:val="center"/>
          </w:tcPr>
          <w:p w14:paraId="5DBBF87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3FDF43EB">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D03A174">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53ED7112">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C4652500</w:t>
            </w:r>
          </w:p>
        </w:tc>
      </w:tr>
      <w:tr w14:paraId="67E0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14:paraId="6CA33C54">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36</w:t>
            </w:r>
          </w:p>
        </w:tc>
        <w:tc>
          <w:tcPr>
            <w:tcW w:w="1626" w:type="dxa"/>
            <w:gridSpan w:val="2"/>
            <w:noWrap w:val="0"/>
            <w:vAlign w:val="center"/>
          </w:tcPr>
          <w:p w14:paraId="4755244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承担安全评价、认证、检测、检验职责的机构租借资质、挂靠、出具虚假报告</w:t>
            </w:r>
          </w:p>
        </w:tc>
        <w:tc>
          <w:tcPr>
            <w:tcW w:w="2981" w:type="dxa"/>
            <w:noWrap w:val="0"/>
            <w:vAlign w:val="center"/>
          </w:tcPr>
          <w:p w14:paraId="31004EB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违反条款：</w:t>
            </w:r>
            <w:r>
              <w:rPr>
                <w:rFonts w:hint="eastAsia" w:ascii="宋体" w:hAnsi="宋体" w:eastAsia="宋体"/>
                <w:color w:val="auto"/>
                <w:sz w:val="15"/>
                <w:szCs w:val="15"/>
                <w:highlight w:val="none"/>
              </w:rPr>
              <w:t>《中华人民共和国安全生产法》第七十二条第二款：</w:t>
            </w:r>
          </w:p>
          <w:p w14:paraId="4BBCBA9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处罚条款：第九十二条第二款，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tc>
        <w:tc>
          <w:tcPr>
            <w:tcW w:w="5946" w:type="dxa"/>
            <w:gridSpan w:val="6"/>
            <w:noWrap w:val="0"/>
            <w:vAlign w:val="center"/>
          </w:tcPr>
          <w:p w14:paraId="5A1D7B0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p>
          <w:p w14:paraId="5C2BC42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1.没有违法所得的，处10万元以上15万元以下的罚款；对其直接负责的主管人员和其他直接责任人员处5万元以上7万元以下的罚款。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2.违法所得10万元以下的没收违法所得，并处15万元以上20万元以下的罚款；对其直接负责的主管人员和其他直接责任人员处7万元以上9万元以下的罚款。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3.违法所得10万元以上的没收违法所得，并处违法所得2倍以上5倍以下的罚款；对其直接负责的主管人员和其他直接责任人员处9万元以上10万元以下的罚款。</w:t>
            </w:r>
          </w:p>
        </w:tc>
        <w:tc>
          <w:tcPr>
            <w:tcW w:w="2016" w:type="dxa"/>
            <w:noWrap w:val="0"/>
            <w:vAlign w:val="center"/>
          </w:tcPr>
          <w:p w14:paraId="1DAAEAE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4302D0A9">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67DA1550">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869" w:type="dxa"/>
            <w:noWrap w:val="0"/>
            <w:vAlign w:val="center"/>
          </w:tcPr>
          <w:p w14:paraId="2D37F782">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C2355300</w:t>
            </w:r>
          </w:p>
        </w:tc>
      </w:tr>
      <w:tr w14:paraId="7D9B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82" w:hRule="atLeast"/>
        </w:trPr>
        <w:tc>
          <w:tcPr>
            <w:tcW w:w="714" w:type="dxa"/>
            <w:vMerge w:val="restart"/>
            <w:noWrap w:val="0"/>
            <w:vAlign w:val="center"/>
          </w:tcPr>
          <w:p w14:paraId="43850FD0">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37</w:t>
            </w:r>
          </w:p>
        </w:tc>
        <w:tc>
          <w:tcPr>
            <w:tcW w:w="1626" w:type="dxa"/>
            <w:gridSpan w:val="2"/>
            <w:vMerge w:val="restart"/>
            <w:noWrap w:val="0"/>
            <w:vAlign w:val="center"/>
          </w:tcPr>
          <w:p w14:paraId="1087273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生产经营单位未按照规定制定生产安全事故应急救援预案或者未定期组织演练</w:t>
            </w:r>
          </w:p>
        </w:tc>
        <w:tc>
          <w:tcPr>
            <w:tcW w:w="2981" w:type="dxa"/>
            <w:noWrap w:val="0"/>
            <w:vAlign w:val="center"/>
          </w:tcPr>
          <w:p w14:paraId="06F509C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违反条款：《中华人民共和国安全生产法》第八十一条；</w:t>
            </w:r>
          </w:p>
          <w:p w14:paraId="1A13380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w:t>
            </w:r>
            <w:r>
              <w:rPr>
                <w:rFonts w:hint="eastAsia" w:ascii="宋体" w:hAnsi="宋体"/>
                <w:color w:val="auto"/>
                <w:sz w:val="15"/>
                <w:szCs w:val="15"/>
                <w:highlight w:val="none"/>
                <w:lang w:val="en-US" w:eastAsia="zh-CN"/>
              </w:rPr>
              <w:t>七</w:t>
            </w:r>
            <w:r>
              <w:rPr>
                <w:rFonts w:hint="eastAsia" w:ascii="宋体" w:hAnsi="宋体" w:eastAsia="宋体"/>
                <w:color w:val="auto"/>
                <w:sz w:val="15"/>
                <w:szCs w:val="15"/>
                <w:highlight w:val="none"/>
                <w:lang w:val="en-US" w:eastAsia="zh-CN"/>
              </w:rPr>
              <w:t>条第（六）项，责令限期改正，处十万元以下的罚款；逾期未改正的，责令停产停业整顿，并处十万元以上二十万元以下的罚款，对其直接负责的主管人员和其他直接责任人员处二万元以上五万元以下的罚款。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vMerge w:val="restart"/>
            <w:noWrap w:val="0"/>
            <w:vAlign w:val="center"/>
          </w:tcPr>
          <w:p w14:paraId="39F27A7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缺少1个应急救援预案，或者有1个应急救援预案不符合编制基本要求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缺少2个应急救援预案，或者有2个应急救援预案不符合编制基本要求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缺少3个以上应急救援预案，或者有3个以上应急救援预案不符合编制基本要求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vMerge w:val="restart"/>
            <w:noWrap w:val="0"/>
            <w:vAlign w:val="center"/>
          </w:tcPr>
          <w:p w14:paraId="5DE022C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5EE98AAB">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6E7A2D60">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restart"/>
            <w:noWrap w:val="0"/>
            <w:vAlign w:val="center"/>
          </w:tcPr>
          <w:p w14:paraId="555A8A89">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C2343100</w:t>
            </w:r>
          </w:p>
        </w:tc>
      </w:tr>
      <w:tr w14:paraId="3AAB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vMerge w:val="continue"/>
            <w:noWrap w:val="0"/>
            <w:vAlign w:val="center"/>
          </w:tcPr>
          <w:p w14:paraId="0683C7C0">
            <w:pPr>
              <w:spacing w:line="232" w:lineRule="exact"/>
              <w:ind w:left="6" w:hanging="21"/>
              <w:jc w:val="center"/>
              <w:rPr>
                <w:rFonts w:hint="eastAsia" w:ascii="宋体" w:hAnsi="宋体" w:eastAsia="宋体" w:cs="宋体"/>
                <w:color w:val="auto"/>
                <w:kern w:val="0"/>
                <w:sz w:val="15"/>
                <w:szCs w:val="15"/>
                <w:highlight w:val="none"/>
              </w:rPr>
            </w:pPr>
          </w:p>
        </w:tc>
        <w:tc>
          <w:tcPr>
            <w:tcW w:w="1626" w:type="dxa"/>
            <w:gridSpan w:val="2"/>
            <w:vMerge w:val="continue"/>
            <w:noWrap w:val="0"/>
            <w:vAlign w:val="center"/>
          </w:tcPr>
          <w:p w14:paraId="09F6B6B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981" w:type="dxa"/>
            <w:noWrap w:val="0"/>
            <w:vAlign w:val="center"/>
          </w:tcPr>
          <w:p w14:paraId="3619215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违反条款：《生产安全事故应急条例》第五条第二款、第八条第二款；</w:t>
            </w:r>
          </w:p>
          <w:p w14:paraId="160AFC1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生产安全事故应急条例》第三十条，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安全生产法》有关规定追究法律责任</w:t>
            </w:r>
          </w:p>
        </w:tc>
        <w:tc>
          <w:tcPr>
            <w:tcW w:w="5946" w:type="dxa"/>
            <w:gridSpan w:val="6"/>
            <w:vMerge w:val="continue"/>
            <w:noWrap w:val="0"/>
            <w:vAlign w:val="center"/>
          </w:tcPr>
          <w:p w14:paraId="1FDF2FAB">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2016" w:type="dxa"/>
            <w:vMerge w:val="continue"/>
            <w:noWrap w:val="0"/>
            <w:vAlign w:val="center"/>
          </w:tcPr>
          <w:p w14:paraId="27344A1F">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1304" w:type="dxa"/>
            <w:gridSpan w:val="2"/>
            <w:noWrap w:val="0"/>
            <w:vAlign w:val="center"/>
          </w:tcPr>
          <w:p w14:paraId="6AFCB694">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48440F4">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continue"/>
            <w:noWrap w:val="0"/>
            <w:vAlign w:val="center"/>
          </w:tcPr>
          <w:p w14:paraId="6F2A9787">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p>
        </w:tc>
      </w:tr>
      <w:tr w14:paraId="56C5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22" w:hRule="atLeast"/>
        </w:trPr>
        <w:tc>
          <w:tcPr>
            <w:tcW w:w="714" w:type="dxa"/>
            <w:noWrap w:val="0"/>
            <w:vAlign w:val="center"/>
          </w:tcPr>
          <w:p w14:paraId="469CAB57">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38</w:t>
            </w:r>
          </w:p>
        </w:tc>
        <w:tc>
          <w:tcPr>
            <w:tcW w:w="1626" w:type="dxa"/>
            <w:gridSpan w:val="2"/>
            <w:noWrap w:val="0"/>
            <w:vAlign w:val="center"/>
          </w:tcPr>
          <w:p w14:paraId="1BCD09C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承担安全评价、认证、检测、检验职责的机构出具失实报告</w:t>
            </w:r>
          </w:p>
        </w:tc>
        <w:tc>
          <w:tcPr>
            <w:tcW w:w="2981" w:type="dxa"/>
            <w:noWrap w:val="0"/>
            <w:vAlign w:val="center"/>
          </w:tcPr>
          <w:p w14:paraId="3EB16A5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违反条款：《中华人民共和国安全生产法》第七十二条第一款；</w:t>
            </w:r>
          </w:p>
          <w:p w14:paraId="0C0BC42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处罚条款：第九十二条第一款，责令停业整顿，并处三万元以上十万元以下的罚款；给他人造成损害的，依法承担赔偿责任。</w:t>
            </w:r>
          </w:p>
        </w:tc>
        <w:tc>
          <w:tcPr>
            <w:tcW w:w="5946" w:type="dxa"/>
            <w:gridSpan w:val="6"/>
            <w:noWrap w:val="0"/>
            <w:vAlign w:val="center"/>
          </w:tcPr>
          <w:p w14:paraId="551776F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1.报告失实1处的，责令停业整顿，并处3万元以上5万元以下的罚款;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2.报告失实2处的，责令停业整顿，并处5万元以上8万元以下的罚款；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3.报告失实3处以上的，责令停业整顿，并处8万元以上10万元以下的罚款；</w:t>
            </w:r>
          </w:p>
        </w:tc>
        <w:tc>
          <w:tcPr>
            <w:tcW w:w="2016" w:type="dxa"/>
            <w:noWrap w:val="0"/>
            <w:vAlign w:val="center"/>
          </w:tcPr>
          <w:p w14:paraId="45E9CA6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2279426C">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71947C3">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01CE60D7">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C2342300</w:t>
            </w:r>
          </w:p>
        </w:tc>
      </w:tr>
      <w:tr w14:paraId="0DAB8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82" w:hRule="atLeast"/>
        </w:trPr>
        <w:tc>
          <w:tcPr>
            <w:tcW w:w="714" w:type="dxa"/>
            <w:noWrap w:val="0"/>
            <w:vAlign w:val="center"/>
          </w:tcPr>
          <w:p w14:paraId="672502EC">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39</w:t>
            </w:r>
          </w:p>
        </w:tc>
        <w:tc>
          <w:tcPr>
            <w:tcW w:w="1626" w:type="dxa"/>
            <w:gridSpan w:val="2"/>
            <w:noWrap w:val="0"/>
            <w:vAlign w:val="center"/>
          </w:tcPr>
          <w:p w14:paraId="765BB66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生产经营单位存在重大事故隐患，一百八十日内三次或者一年内四次受到《中华人民共和国安全生产法》规定的行政处罚</w:t>
            </w:r>
          </w:p>
        </w:tc>
        <w:tc>
          <w:tcPr>
            <w:tcW w:w="2981" w:type="dxa"/>
            <w:noWrap w:val="0"/>
            <w:vAlign w:val="center"/>
          </w:tcPr>
          <w:p w14:paraId="75AD71E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违反条款：《中华人民共和国安全生产法》第一百一十三条第（一）项；</w:t>
            </w:r>
          </w:p>
          <w:p w14:paraId="4CCB9E1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一十三条第（一）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5946" w:type="dxa"/>
            <w:gridSpan w:val="6"/>
            <w:noWrap w:val="0"/>
            <w:vAlign w:val="center"/>
          </w:tcPr>
          <w:p w14:paraId="0F1B008E">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2016" w:type="dxa"/>
            <w:noWrap w:val="0"/>
            <w:vAlign w:val="center"/>
          </w:tcPr>
          <w:p w14:paraId="681EC4CB">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1304" w:type="dxa"/>
            <w:gridSpan w:val="2"/>
            <w:noWrap w:val="0"/>
            <w:vAlign w:val="center"/>
          </w:tcPr>
          <w:p w14:paraId="65AD207C">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D6AC0C9">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560250A2">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C4685800</w:t>
            </w:r>
          </w:p>
        </w:tc>
      </w:tr>
      <w:tr w14:paraId="23A8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82" w:hRule="atLeast"/>
        </w:trPr>
        <w:tc>
          <w:tcPr>
            <w:tcW w:w="714" w:type="dxa"/>
            <w:noWrap w:val="0"/>
            <w:vAlign w:val="center"/>
          </w:tcPr>
          <w:p w14:paraId="18506123">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40</w:t>
            </w:r>
          </w:p>
        </w:tc>
        <w:tc>
          <w:tcPr>
            <w:tcW w:w="1626" w:type="dxa"/>
            <w:gridSpan w:val="2"/>
            <w:noWrap w:val="0"/>
            <w:vAlign w:val="center"/>
          </w:tcPr>
          <w:p w14:paraId="698A5E4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生产经营单位经停产停业整顿，仍不具备法律、行政法规和国家标准或者行业标准规定的安全生产条件</w:t>
            </w:r>
          </w:p>
        </w:tc>
        <w:tc>
          <w:tcPr>
            <w:tcW w:w="2981" w:type="dxa"/>
            <w:noWrap w:val="0"/>
            <w:vAlign w:val="center"/>
          </w:tcPr>
          <w:p w14:paraId="5A7E2DD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违反条款：《中华人民共和国安全生产法》第一百一十三条第</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二</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项；</w:t>
            </w:r>
          </w:p>
          <w:p w14:paraId="5E3AD42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处罚条款：第一百一十三条第（二）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5946" w:type="dxa"/>
            <w:gridSpan w:val="6"/>
            <w:noWrap w:val="0"/>
            <w:vAlign w:val="center"/>
          </w:tcPr>
          <w:p w14:paraId="1237E92E">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2016" w:type="dxa"/>
            <w:noWrap w:val="0"/>
            <w:vAlign w:val="center"/>
          </w:tcPr>
          <w:p w14:paraId="63A74183">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1304" w:type="dxa"/>
            <w:gridSpan w:val="2"/>
            <w:noWrap w:val="0"/>
            <w:vAlign w:val="center"/>
          </w:tcPr>
          <w:p w14:paraId="03144FFE">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0CB94B4F">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6426F9C4">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C4686100</w:t>
            </w:r>
          </w:p>
        </w:tc>
      </w:tr>
      <w:tr w14:paraId="6AC90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82" w:hRule="atLeast"/>
        </w:trPr>
        <w:tc>
          <w:tcPr>
            <w:tcW w:w="714" w:type="dxa"/>
            <w:noWrap w:val="0"/>
            <w:vAlign w:val="center"/>
          </w:tcPr>
          <w:p w14:paraId="0192F8EF">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41</w:t>
            </w:r>
          </w:p>
        </w:tc>
        <w:tc>
          <w:tcPr>
            <w:tcW w:w="1626" w:type="dxa"/>
            <w:gridSpan w:val="2"/>
            <w:noWrap w:val="0"/>
            <w:vAlign w:val="center"/>
          </w:tcPr>
          <w:p w14:paraId="113636F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生产经营单位拒不执行负有安全生产监督管理职责的部门作出的停产停业整顿决定</w:t>
            </w:r>
          </w:p>
        </w:tc>
        <w:tc>
          <w:tcPr>
            <w:tcW w:w="2981" w:type="dxa"/>
            <w:noWrap w:val="0"/>
            <w:vAlign w:val="center"/>
          </w:tcPr>
          <w:p w14:paraId="22C0DC3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违反条款：《中华人民共和国安全生产法》第一百一十三条第四项；</w:t>
            </w:r>
          </w:p>
          <w:p w14:paraId="6F9526D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处罚条款：第一百一十三条第（四）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5946" w:type="dxa"/>
            <w:gridSpan w:val="6"/>
            <w:noWrap w:val="0"/>
            <w:vAlign w:val="center"/>
          </w:tcPr>
          <w:p w14:paraId="79C487EF">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2016" w:type="dxa"/>
            <w:noWrap w:val="0"/>
            <w:vAlign w:val="center"/>
          </w:tcPr>
          <w:p w14:paraId="113A4C30">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1304" w:type="dxa"/>
            <w:gridSpan w:val="2"/>
            <w:noWrap w:val="0"/>
            <w:vAlign w:val="center"/>
          </w:tcPr>
          <w:p w14:paraId="28AA31C9">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D430C95">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0376E119">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C4685900</w:t>
            </w:r>
          </w:p>
        </w:tc>
      </w:tr>
      <w:tr w14:paraId="4EBCF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90" w:hRule="atLeast"/>
        </w:trPr>
        <w:tc>
          <w:tcPr>
            <w:tcW w:w="714" w:type="dxa"/>
            <w:noWrap w:val="0"/>
            <w:vAlign w:val="center"/>
          </w:tcPr>
          <w:p w14:paraId="0A719710">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42</w:t>
            </w:r>
          </w:p>
        </w:tc>
        <w:tc>
          <w:tcPr>
            <w:tcW w:w="1626" w:type="dxa"/>
            <w:gridSpan w:val="2"/>
            <w:noWrap w:val="0"/>
            <w:vAlign w:val="center"/>
          </w:tcPr>
          <w:p w14:paraId="3DC8875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生产经营单位未执行专项安全生产管理措施逾期未改正</w:t>
            </w:r>
          </w:p>
        </w:tc>
        <w:tc>
          <w:tcPr>
            <w:tcW w:w="2981" w:type="dxa"/>
            <w:noWrap w:val="0"/>
            <w:vAlign w:val="center"/>
          </w:tcPr>
          <w:p w14:paraId="1479273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违反条款：《北京市安全生产条例》第四十四条第一款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 xml:space="preserve"> </w:t>
            </w:r>
          </w:p>
          <w:p w14:paraId="77C819E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处罚条款：第六十一条，责令限期改正；逾期未改正的，责令停止生产经营活动。</w:t>
            </w:r>
          </w:p>
        </w:tc>
        <w:tc>
          <w:tcPr>
            <w:tcW w:w="5946" w:type="dxa"/>
            <w:gridSpan w:val="6"/>
            <w:noWrap w:val="0"/>
            <w:vAlign w:val="center"/>
          </w:tcPr>
          <w:p w14:paraId="42DAE1DB">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p w14:paraId="1783C057">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责令停止生产经营活动.</w:t>
            </w:r>
          </w:p>
          <w:p w14:paraId="3B0C3B3B">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2016" w:type="dxa"/>
            <w:noWrap w:val="0"/>
            <w:vAlign w:val="center"/>
          </w:tcPr>
          <w:p w14:paraId="339C37EA">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1304" w:type="dxa"/>
            <w:gridSpan w:val="2"/>
            <w:noWrap w:val="0"/>
            <w:vAlign w:val="center"/>
          </w:tcPr>
          <w:p w14:paraId="403C80F9">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1BD6E50D">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6AA218CE">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C4654400</w:t>
            </w:r>
          </w:p>
        </w:tc>
      </w:tr>
      <w:tr w14:paraId="533A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62" w:hRule="atLeast"/>
        </w:trPr>
        <w:tc>
          <w:tcPr>
            <w:tcW w:w="714" w:type="dxa"/>
            <w:noWrap w:val="0"/>
            <w:vAlign w:val="center"/>
          </w:tcPr>
          <w:p w14:paraId="1D5AAFD5">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43</w:t>
            </w:r>
          </w:p>
        </w:tc>
        <w:tc>
          <w:tcPr>
            <w:tcW w:w="1626" w:type="dxa"/>
            <w:gridSpan w:val="2"/>
            <w:noWrap w:val="0"/>
            <w:vAlign w:val="center"/>
          </w:tcPr>
          <w:p w14:paraId="0C429F9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生产经营单位开展危险化学品生产经营活动，未执行本市危险化学品禁止、限制、控制措施</w:t>
            </w:r>
          </w:p>
        </w:tc>
        <w:tc>
          <w:tcPr>
            <w:tcW w:w="2981" w:type="dxa"/>
            <w:noWrap w:val="0"/>
            <w:vAlign w:val="center"/>
          </w:tcPr>
          <w:p w14:paraId="48DFBBE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违反条款：《北京市安全生产条例》第四十七条第二款；</w:t>
            </w:r>
          </w:p>
          <w:p w14:paraId="26BA811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处罚条款：第六十二条，责令改正；拒不改正的，处二万元以上十万元以下的罚款。</w:t>
            </w:r>
          </w:p>
        </w:tc>
        <w:tc>
          <w:tcPr>
            <w:tcW w:w="5946" w:type="dxa"/>
            <w:gridSpan w:val="6"/>
            <w:noWrap w:val="0"/>
            <w:vAlign w:val="center"/>
          </w:tcPr>
          <w:p w14:paraId="783CBFD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p>
          <w:p w14:paraId="6EC148A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【裁量阶次】违反前款规定的违法行为，属于基础裁量A档，按照以下裁量阶次处以罚款：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1.从业人员在50人以下的生产经营单位开展危险化学品生产经营活动未执行本市危险化学品禁止、限制、控制措施，拒不改正的，处二万元以上五万元以下的罚款；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2.从业人员在50人以上100人以下的生产经营单位开展危险化学品生产经营活动未执行本市危险化学品禁止、限制、控制措施，拒不改正的，处五万元以上八万元以下的罚款；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3.从业人员在100人以上的生产经营单位开展危险化学品生产经营活动未执行本市危险化学品禁止、限制、控制措施，拒不改正的，处八万元以上十万元以下的罚款。</w:t>
            </w:r>
          </w:p>
        </w:tc>
        <w:tc>
          <w:tcPr>
            <w:tcW w:w="2016" w:type="dxa"/>
            <w:noWrap w:val="0"/>
            <w:vAlign w:val="center"/>
          </w:tcPr>
          <w:p w14:paraId="61C7DBA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76D052B1">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29CFB66">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869" w:type="dxa"/>
            <w:noWrap w:val="0"/>
            <w:vAlign w:val="center"/>
          </w:tcPr>
          <w:p w14:paraId="39318820">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C2357300</w:t>
            </w:r>
          </w:p>
        </w:tc>
      </w:tr>
      <w:tr w14:paraId="2AAE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87" w:hRule="atLeast"/>
        </w:trPr>
        <w:tc>
          <w:tcPr>
            <w:tcW w:w="14587" w:type="dxa"/>
            <w:gridSpan w:val="13"/>
            <w:noWrap w:val="0"/>
            <w:vAlign w:val="center"/>
          </w:tcPr>
          <w:p w14:paraId="6D6B1DA3">
            <w:pPr>
              <w:pStyle w:val="3"/>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95" w:name="_Toc1191107405"/>
            <w:r>
              <w:rPr>
                <w:rFonts w:hint="eastAsia" w:ascii="宋体" w:hAnsi="宋体" w:eastAsia="宋体" w:cs="宋体"/>
                <w:color w:val="auto"/>
                <w:sz w:val="21"/>
                <w:szCs w:val="21"/>
                <w:highlight w:val="none"/>
              </w:rPr>
              <w:t>《北京市生产安全事故隐患排查治理办法》</w:t>
            </w:r>
            <w:r>
              <w:rPr>
                <w:rFonts w:hint="eastAsia" w:ascii="宋体" w:hAnsi="宋体" w:eastAsia="宋体" w:cs="宋体"/>
                <w:color w:val="auto"/>
                <w:sz w:val="21"/>
                <w:szCs w:val="21"/>
                <w:highlight w:val="none"/>
                <w:lang w:eastAsia="zh-Hans"/>
              </w:rPr>
              <w:t>案由</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Hans"/>
              </w:rPr>
              <w:t>项</w:t>
            </w:r>
            <w:bookmarkEnd w:id="195"/>
          </w:p>
        </w:tc>
        <w:tc>
          <w:tcPr>
            <w:tcW w:w="1869" w:type="dxa"/>
            <w:noWrap w:val="0"/>
            <w:vAlign w:val="center"/>
          </w:tcPr>
          <w:p w14:paraId="048CE9AF">
            <w:pPr>
              <w:pStyle w:val="3"/>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6053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56" w:hRule="atLeast"/>
        </w:trPr>
        <w:tc>
          <w:tcPr>
            <w:tcW w:w="714" w:type="dxa"/>
            <w:noWrap w:val="0"/>
            <w:vAlign w:val="center"/>
          </w:tcPr>
          <w:p w14:paraId="1EB1566A">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w:t>
            </w:r>
          </w:p>
        </w:tc>
        <w:tc>
          <w:tcPr>
            <w:tcW w:w="1626" w:type="dxa"/>
            <w:gridSpan w:val="2"/>
            <w:noWrap w:val="0"/>
            <w:vAlign w:val="center"/>
          </w:tcPr>
          <w:p w14:paraId="06ABB423">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生产经营单位主要负责人未履行规定的事故隐患排查治理职责且逾期不改正</w:t>
            </w:r>
          </w:p>
        </w:tc>
        <w:tc>
          <w:tcPr>
            <w:tcW w:w="2981" w:type="dxa"/>
            <w:noWrap w:val="0"/>
            <w:vAlign w:val="center"/>
          </w:tcPr>
          <w:p w14:paraId="29B81FD7">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Hans"/>
              </w:rPr>
              <w:t>第</w:t>
            </w:r>
            <w:r>
              <w:rPr>
                <w:rFonts w:hint="eastAsia" w:ascii="宋体" w:hAnsi="宋体" w:eastAsia="宋体"/>
                <w:color w:val="auto"/>
                <w:sz w:val="15"/>
                <w:szCs w:val="15"/>
                <w:highlight w:val="none"/>
              </w:rPr>
              <w:t>七条；</w:t>
            </w:r>
          </w:p>
          <w:p w14:paraId="6CEEE886">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处罚条款：第二十六条，责令限期改正；逾期未改正的，处2万元以上5万元以下罚款。</w:t>
            </w:r>
          </w:p>
        </w:tc>
        <w:tc>
          <w:tcPr>
            <w:tcW w:w="5946" w:type="dxa"/>
            <w:gridSpan w:val="6"/>
            <w:noWrap w:val="0"/>
            <w:vAlign w:val="center"/>
          </w:tcPr>
          <w:p w14:paraId="510B914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1.生产经营单位的主要负责人未履行北京市生产安全事故隐患排查治理办法第七条规定的事故隐患排查治理职责中任一项职责的，经责令限期改正，逾期未改的，对主要负责人处2万元以上3万元以下的罚款；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2.生产经营单位的主要负责人未履行北京市生产安全事故隐患排查治理办法第七条规定的事故隐患排查治理职责中任两项职责的，对主要负责人处3万元以上4万元以下的罚款；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3.生产经营单位的主要负责人未履行北京市生产安全事故隐患排查治理办法第七条规定的事故隐患排查治理职责中全部职责的，对主要负责人处4万元以上5万元以下的罚款。</w:t>
            </w:r>
          </w:p>
        </w:tc>
        <w:tc>
          <w:tcPr>
            <w:tcW w:w="2016" w:type="dxa"/>
            <w:noWrap w:val="0"/>
            <w:vAlign w:val="center"/>
          </w:tcPr>
          <w:p w14:paraId="75564DC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37FB9207">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0DB46385">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65918647">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C4653000</w:t>
            </w:r>
          </w:p>
        </w:tc>
      </w:tr>
      <w:tr w14:paraId="06BB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676" w:hRule="atLeast"/>
        </w:trPr>
        <w:tc>
          <w:tcPr>
            <w:tcW w:w="714" w:type="dxa"/>
            <w:noWrap w:val="0"/>
            <w:vAlign w:val="center"/>
          </w:tcPr>
          <w:p w14:paraId="441D4983">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w:t>
            </w:r>
          </w:p>
        </w:tc>
        <w:tc>
          <w:tcPr>
            <w:tcW w:w="1626" w:type="dxa"/>
            <w:gridSpan w:val="2"/>
            <w:noWrap w:val="0"/>
            <w:vAlign w:val="center"/>
          </w:tcPr>
          <w:p w14:paraId="4DD632B6">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生产经营单位未定期通报事故隐患排查治理情况，或者未公示重大事故隐患的危害程度、影响范围和应急措施</w:t>
            </w:r>
          </w:p>
        </w:tc>
        <w:tc>
          <w:tcPr>
            <w:tcW w:w="2981" w:type="dxa"/>
            <w:noWrap w:val="0"/>
            <w:vAlign w:val="center"/>
          </w:tcPr>
          <w:p w14:paraId="7C3ABE5D">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违反条款：第十一条；</w:t>
            </w:r>
          </w:p>
          <w:p w14:paraId="5AA49B88">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处罚条款：第二十八条，责令限期改正，可以处5万元以下罚款；逾期未改正的，责令停产停业整顿，并处5万元以上10万元以下罚款。</w:t>
            </w:r>
          </w:p>
        </w:tc>
        <w:tc>
          <w:tcPr>
            <w:tcW w:w="5946" w:type="dxa"/>
            <w:gridSpan w:val="6"/>
            <w:noWrap w:val="0"/>
            <w:vAlign w:val="center"/>
          </w:tcPr>
          <w:p w14:paraId="6588984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未定期通报事故隐患排查治理情况累计3个月以下的，或者未公示重大事故隐患的危害程度、影响范围和应急措施中的任一项的，责令限期改正，可以处2万元以下罚款；逾期未改正的，责令停产停业整顿，并处5万元以上7万元以下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未定期通报事故隐患排查治理情况累计3个月以上6个月以下的，或者未公示重大事故隐患的危害程度、影响范围和应急措施中的任两项的，责令限期改正，可以处2万元以上4万元以下罚款；逾期未改正的，责令停产停业整顿，并处7万元以上9万元以下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未定期通报事故隐患排查治理情况累计6个月以上的，或者重大事故隐患的危害程度、影响范围和应急措施均未公示的，责令限期改正，可以处4万元以上5万元以下罚款；逾期未改正的，责令停产停业整顿，并处9万元以上10万元以下罚款。</w:t>
            </w:r>
          </w:p>
        </w:tc>
        <w:tc>
          <w:tcPr>
            <w:tcW w:w="2016" w:type="dxa"/>
            <w:noWrap w:val="0"/>
            <w:vAlign w:val="center"/>
          </w:tcPr>
          <w:p w14:paraId="262AFB1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《北京市安全生产行政处罚自由裁量基准（2025年修订版）》</w:t>
            </w:r>
          </w:p>
          <w:p w14:paraId="407F803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br w:type="textWrapping"/>
            </w:r>
          </w:p>
        </w:tc>
        <w:tc>
          <w:tcPr>
            <w:tcW w:w="1304" w:type="dxa"/>
            <w:gridSpan w:val="2"/>
            <w:noWrap w:val="0"/>
            <w:vAlign w:val="center"/>
          </w:tcPr>
          <w:p w14:paraId="1AEB660F">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585A60D8">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60276729">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C4652400</w:t>
            </w:r>
          </w:p>
        </w:tc>
      </w:tr>
      <w:tr w14:paraId="4A0F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33" w:hRule="atLeast"/>
        </w:trPr>
        <w:tc>
          <w:tcPr>
            <w:tcW w:w="714" w:type="dxa"/>
            <w:noWrap w:val="0"/>
            <w:vAlign w:val="center"/>
          </w:tcPr>
          <w:p w14:paraId="5A778525">
            <w:pPr>
              <w:spacing w:line="232" w:lineRule="exact"/>
              <w:ind w:left="6" w:leftChars="0" w:hanging="21" w:firstLineChars="0"/>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w:t>
            </w:r>
          </w:p>
        </w:tc>
        <w:tc>
          <w:tcPr>
            <w:tcW w:w="1626" w:type="dxa"/>
            <w:gridSpan w:val="2"/>
            <w:noWrap w:val="0"/>
            <w:vAlign w:val="center"/>
          </w:tcPr>
          <w:p w14:paraId="1BA746A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生产经营单位未将无法及时消除并可能危及公共安全的事故隐患，向所在地负有安全生产监督管理职责的部门报告</w:t>
            </w:r>
          </w:p>
        </w:tc>
        <w:tc>
          <w:tcPr>
            <w:tcW w:w="2981" w:type="dxa"/>
            <w:noWrap w:val="0"/>
            <w:vAlign w:val="center"/>
          </w:tcPr>
          <w:p w14:paraId="02C6EB7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违反条款：第十二条第一款第一项：</w:t>
            </w:r>
          </w:p>
          <w:p w14:paraId="24CEB58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处罚条款：第二十九条，处5万元以下罚款。</w:t>
            </w:r>
          </w:p>
        </w:tc>
        <w:tc>
          <w:tcPr>
            <w:tcW w:w="5946" w:type="dxa"/>
            <w:gridSpan w:val="6"/>
            <w:noWrap w:val="0"/>
            <w:vAlign w:val="center"/>
          </w:tcPr>
          <w:p w14:paraId="1C4E6C2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p>
          <w:p w14:paraId="78F6458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【裁量阶次】违反前款规定的违法行为，属于基础裁量B档，按照以下裁量阶次处以罚款：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1.从业人员在50人以下的生产经营单位未将无法及时消除并可能危及公共安全的事故隐患，向所在地负有安全生产监督管理职责的部门报告的，处2万元以下的罚款；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2.从业人员在50人以上100人以下的生产经营单位未将无法及时消除并可能危及公共安全的事故隐患，向所在地负有安全生产监督管理职责的部门报告的，处2万元以上4万元以下的罚款；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3.从业人员在100人以上的生产经营单位未将无法及时消除并可能危及公共安全的事故隐患，向所在地负有安全生产监督管理职责的部门报告的，处4万元以上5万元以下的罚款。</w:t>
            </w:r>
          </w:p>
        </w:tc>
        <w:tc>
          <w:tcPr>
            <w:tcW w:w="2016" w:type="dxa"/>
            <w:noWrap w:val="0"/>
            <w:vAlign w:val="center"/>
          </w:tcPr>
          <w:p w14:paraId="0D9A5D8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0E9E1B71">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0BDD26B0">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5F97BF98">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C2347500</w:t>
            </w:r>
          </w:p>
        </w:tc>
      </w:tr>
      <w:tr w14:paraId="2AE2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88" w:hRule="atLeast"/>
        </w:trPr>
        <w:tc>
          <w:tcPr>
            <w:tcW w:w="714" w:type="dxa"/>
            <w:noWrap w:val="0"/>
            <w:vAlign w:val="center"/>
          </w:tcPr>
          <w:p w14:paraId="6AFD96FA">
            <w:pPr>
              <w:spacing w:line="232" w:lineRule="exact"/>
              <w:ind w:left="6" w:hanging="21"/>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4</w:t>
            </w:r>
          </w:p>
        </w:tc>
        <w:tc>
          <w:tcPr>
            <w:tcW w:w="1626" w:type="dxa"/>
            <w:gridSpan w:val="2"/>
            <w:noWrap w:val="0"/>
            <w:vAlign w:val="center"/>
          </w:tcPr>
          <w:p w14:paraId="142C874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生产经营单位未按照要求使用生产安全事故隐患排查治理信息系统，如实记录隐患排查治理情况</w:t>
            </w:r>
          </w:p>
        </w:tc>
        <w:tc>
          <w:tcPr>
            <w:tcW w:w="2981" w:type="dxa"/>
            <w:noWrap w:val="0"/>
            <w:vAlign w:val="center"/>
          </w:tcPr>
          <w:p w14:paraId="002A5CD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违反条款：第十六条；</w:t>
            </w:r>
          </w:p>
          <w:p w14:paraId="00B193E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处罚条款：第三十条， 责令限期改正，可以处5万元以下罚款；逾期未改正的，责令停产停业整顿，并处5万元以上10万元以下罚款。</w:t>
            </w:r>
          </w:p>
        </w:tc>
        <w:tc>
          <w:tcPr>
            <w:tcW w:w="5946" w:type="dxa"/>
            <w:gridSpan w:val="6"/>
            <w:noWrap w:val="0"/>
            <w:vAlign w:val="center"/>
          </w:tcPr>
          <w:p w14:paraId="717CF6B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p>
          <w:p w14:paraId="77C5F11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【裁量阶次】违反前款规定的违法行为，属于基础裁量A档，按照以下裁量阶次处以罚款：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1.从业人员在50人以下的生产经营单位未按照要求使用生产安全事故隐患排查治理信息系统，如实记录隐患排查治理情况的，处2万元以下的罚款；逾期未改正的，处5万元以上7万元以下的罚款；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2.从业人员在50人以上100人以下的生产经营单位未按照要求使用生产安全事故隐患排查治理信息系统，如实记录隐患排查治理情况的，处2万元以上4万元以下的罚款；逾期未改正的，处7万元以上9万元以下的罚款；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3.从业人员在100人以上的生产经营单位未按照要求使用生产安全事故隐患排查治理信息系统，如实记录隐患排查治理情况的，处4万元以上5万元以下的罚款；逾期未改正的，处9万元以上10万元以下的罚款。</w:t>
            </w:r>
          </w:p>
        </w:tc>
        <w:tc>
          <w:tcPr>
            <w:tcW w:w="2016" w:type="dxa"/>
            <w:noWrap w:val="0"/>
            <w:vAlign w:val="center"/>
          </w:tcPr>
          <w:p w14:paraId="1AF385A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15AFB622">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E98E1D9">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3F1F52D8">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C2346300</w:t>
            </w:r>
          </w:p>
        </w:tc>
      </w:tr>
      <w:tr w14:paraId="07D7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65" w:hRule="atLeast"/>
        </w:trPr>
        <w:tc>
          <w:tcPr>
            <w:tcW w:w="14587" w:type="dxa"/>
            <w:gridSpan w:val="13"/>
            <w:noWrap w:val="0"/>
            <w:vAlign w:val="center"/>
          </w:tcPr>
          <w:p w14:paraId="72C22203">
            <w:pPr>
              <w:pStyle w:val="3"/>
              <w:bidi w:val="0"/>
              <w:jc w:val="center"/>
              <w:rPr>
                <w:rFonts w:hint="default" w:ascii="宋体" w:hAnsi="宋体" w:eastAsia="宋体" w:cs="宋体"/>
                <w:color w:val="auto"/>
                <w:kern w:val="0"/>
                <w:sz w:val="15"/>
                <w:szCs w:val="15"/>
                <w:highlight w:val="none"/>
                <w:lang w:val="en-US"/>
              </w:rPr>
            </w:pPr>
            <w:bookmarkStart w:id="196" w:name="_Toc118719427"/>
            <w:r>
              <w:rPr>
                <w:rFonts w:hint="eastAsia" w:ascii="宋体" w:hAnsi="宋体" w:eastAsia="宋体" w:cs="宋体"/>
                <w:color w:val="auto"/>
                <w:sz w:val="21"/>
                <w:szCs w:val="21"/>
                <w:highlight w:val="none"/>
                <w:lang w:val="en-US" w:eastAsia="zh-CN"/>
              </w:rPr>
              <w:t>《北京市生产经营单位安全生产主体责任规定》案由2项</w:t>
            </w:r>
            <w:bookmarkEnd w:id="196"/>
          </w:p>
        </w:tc>
        <w:tc>
          <w:tcPr>
            <w:tcW w:w="1869" w:type="dxa"/>
            <w:noWrap w:val="0"/>
            <w:vAlign w:val="center"/>
          </w:tcPr>
          <w:p w14:paraId="09A26A2F">
            <w:pPr>
              <w:pStyle w:val="3"/>
              <w:bidi w:val="0"/>
              <w:jc w:val="center"/>
              <w:rPr>
                <w:rFonts w:hint="eastAsia" w:ascii="宋体" w:hAnsi="宋体" w:eastAsia="宋体" w:cs="宋体"/>
                <w:color w:val="auto"/>
                <w:sz w:val="21"/>
                <w:szCs w:val="21"/>
                <w:highlight w:val="none"/>
                <w:lang w:val="en-US" w:eastAsia="zh-CN"/>
              </w:rPr>
            </w:pPr>
          </w:p>
        </w:tc>
      </w:tr>
      <w:tr w14:paraId="2565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45" w:hRule="atLeast"/>
        </w:trPr>
        <w:tc>
          <w:tcPr>
            <w:tcW w:w="714" w:type="dxa"/>
            <w:noWrap w:val="0"/>
            <w:vAlign w:val="center"/>
          </w:tcPr>
          <w:p w14:paraId="4A43F1D3">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w:t>
            </w:r>
          </w:p>
        </w:tc>
        <w:tc>
          <w:tcPr>
            <w:tcW w:w="1626" w:type="dxa"/>
            <w:gridSpan w:val="2"/>
            <w:noWrap w:val="0"/>
            <w:vAlign w:val="center"/>
          </w:tcPr>
          <w:p w14:paraId="260DD4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危险物品的生产经营单位未按照规定配备注册安全工程师</w:t>
            </w:r>
          </w:p>
        </w:tc>
        <w:tc>
          <w:tcPr>
            <w:tcW w:w="2981" w:type="dxa"/>
            <w:noWrap w:val="0"/>
            <w:vAlign w:val="center"/>
          </w:tcPr>
          <w:p w14:paraId="6EC86C2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违反条款：十四条第一款；</w:t>
            </w:r>
          </w:p>
          <w:p w14:paraId="2D84027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处罚条款：第三十七条， 责令改正，可以处5000元以上2万元以下罚款。</w:t>
            </w:r>
          </w:p>
        </w:tc>
        <w:tc>
          <w:tcPr>
            <w:tcW w:w="5946" w:type="dxa"/>
            <w:gridSpan w:val="6"/>
            <w:noWrap w:val="0"/>
            <w:vAlign w:val="center"/>
          </w:tcPr>
          <w:p w14:paraId="7D2DD7B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【裁量阶次】违反前款规定的违法行为，属于基础裁量C档，按照以下裁量阶次处以罚款：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1.从业人员在30人以下的矿山、金属冶炼、危险物品的生产经营单位违反本北京市生产经营单位安全生产主体责任规定第十四条第一款规定的，可以处5000元以上1万元以下的罚款；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 xml:space="preserve"> 2.从业人员在30人以上100人以下的矿山、金属冶炼、危险物品的生产经营单位违反本北京市生产经营单位安全生产主体责任规定第十四条第一款规定的，可以处1万元以上1.5万元以下的罚款；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3.从业人员在100人以上的矿山、金属冶炼、危险物品的生产经营单位违反本北京市生产经营单位安全生产主体责任规定第十四条第一款规定的，可以处1.5元以上2万元以下的罚款。</w:t>
            </w:r>
          </w:p>
        </w:tc>
        <w:tc>
          <w:tcPr>
            <w:tcW w:w="2016" w:type="dxa"/>
            <w:noWrap w:val="0"/>
            <w:vAlign w:val="center"/>
          </w:tcPr>
          <w:p w14:paraId="1E37A12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03427A66">
            <w:pPr>
              <w:keepNext w:val="0"/>
              <w:keepLines w:val="0"/>
              <w:pageBreakBefore w:val="0"/>
              <w:widowControl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5DE092B5">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869" w:type="dxa"/>
            <w:noWrap w:val="0"/>
            <w:vAlign w:val="center"/>
          </w:tcPr>
          <w:p w14:paraId="3E3623B6">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C4685700</w:t>
            </w:r>
          </w:p>
        </w:tc>
      </w:tr>
      <w:tr w14:paraId="56BE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459" w:hRule="atLeast"/>
        </w:trPr>
        <w:tc>
          <w:tcPr>
            <w:tcW w:w="714" w:type="dxa"/>
            <w:noWrap w:val="0"/>
            <w:vAlign w:val="center"/>
          </w:tcPr>
          <w:p w14:paraId="60820882">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w:t>
            </w:r>
          </w:p>
        </w:tc>
        <w:tc>
          <w:tcPr>
            <w:tcW w:w="1626" w:type="dxa"/>
            <w:gridSpan w:val="2"/>
            <w:noWrap w:val="0"/>
            <w:vAlign w:val="center"/>
          </w:tcPr>
          <w:p w14:paraId="4C69C6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进行爆破、吊装、挖掘、悬吊、建设工程拆除、油罐清洗等危险作业，以及在有限空间内作业、动火作业、高处作业、带电作业、临近高压输电线路作业，未制定作业方案，或未按照本单位内部批准权限审批，拒不改正</w:t>
            </w:r>
          </w:p>
        </w:tc>
        <w:tc>
          <w:tcPr>
            <w:tcW w:w="2981" w:type="dxa"/>
            <w:noWrap w:val="0"/>
            <w:vAlign w:val="center"/>
          </w:tcPr>
          <w:p w14:paraId="132B7BF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违反条款：第二十五条第一项；</w:t>
            </w:r>
          </w:p>
          <w:p w14:paraId="5A6FD18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处罚条款：第四十六条， 责令改正；拒不改正的，责令停产停业整顿，可以处2万元以上10万元以下罚款。</w:t>
            </w:r>
          </w:p>
        </w:tc>
        <w:tc>
          <w:tcPr>
            <w:tcW w:w="5946" w:type="dxa"/>
            <w:gridSpan w:val="6"/>
            <w:noWrap w:val="0"/>
            <w:vAlign w:val="center"/>
          </w:tcPr>
          <w:p w14:paraId="3BB586D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p>
          <w:p w14:paraId="640742C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【裁量阶次】违反前款规定的违法行为，属于基础裁量A档，按照以下裁量阶次处以罚款：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危险物品的生产、经营、储存、装卸单位以及矿山、金属冶炼、建筑施工、运输单位以外的生产经营单位进行爆破、吊装、挖掘、悬吊、建设工程拆除、油罐清洗等危险作业，以及在有限空间内作业、动火作业、高处作业、带电作业、临近高压输电线路作业时，制定了作业方案，但未按照本单位内部批准权限审批，拒不改正的，可以处2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危险物品的生产、经营、储存、装卸单位以及矿山、金属冶炼、建筑施工、运输单位以外的生产经营单位进行爆破、吊装、挖掘、悬吊、建设工程拆除、油罐清洗等危险作业，以及在有限空间内作业、动火作业、高处作业、带电作业、临近高压输电线路作业时，既未制定作业方案，也未按照本单位内部批准权限审批，拒不改正的，可以处4万元以上6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危险物品的生产、经营、储存、装卸单位以及矿山、金属冶炼、建筑施工、运输单位进行爆破、吊装、挖掘、悬吊、建设工程拆除、油罐清洗等危险作业，以及在有限空间内作业、动火作业、高处作业、带电作业、临近高压输电线路作业时，制定了作业方案，但未按照本单位内部批准权限审批，拒不改正的，可以处6万元以上8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4.危险物品的生产、经营、储存、装卸单位以及矿山、金属冶炼、建筑施工、运输单位进行爆破、吊装、挖掘、悬吊、建设工程拆除、油罐清洗等危险作业，以及在有限空间内作业、动火作业、高处作业、带电作业、临近高压输电线路作业时，既未制定作业方案，也未按照本单位内部批准权限审批，拒不改正的，可以处8万元以上10万元以下的罚款。</w:t>
            </w:r>
          </w:p>
        </w:tc>
        <w:tc>
          <w:tcPr>
            <w:tcW w:w="2016" w:type="dxa"/>
            <w:noWrap w:val="0"/>
            <w:vAlign w:val="center"/>
          </w:tcPr>
          <w:p w14:paraId="0E59BE4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14:paraId="2F961CE7">
            <w:pPr>
              <w:keepNext w:val="0"/>
              <w:keepLines w:val="0"/>
              <w:pageBreakBefore w:val="0"/>
              <w:widowControl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850E0E7">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14:paraId="23393A69">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C2357100</w:t>
            </w:r>
          </w:p>
        </w:tc>
      </w:tr>
      <w:tr w14:paraId="358CFC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After w:w="0" w:type="auto"/>
          <w:trHeight w:val="613" w:hRule="atLeast"/>
        </w:trPr>
        <w:tc>
          <w:tcPr>
            <w:tcW w:w="16725" w:type="dxa"/>
            <w:gridSpan w:val="15"/>
            <w:tcBorders>
              <w:top w:val="single" w:color="auto" w:sz="4" w:space="0"/>
              <w:left w:val="single" w:color="auto" w:sz="4" w:space="0"/>
              <w:bottom w:val="single" w:color="auto" w:sz="4" w:space="0"/>
              <w:right w:val="single" w:color="auto" w:sz="4" w:space="0"/>
            </w:tcBorders>
            <w:noWrap w:val="0"/>
            <w:vAlign w:val="center"/>
          </w:tcPr>
          <w:p w14:paraId="16147509">
            <w:pPr>
              <w:widowControl/>
              <w:jc w:val="center"/>
              <w:outlineLvl w:val="0"/>
              <w:rPr>
                <w:rFonts w:ascii="Times New Roman" w:hAnsi="Times New Roman" w:eastAsia="黑体" w:cs="Times New Roman"/>
                <w:color w:val="auto"/>
                <w:kern w:val="0"/>
                <w:sz w:val="28"/>
                <w:szCs w:val="28"/>
                <w:highlight w:val="none"/>
              </w:rPr>
            </w:pPr>
            <w:bookmarkStart w:id="197" w:name="_Toc1283790493"/>
            <w:bookmarkStart w:id="198" w:name="_Toc218468823"/>
            <w:r>
              <w:rPr>
                <w:rFonts w:hint="eastAsia" w:ascii="黑体" w:hAnsi="黑体" w:eastAsia="黑体" w:cs="黑体"/>
                <w:color w:val="auto"/>
                <w:kern w:val="0"/>
                <w:sz w:val="28"/>
                <w:szCs w:val="28"/>
                <w:highlight w:val="none"/>
              </w:rPr>
              <w:t>节约用水管理方面</w:t>
            </w:r>
            <w:bookmarkEnd w:id="197"/>
            <w:bookmarkEnd w:id="198"/>
          </w:p>
        </w:tc>
        <w:tc>
          <w:tcPr>
            <w:tcW w:w="236" w:type="dxa"/>
            <w:tcBorders>
              <w:top w:val="single" w:color="auto" w:sz="4" w:space="0"/>
              <w:left w:val="single" w:color="auto" w:sz="4" w:space="0"/>
              <w:bottom w:val="single" w:color="auto" w:sz="4" w:space="0"/>
              <w:right w:val="single" w:color="auto" w:sz="4" w:space="0"/>
            </w:tcBorders>
            <w:noWrap w:val="0"/>
            <w:vAlign w:val="center"/>
          </w:tcPr>
          <w:p w14:paraId="681A72D1">
            <w:pPr>
              <w:widowControl/>
              <w:jc w:val="center"/>
              <w:outlineLvl w:val="0"/>
              <w:rPr>
                <w:rFonts w:hint="eastAsia" w:ascii="黑体" w:hAnsi="黑体" w:eastAsia="黑体" w:cs="黑体"/>
                <w:color w:val="auto"/>
                <w:kern w:val="0"/>
                <w:sz w:val="28"/>
                <w:szCs w:val="28"/>
                <w:highlight w:val="none"/>
              </w:rPr>
            </w:pPr>
          </w:p>
        </w:tc>
      </w:tr>
      <w:tr w14:paraId="482299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After w:w="0" w:type="auto"/>
          <w:trHeight w:val="524" w:hRule="atLeast"/>
        </w:trPr>
        <w:tc>
          <w:tcPr>
            <w:tcW w:w="16725" w:type="dxa"/>
            <w:gridSpan w:val="15"/>
            <w:tcBorders>
              <w:top w:val="single" w:color="auto" w:sz="4" w:space="0"/>
              <w:left w:val="single" w:color="auto" w:sz="4" w:space="0"/>
              <w:bottom w:val="single" w:color="auto" w:sz="4" w:space="0"/>
              <w:right w:val="single" w:color="auto" w:sz="4" w:space="0"/>
            </w:tcBorders>
            <w:noWrap w:val="0"/>
            <w:vAlign w:val="center"/>
          </w:tcPr>
          <w:p w14:paraId="3F955C6F">
            <w:pPr>
              <w:widowControl/>
              <w:jc w:val="center"/>
              <w:outlineLvl w:val="1"/>
              <w:rPr>
                <w:rFonts w:hint="eastAsia" w:ascii="宋体" w:hAnsi="宋体" w:eastAsia="宋体" w:cs="宋体"/>
                <w:color w:val="auto"/>
                <w:kern w:val="0"/>
                <w:szCs w:val="21"/>
                <w:highlight w:val="none"/>
              </w:rPr>
            </w:pPr>
            <w:bookmarkStart w:id="199" w:name="_Toc63272418"/>
            <w:bookmarkStart w:id="200" w:name="_Toc218468824"/>
            <w:r>
              <w:rPr>
                <w:rFonts w:hint="eastAsia" w:ascii="宋体" w:hAnsi="宋体" w:eastAsia="宋体" w:cs="宋体"/>
                <w:b/>
                <w:bCs/>
                <w:color w:val="auto"/>
                <w:kern w:val="0"/>
                <w:szCs w:val="21"/>
                <w:highlight w:val="none"/>
              </w:rPr>
              <w:t>《中华人民共和国水法》《节约用水条例》案由4项</w:t>
            </w:r>
            <w:bookmarkEnd w:id="199"/>
            <w:bookmarkEnd w:id="200"/>
          </w:p>
        </w:tc>
        <w:tc>
          <w:tcPr>
            <w:tcW w:w="236" w:type="dxa"/>
            <w:tcBorders>
              <w:top w:val="single" w:color="auto" w:sz="4" w:space="0"/>
              <w:left w:val="single" w:color="auto" w:sz="4" w:space="0"/>
              <w:bottom w:val="single" w:color="auto" w:sz="4" w:space="0"/>
              <w:right w:val="single" w:color="auto" w:sz="4" w:space="0"/>
            </w:tcBorders>
            <w:noWrap w:val="0"/>
            <w:vAlign w:val="center"/>
          </w:tcPr>
          <w:p w14:paraId="0414A021">
            <w:pPr>
              <w:widowControl/>
              <w:jc w:val="center"/>
              <w:outlineLvl w:val="1"/>
              <w:rPr>
                <w:rFonts w:hint="eastAsia" w:ascii="宋体" w:hAnsi="宋体" w:eastAsia="宋体" w:cs="宋体"/>
                <w:b/>
                <w:bCs/>
                <w:color w:val="auto"/>
                <w:kern w:val="0"/>
                <w:szCs w:val="21"/>
                <w:highlight w:val="none"/>
              </w:rPr>
            </w:pPr>
          </w:p>
        </w:tc>
      </w:tr>
      <w:tr w14:paraId="57EC48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6AA0B1F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7AB4FF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建设项目的节水设施没有建成或者没有达到国家规定的要求，擅自投入使用</w:t>
            </w:r>
          </w:p>
        </w:tc>
        <w:tc>
          <w:tcPr>
            <w:tcW w:w="2981" w:type="dxa"/>
            <w:tcBorders>
              <w:top w:val="nil"/>
              <w:left w:val="nil"/>
              <w:bottom w:val="single" w:color="auto" w:sz="4" w:space="0"/>
              <w:right w:val="single" w:color="auto" w:sz="4" w:space="0"/>
            </w:tcBorders>
            <w:noWrap w:val="0"/>
            <w:vAlign w:val="center"/>
          </w:tcPr>
          <w:p w14:paraId="0D7B13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违反条款：《水法》第五十三条；《条例》第十九条；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处罚条款：《水法》第七十一条，责令停止使用，限期改正，处五万元以上十万元以下的罚款；《条例》第四十七条，依照《水法》有关规定给予处罚。</w:t>
            </w:r>
          </w:p>
        </w:tc>
        <w:tc>
          <w:tcPr>
            <w:tcW w:w="851" w:type="dxa"/>
            <w:tcBorders>
              <w:top w:val="nil"/>
              <w:left w:val="nil"/>
              <w:bottom w:val="single" w:color="auto" w:sz="4" w:space="0"/>
              <w:right w:val="single" w:color="auto" w:sz="4" w:space="0"/>
            </w:tcBorders>
            <w:noWrap w:val="0"/>
            <w:vAlign w:val="center"/>
          </w:tcPr>
          <w:p w14:paraId="367FE82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27E3779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A05AC9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60天或累计用水量＜5000立方米，系数为0；2.60天≤违法行为持续时间＜180天或5000立方米≤累计用水量＜10000立方米，系数为0.5；3.180天≤违法行为持续时间或10000立方米≤累计用水量，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F9E4A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28A5E8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167A97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C52C26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C2302000</w:t>
            </w:r>
          </w:p>
        </w:tc>
      </w:tr>
      <w:tr w14:paraId="255281A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1108712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3E8200E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侵占、损毁、擅自移动用水计量设施，或者干扰用水计量</w:t>
            </w:r>
          </w:p>
        </w:tc>
        <w:tc>
          <w:tcPr>
            <w:tcW w:w="2981" w:type="dxa"/>
            <w:tcBorders>
              <w:top w:val="nil"/>
              <w:left w:val="nil"/>
              <w:bottom w:val="single" w:color="auto" w:sz="4" w:space="0"/>
              <w:right w:val="single" w:color="auto" w:sz="4" w:space="0"/>
            </w:tcBorders>
            <w:noWrap w:val="0"/>
            <w:vAlign w:val="center"/>
          </w:tcPr>
          <w:p w14:paraId="6C56F92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违反条款：《条例》第十四条第三款；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处罚条款：《条例》第四十六条，责令停止违法行为，限期采取补救措施，处1万元以上10万元以下的罚款；造成损失的，依法承担赔偿责任。</w:t>
            </w:r>
          </w:p>
        </w:tc>
        <w:tc>
          <w:tcPr>
            <w:tcW w:w="851" w:type="dxa"/>
            <w:tcBorders>
              <w:top w:val="nil"/>
              <w:left w:val="nil"/>
              <w:bottom w:val="single" w:color="auto" w:sz="4" w:space="0"/>
              <w:right w:val="single" w:color="auto" w:sz="4" w:space="0"/>
            </w:tcBorders>
            <w:noWrap w:val="0"/>
            <w:vAlign w:val="center"/>
          </w:tcPr>
          <w:p w14:paraId="6E46767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05534AB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5EA384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违法行为持续时间＜60天，系数为0；2.100立方米≤日用水量＜200立方米或60天≤违法行为持续时间＜120天，系数为2；3.200立方米≤日用水量＜300立方米或120天≤违法行为持续时间＜150天，系数为4；4.300立方米≤日用水量＜500立方米或150天≤违法行为持续时间＜180天，系数为6；5.500立方米≤日用水量或180天≤违法行为持续时间，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586ED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4DFB957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3E8AC9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44C53B6">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C2359700</w:t>
            </w:r>
          </w:p>
        </w:tc>
      </w:tr>
      <w:tr w14:paraId="70EF03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940" w:hRule="atLeast"/>
        </w:trPr>
        <w:tc>
          <w:tcPr>
            <w:tcW w:w="716" w:type="dxa"/>
            <w:gridSpan w:val="2"/>
            <w:vMerge w:val="restart"/>
            <w:tcBorders>
              <w:top w:val="nil"/>
              <w:left w:val="single" w:color="auto" w:sz="4" w:space="0"/>
              <w:right w:val="single" w:color="auto" w:sz="4" w:space="0"/>
            </w:tcBorders>
            <w:noWrap w:val="0"/>
            <w:vAlign w:val="center"/>
          </w:tcPr>
          <w:p w14:paraId="57E80C3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 </w:t>
            </w:r>
          </w:p>
        </w:tc>
        <w:tc>
          <w:tcPr>
            <w:tcW w:w="1624" w:type="dxa"/>
            <w:vMerge w:val="restart"/>
            <w:tcBorders>
              <w:top w:val="nil"/>
              <w:left w:val="nil"/>
              <w:right w:val="single" w:color="auto" w:sz="4" w:space="0"/>
            </w:tcBorders>
            <w:noWrap w:val="0"/>
            <w:vAlign w:val="center"/>
          </w:tcPr>
          <w:p w14:paraId="5A04BFB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工业企业的生产设备冷却水、空调冷却水、锅炉冷凝水未回收利用</w:t>
            </w:r>
          </w:p>
        </w:tc>
        <w:tc>
          <w:tcPr>
            <w:tcW w:w="2981" w:type="dxa"/>
            <w:vMerge w:val="restart"/>
            <w:tcBorders>
              <w:top w:val="nil"/>
              <w:left w:val="nil"/>
              <w:right w:val="single" w:color="auto" w:sz="4" w:space="0"/>
            </w:tcBorders>
            <w:noWrap w:val="0"/>
            <w:vAlign w:val="center"/>
          </w:tcPr>
          <w:p w14:paraId="319635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处罚条款：《条例》第四十九条，责令改正，可以处5万元以下的罚款；拒不改正的，处5万元以上10万元以下的罚款。</w:t>
            </w:r>
          </w:p>
        </w:tc>
        <w:tc>
          <w:tcPr>
            <w:tcW w:w="851" w:type="dxa"/>
            <w:tcBorders>
              <w:top w:val="nil"/>
              <w:left w:val="nil"/>
              <w:bottom w:val="single" w:color="auto" w:sz="4" w:space="0"/>
              <w:right w:val="single" w:color="auto" w:sz="4" w:space="0"/>
            </w:tcBorders>
            <w:noWrap w:val="0"/>
            <w:vAlign w:val="center"/>
          </w:tcPr>
          <w:p w14:paraId="40AF33DE">
            <w:pPr>
              <w:widowControl/>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w:t>
            </w:r>
          </w:p>
        </w:tc>
        <w:tc>
          <w:tcPr>
            <w:tcW w:w="840" w:type="dxa"/>
            <w:tcBorders>
              <w:top w:val="nil"/>
              <w:left w:val="nil"/>
              <w:bottom w:val="single" w:color="auto" w:sz="4" w:space="0"/>
              <w:right w:val="single" w:color="auto" w:sz="4" w:space="0"/>
            </w:tcBorders>
            <w:noWrap w:val="0"/>
            <w:vAlign w:val="center"/>
          </w:tcPr>
          <w:p w14:paraId="6DCCE39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38DE2AD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处以下罚款：1.日用水量＜400立方米或工业企业建筑面积＜3000平方米，系数为0；2.400立方米≤日用水量＜600立方米或3000平方米≤工业企业建筑面积＜5000平方米，系数为2；3.600立方米≤日用水量＜800立方米或5000平方米≤工业企业建筑面积＜7000平方米，系数为4；4.800立方米≤日用水量＜1000立方米或7000平方米≤工业企业建筑面积＜10000平方米，系数为6；5.1000立方米≤日用水量或10000平方米≤工业企业建筑面积，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81B5C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000×（1+情节系数）</w:t>
            </w:r>
          </w:p>
        </w:tc>
        <w:tc>
          <w:tcPr>
            <w:tcW w:w="2016" w:type="dxa"/>
            <w:tcBorders>
              <w:top w:val="nil"/>
              <w:left w:val="nil"/>
              <w:bottom w:val="single" w:color="auto" w:sz="4" w:space="0"/>
              <w:right w:val="single" w:color="auto" w:sz="4" w:space="0"/>
            </w:tcBorders>
            <w:noWrap w:val="0"/>
            <w:vAlign w:val="center"/>
          </w:tcPr>
          <w:p w14:paraId="0031D2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val="en-US" w:eastAsia="zh-CN"/>
              </w:rPr>
              <w:t>5000</w:t>
            </w:r>
            <w:r>
              <w:rPr>
                <w:rFonts w:hint="eastAsia" w:ascii="宋体" w:hAnsi="宋体" w:eastAsia="宋体" w:cs="宋体"/>
                <w:color w:val="auto"/>
                <w:kern w:val="0"/>
                <w:sz w:val="15"/>
                <w:szCs w:val="15"/>
                <w:highlight w:val="none"/>
              </w:rPr>
              <w:t>元以下罚款决定的，</w:t>
            </w:r>
            <w:r>
              <w:rPr>
                <w:rFonts w:hint="eastAsia" w:ascii="宋体" w:hAnsi="宋体" w:eastAsia="宋体" w:cs="宋体"/>
                <w:color w:val="auto"/>
                <w:kern w:val="0"/>
                <w:sz w:val="15"/>
                <w:szCs w:val="15"/>
                <w:highlight w:val="none"/>
                <w:lang w:eastAsia="zh-CN"/>
              </w:rPr>
              <w:t>由执法人员在案卷中说明理由，并报案审会决定。</w:t>
            </w:r>
          </w:p>
        </w:tc>
        <w:tc>
          <w:tcPr>
            <w:tcW w:w="1304" w:type="dxa"/>
            <w:gridSpan w:val="2"/>
            <w:tcBorders>
              <w:top w:val="nil"/>
              <w:left w:val="nil"/>
              <w:bottom w:val="single" w:color="auto" w:sz="4" w:space="0"/>
              <w:right w:val="single" w:color="auto" w:sz="4" w:space="0"/>
            </w:tcBorders>
            <w:noWrap w:val="0"/>
            <w:vAlign w:val="center"/>
          </w:tcPr>
          <w:p w14:paraId="67A39E5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DFA801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C2359800</w:t>
            </w:r>
          </w:p>
        </w:tc>
      </w:tr>
      <w:tr w14:paraId="7782010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900" w:hRule="atLeast"/>
        </w:trPr>
        <w:tc>
          <w:tcPr>
            <w:tcW w:w="716" w:type="dxa"/>
            <w:gridSpan w:val="2"/>
            <w:vMerge w:val="continue"/>
            <w:tcBorders>
              <w:left w:val="single" w:color="auto" w:sz="4" w:space="0"/>
              <w:bottom w:val="single" w:color="auto" w:sz="4" w:space="0"/>
              <w:right w:val="single" w:color="auto" w:sz="4" w:space="0"/>
            </w:tcBorders>
            <w:noWrap w:val="0"/>
            <w:vAlign w:val="center"/>
          </w:tcPr>
          <w:p w14:paraId="57BA09D2">
            <w:pPr>
              <w:widowControl/>
              <w:jc w:val="center"/>
              <w:rPr>
                <w:rFonts w:hint="eastAsia" w:ascii="宋体" w:hAnsi="宋体" w:eastAsia="宋体" w:cs="宋体"/>
                <w:color w:val="auto"/>
                <w:kern w:val="0"/>
                <w:sz w:val="15"/>
                <w:szCs w:val="15"/>
                <w:highlight w:val="none"/>
              </w:rPr>
            </w:pPr>
          </w:p>
        </w:tc>
        <w:tc>
          <w:tcPr>
            <w:tcW w:w="1624" w:type="dxa"/>
            <w:vMerge w:val="continue"/>
            <w:tcBorders>
              <w:left w:val="nil"/>
              <w:bottom w:val="single" w:color="auto" w:sz="4" w:space="0"/>
              <w:right w:val="single" w:color="auto" w:sz="4" w:space="0"/>
            </w:tcBorders>
            <w:noWrap w:val="0"/>
            <w:vAlign w:val="center"/>
          </w:tcPr>
          <w:p w14:paraId="141A8835">
            <w:pPr>
              <w:widowControl/>
              <w:jc w:val="left"/>
              <w:rPr>
                <w:rFonts w:hint="eastAsia" w:ascii="宋体" w:hAnsi="宋体" w:eastAsia="宋体" w:cs="宋体"/>
                <w:color w:val="auto"/>
                <w:kern w:val="0"/>
                <w:sz w:val="15"/>
                <w:szCs w:val="15"/>
                <w:highlight w:val="none"/>
              </w:rPr>
            </w:pPr>
          </w:p>
        </w:tc>
        <w:tc>
          <w:tcPr>
            <w:tcW w:w="2981" w:type="dxa"/>
            <w:vMerge w:val="continue"/>
            <w:tcBorders>
              <w:left w:val="nil"/>
              <w:bottom w:val="single" w:color="auto" w:sz="4" w:space="0"/>
              <w:right w:val="single" w:color="auto" w:sz="4" w:space="0"/>
            </w:tcBorders>
            <w:noWrap w:val="0"/>
            <w:vAlign w:val="center"/>
          </w:tcPr>
          <w:p w14:paraId="02D3D2D6">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5ECC768D">
            <w:pPr>
              <w:widowControl/>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50000</w:t>
            </w:r>
          </w:p>
        </w:tc>
        <w:tc>
          <w:tcPr>
            <w:tcW w:w="840" w:type="dxa"/>
            <w:tcBorders>
              <w:top w:val="nil"/>
              <w:left w:val="nil"/>
              <w:bottom w:val="single" w:color="auto" w:sz="4" w:space="0"/>
              <w:right w:val="single" w:color="auto" w:sz="4" w:space="0"/>
            </w:tcBorders>
            <w:noWrap w:val="0"/>
            <w:vAlign w:val="center"/>
          </w:tcPr>
          <w:p w14:paraId="6F9641BA">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2376" w:type="dxa"/>
            <w:tcBorders>
              <w:top w:val="nil"/>
              <w:left w:val="nil"/>
              <w:bottom w:val="single" w:color="auto" w:sz="4" w:space="0"/>
              <w:right w:val="single" w:color="auto" w:sz="4" w:space="0"/>
            </w:tcBorders>
            <w:noWrap w:val="0"/>
            <w:vAlign w:val="center"/>
          </w:tcPr>
          <w:p w14:paraId="10236B0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改正的，处以下罚款：1.日用水量＜400立方米或工业企业建筑面积＜3000平方米，系数为0；2.400立方米≤日用水量＜1000立方米或3000平方米≤工业企业建筑面积＜10000平方米，系数为0.5；3.1000立方米≤日用水量或10000平方米≤工业企业建筑面积，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14BC66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0000×（1+情节系数）</w:t>
            </w:r>
          </w:p>
        </w:tc>
        <w:tc>
          <w:tcPr>
            <w:tcW w:w="2016" w:type="dxa"/>
            <w:tcBorders>
              <w:top w:val="nil"/>
              <w:left w:val="nil"/>
              <w:bottom w:val="single" w:color="auto" w:sz="4" w:space="0"/>
              <w:right w:val="single" w:color="auto" w:sz="4" w:space="0"/>
            </w:tcBorders>
            <w:noWrap w:val="0"/>
            <w:vAlign w:val="center"/>
          </w:tcPr>
          <w:p w14:paraId="541A2272">
            <w:pPr>
              <w:widowControl/>
              <w:jc w:val="left"/>
              <w:rPr>
                <w:rFonts w:hint="eastAsia" w:ascii="宋体" w:hAnsi="宋体" w:eastAsia="宋体" w:cs="宋体"/>
                <w:color w:val="auto"/>
                <w:kern w:val="0"/>
                <w:sz w:val="15"/>
                <w:szCs w:val="15"/>
                <w:highlight w:val="none"/>
              </w:rPr>
            </w:pPr>
          </w:p>
        </w:tc>
        <w:tc>
          <w:tcPr>
            <w:tcW w:w="1304" w:type="dxa"/>
            <w:gridSpan w:val="2"/>
            <w:tcBorders>
              <w:top w:val="nil"/>
              <w:left w:val="nil"/>
              <w:bottom w:val="single" w:color="auto" w:sz="4" w:space="0"/>
              <w:right w:val="single" w:color="auto" w:sz="4" w:space="0"/>
            </w:tcBorders>
            <w:noWrap w:val="0"/>
            <w:vAlign w:val="center"/>
          </w:tcPr>
          <w:p w14:paraId="12271720">
            <w:pPr>
              <w:widowControl/>
              <w:jc w:val="center"/>
              <w:rPr>
                <w:rFonts w:hint="eastAsia" w:ascii="宋体" w:hAnsi="宋体" w:eastAsia="宋体" w:cs="宋体"/>
                <w:color w:val="auto"/>
                <w:kern w:val="0"/>
                <w:sz w:val="15"/>
                <w:szCs w:val="15"/>
                <w:highlight w:val="none"/>
                <w:lang w:eastAsia="zh-CN"/>
              </w:rPr>
            </w:pPr>
          </w:p>
        </w:tc>
        <w:tc>
          <w:tcPr>
            <w:tcW w:w="1869" w:type="dxa"/>
            <w:tcBorders>
              <w:top w:val="nil"/>
              <w:left w:val="nil"/>
              <w:bottom w:val="single" w:color="auto" w:sz="4" w:space="0"/>
              <w:right w:val="single" w:color="auto" w:sz="4" w:space="0"/>
            </w:tcBorders>
            <w:noWrap w:val="0"/>
            <w:vAlign w:val="center"/>
          </w:tcPr>
          <w:p w14:paraId="40D6E44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C2359800</w:t>
            </w:r>
          </w:p>
        </w:tc>
      </w:tr>
      <w:tr w14:paraId="5789276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136" w:hRule="atLeast"/>
        </w:trPr>
        <w:tc>
          <w:tcPr>
            <w:tcW w:w="716" w:type="dxa"/>
            <w:gridSpan w:val="2"/>
            <w:vMerge w:val="restart"/>
            <w:tcBorders>
              <w:top w:val="nil"/>
              <w:left w:val="single" w:color="auto" w:sz="4" w:space="0"/>
              <w:bottom w:val="single" w:color="auto" w:sz="4" w:space="0"/>
              <w:right w:val="single" w:color="auto" w:sz="4" w:space="0"/>
            </w:tcBorders>
            <w:noWrap w:val="0"/>
            <w:vAlign w:val="center"/>
          </w:tcPr>
          <w:p w14:paraId="4AB48E1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vMerge w:val="restart"/>
            <w:tcBorders>
              <w:top w:val="nil"/>
              <w:left w:val="single" w:color="auto" w:sz="4" w:space="0"/>
              <w:bottom w:val="single" w:color="auto" w:sz="4" w:space="0"/>
              <w:right w:val="single" w:color="auto" w:sz="4" w:space="0"/>
            </w:tcBorders>
            <w:noWrap w:val="0"/>
            <w:vAlign w:val="center"/>
          </w:tcPr>
          <w:p w14:paraId="28379F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对高耗水工业企业用水水平超过用水定额，未在规定的期限内进行节水改造</w:t>
            </w:r>
          </w:p>
        </w:tc>
        <w:tc>
          <w:tcPr>
            <w:tcW w:w="2981" w:type="dxa"/>
            <w:vMerge w:val="restart"/>
            <w:tcBorders>
              <w:top w:val="nil"/>
              <w:left w:val="single" w:color="auto" w:sz="4" w:space="0"/>
              <w:bottom w:val="single" w:color="auto" w:sz="4" w:space="0"/>
              <w:right w:val="single" w:color="auto" w:sz="4" w:space="0"/>
            </w:tcBorders>
            <w:noWrap w:val="0"/>
            <w:vAlign w:val="center"/>
          </w:tcPr>
          <w:p w14:paraId="0FA89E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处罚条款：《条例》第四十八条，责令改正，可以处10万元以下的罚款；拒不改正的，处10万元以上50万元以下的罚款，情节严重的，采取限制用水措施或者吊销其取水许可证。</w:t>
            </w:r>
          </w:p>
        </w:tc>
        <w:tc>
          <w:tcPr>
            <w:tcW w:w="851" w:type="dxa"/>
            <w:tcBorders>
              <w:top w:val="nil"/>
              <w:left w:val="nil"/>
              <w:bottom w:val="single" w:color="auto" w:sz="4" w:space="0"/>
              <w:right w:val="single" w:color="auto" w:sz="4" w:space="0"/>
            </w:tcBorders>
            <w:noWrap w:val="0"/>
            <w:vAlign w:val="center"/>
          </w:tcPr>
          <w:p w14:paraId="3FE4042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015D41E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15EBC1E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处以下罚款：1.企业用水水平超过用水定额＜50%，系数为0；2.50%≤企业用水水平超过用水定额＜90%，系数为2；3.90%≤企业用水水平超过用水定额＜120%，系数为4；4.120%≤企业用水水平超过用水定额＜150%，系数为6；5.150%≤企业用水水平超过用水定额＜180%，系数为8；6.180%≤企业用水水平超过用水定额，系数为9。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86E0A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6C0C657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（一）拒不改正且企业用水水平超过用水定额＞100%，视为情节严重。拟作出限制用水措施或吊销取水许可证的，在作出处罚决定前，要邀请行业主管部门共同会商。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3C2EE8A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44B9215C">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C2359900</w:t>
            </w:r>
          </w:p>
        </w:tc>
      </w:tr>
      <w:tr w14:paraId="4B0025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3015"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5DB634D3">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7F418121">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3FE86EC2">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37056FF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14:paraId="4E7CAE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0895D2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拒不改正的，处以下罚款：1.企业用水水平超过用水定额＜50%，系数为0；2.50%≤企业用水水平超过用水定额＜70%，系数为0.5；3.70%≤企业用水水平超过用水定额＜90%，系数为1；4.90%≤企业用水水平超过用水定额＜110%，系数为1.5；5.110%≤企业用水水平超过用水定额＜130%，系数为2；6.130%≤企业用水水平超过用水定额＜150%，系数为2.5；7.150%≤企业用水水平超过用水定额＜170%，系数为3；8.170%≤企业用水水平超过用水定额＜190%，系数为3.5；9.190%≤企业用水水平超过用水定额，系数为4；10.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3B389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12E60FC6">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473E7FDB">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02C49C60">
            <w:pPr>
              <w:widowControl/>
              <w:jc w:val="center"/>
              <w:rPr>
                <w:rFonts w:hint="eastAsia" w:ascii="宋体" w:hAnsi="宋体" w:eastAsia="宋体" w:cs="宋体"/>
                <w:color w:val="auto"/>
                <w:kern w:val="0"/>
                <w:sz w:val="15"/>
                <w:szCs w:val="15"/>
                <w:highlight w:val="none"/>
              </w:rPr>
            </w:pPr>
          </w:p>
        </w:tc>
      </w:tr>
      <w:tr w14:paraId="6BAA84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After w:w="0" w:type="auto"/>
          <w:trHeight w:val="514" w:hRule="atLeast"/>
        </w:trPr>
        <w:tc>
          <w:tcPr>
            <w:tcW w:w="16725" w:type="dxa"/>
            <w:gridSpan w:val="15"/>
            <w:tcBorders>
              <w:top w:val="nil"/>
              <w:left w:val="single" w:color="auto" w:sz="4" w:space="0"/>
              <w:bottom w:val="single" w:color="auto" w:sz="4" w:space="0"/>
              <w:right w:val="single" w:color="auto" w:sz="4" w:space="0"/>
            </w:tcBorders>
            <w:noWrap w:val="0"/>
            <w:vAlign w:val="center"/>
          </w:tcPr>
          <w:p w14:paraId="245306D0">
            <w:pPr>
              <w:widowControl/>
              <w:jc w:val="center"/>
              <w:outlineLvl w:val="1"/>
              <w:rPr>
                <w:rFonts w:hint="eastAsia" w:ascii="宋体" w:hAnsi="宋体" w:eastAsia="宋体" w:cs="宋体"/>
                <w:color w:val="auto"/>
                <w:kern w:val="0"/>
                <w:szCs w:val="21"/>
                <w:highlight w:val="none"/>
              </w:rPr>
            </w:pPr>
            <w:bookmarkStart w:id="201" w:name="_Toc122322676"/>
            <w:bookmarkStart w:id="202" w:name="_Toc218468825"/>
            <w:r>
              <w:rPr>
                <w:rFonts w:hint="eastAsia" w:ascii="宋体" w:hAnsi="宋体" w:eastAsia="宋体" w:cs="宋体"/>
                <w:b/>
                <w:bCs/>
                <w:color w:val="auto"/>
                <w:kern w:val="0"/>
                <w:szCs w:val="21"/>
                <w:highlight w:val="none"/>
              </w:rPr>
              <w:t>《城市房屋便器水箱应用监督管理办法》案由4项</w:t>
            </w:r>
            <w:bookmarkEnd w:id="201"/>
            <w:bookmarkEnd w:id="202"/>
          </w:p>
        </w:tc>
        <w:tc>
          <w:tcPr>
            <w:tcW w:w="236" w:type="dxa"/>
            <w:tcBorders>
              <w:top w:val="nil"/>
              <w:left w:val="single" w:color="auto" w:sz="4" w:space="0"/>
              <w:bottom w:val="single" w:color="auto" w:sz="4" w:space="0"/>
              <w:right w:val="single" w:color="auto" w:sz="4" w:space="0"/>
            </w:tcBorders>
            <w:noWrap w:val="0"/>
            <w:vAlign w:val="center"/>
          </w:tcPr>
          <w:p w14:paraId="4C308D2A">
            <w:pPr>
              <w:widowControl/>
              <w:jc w:val="center"/>
              <w:outlineLvl w:val="1"/>
              <w:rPr>
                <w:rFonts w:hint="eastAsia" w:ascii="宋体" w:hAnsi="宋体" w:eastAsia="宋体" w:cs="宋体"/>
                <w:b/>
                <w:bCs/>
                <w:color w:val="auto"/>
                <w:kern w:val="0"/>
                <w:szCs w:val="21"/>
                <w:highlight w:val="none"/>
              </w:rPr>
            </w:pPr>
          </w:p>
        </w:tc>
      </w:tr>
      <w:tr w14:paraId="0E0595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2F91AB1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6E4023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将安装有淘汰便器水箱和配件的新建房屋验收交付使用</w:t>
            </w:r>
          </w:p>
        </w:tc>
        <w:tc>
          <w:tcPr>
            <w:tcW w:w="2981" w:type="dxa"/>
            <w:tcBorders>
              <w:top w:val="nil"/>
              <w:left w:val="nil"/>
              <w:bottom w:val="single" w:color="auto" w:sz="4" w:space="0"/>
              <w:right w:val="single" w:color="auto" w:sz="4" w:space="0"/>
            </w:tcBorders>
            <w:noWrap w:val="0"/>
            <w:vAlign w:val="center"/>
          </w:tcPr>
          <w:p w14:paraId="24CEE2F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处罚条款：第九条第一款第（一）项，责令限期改正，并可按每套便器水箱配件处以30-100元的罚款，最高不超过30000元。</w:t>
            </w:r>
          </w:p>
        </w:tc>
        <w:tc>
          <w:tcPr>
            <w:tcW w:w="851" w:type="dxa"/>
            <w:tcBorders>
              <w:top w:val="nil"/>
              <w:left w:val="nil"/>
              <w:bottom w:val="single" w:color="auto" w:sz="4" w:space="0"/>
              <w:right w:val="single" w:color="auto" w:sz="4" w:space="0"/>
            </w:tcBorders>
            <w:noWrap w:val="0"/>
            <w:vAlign w:val="center"/>
          </w:tcPr>
          <w:p w14:paraId="3928296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14:paraId="5813EC9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241AA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8821A8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2016" w:type="dxa"/>
            <w:tcBorders>
              <w:top w:val="nil"/>
              <w:left w:val="nil"/>
              <w:bottom w:val="single" w:color="auto" w:sz="4" w:space="0"/>
              <w:right w:val="single" w:color="auto" w:sz="4" w:space="0"/>
            </w:tcBorders>
            <w:noWrap w:val="0"/>
            <w:vAlign w:val="center"/>
          </w:tcPr>
          <w:p w14:paraId="145AD2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314A4B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0B7490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C2341900</w:t>
            </w:r>
          </w:p>
        </w:tc>
      </w:tr>
      <w:tr w14:paraId="79A53F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6EC854E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2F213D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未按更新改造计划更换淘汰便器水箱和配件</w:t>
            </w:r>
          </w:p>
        </w:tc>
        <w:tc>
          <w:tcPr>
            <w:tcW w:w="2981" w:type="dxa"/>
            <w:tcBorders>
              <w:top w:val="nil"/>
              <w:left w:val="nil"/>
              <w:bottom w:val="single" w:color="auto" w:sz="4" w:space="0"/>
              <w:right w:val="single" w:color="auto" w:sz="4" w:space="0"/>
            </w:tcBorders>
            <w:noWrap w:val="0"/>
            <w:vAlign w:val="center"/>
          </w:tcPr>
          <w:p w14:paraId="6190172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处罚条款：第九条第一款第（二）项，责令限期改正，并可按每套便器水箱配件处以30-100元的罚款，最高不超过30000元。</w:t>
            </w:r>
          </w:p>
        </w:tc>
        <w:tc>
          <w:tcPr>
            <w:tcW w:w="851" w:type="dxa"/>
            <w:tcBorders>
              <w:top w:val="nil"/>
              <w:left w:val="nil"/>
              <w:bottom w:val="single" w:color="auto" w:sz="4" w:space="0"/>
              <w:right w:val="single" w:color="auto" w:sz="4" w:space="0"/>
            </w:tcBorders>
            <w:noWrap w:val="0"/>
            <w:vAlign w:val="center"/>
          </w:tcPr>
          <w:p w14:paraId="38D9E49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14:paraId="08B3431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74178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C67FF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2016" w:type="dxa"/>
            <w:tcBorders>
              <w:top w:val="nil"/>
              <w:left w:val="nil"/>
              <w:bottom w:val="single" w:color="auto" w:sz="4" w:space="0"/>
              <w:right w:val="single" w:color="auto" w:sz="4" w:space="0"/>
            </w:tcBorders>
            <w:noWrap w:val="0"/>
            <w:vAlign w:val="center"/>
          </w:tcPr>
          <w:p w14:paraId="2FD3D8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14C57B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C3ED68D">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C2342000</w:t>
            </w:r>
          </w:p>
        </w:tc>
      </w:tr>
      <w:tr w14:paraId="77BBD6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701E045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50838A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在限定的期限内未更换淘汰便器水箱和配件</w:t>
            </w:r>
          </w:p>
        </w:tc>
        <w:tc>
          <w:tcPr>
            <w:tcW w:w="2981" w:type="dxa"/>
            <w:tcBorders>
              <w:top w:val="nil"/>
              <w:left w:val="nil"/>
              <w:bottom w:val="single" w:color="auto" w:sz="4" w:space="0"/>
              <w:right w:val="single" w:color="auto" w:sz="4" w:space="0"/>
            </w:tcBorders>
            <w:noWrap w:val="0"/>
            <w:vAlign w:val="center"/>
          </w:tcPr>
          <w:p w14:paraId="141775B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处罚条款：第九条第一款第（三）项，责令限期改正，并可按每套便器水箱配件处以30-100元的罚款，最高不超过30000元。</w:t>
            </w:r>
          </w:p>
        </w:tc>
        <w:tc>
          <w:tcPr>
            <w:tcW w:w="851" w:type="dxa"/>
            <w:tcBorders>
              <w:top w:val="nil"/>
              <w:left w:val="nil"/>
              <w:bottom w:val="single" w:color="auto" w:sz="4" w:space="0"/>
              <w:right w:val="single" w:color="auto" w:sz="4" w:space="0"/>
            </w:tcBorders>
            <w:noWrap w:val="0"/>
            <w:vAlign w:val="center"/>
          </w:tcPr>
          <w:p w14:paraId="7FA73C7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14:paraId="13A5623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43E97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5E1BD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2016" w:type="dxa"/>
            <w:tcBorders>
              <w:top w:val="nil"/>
              <w:left w:val="nil"/>
              <w:bottom w:val="single" w:color="auto" w:sz="4" w:space="0"/>
              <w:right w:val="single" w:color="auto" w:sz="4" w:space="0"/>
            </w:tcBorders>
            <w:noWrap w:val="0"/>
            <w:vAlign w:val="center"/>
          </w:tcPr>
          <w:p w14:paraId="362B857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CBE379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987B8F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C2342100</w:t>
            </w:r>
          </w:p>
        </w:tc>
      </w:tr>
      <w:tr w14:paraId="54F562F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10D30F1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4AFB2D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漏水严重的房屋便器水箱和配件未按期进行维修或者更新</w:t>
            </w:r>
          </w:p>
        </w:tc>
        <w:tc>
          <w:tcPr>
            <w:tcW w:w="2981" w:type="dxa"/>
            <w:tcBorders>
              <w:top w:val="nil"/>
              <w:left w:val="nil"/>
              <w:bottom w:val="single" w:color="auto" w:sz="4" w:space="0"/>
              <w:right w:val="single" w:color="auto" w:sz="4" w:space="0"/>
            </w:tcBorders>
            <w:noWrap w:val="0"/>
            <w:vAlign w:val="center"/>
          </w:tcPr>
          <w:p w14:paraId="6B1A230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处罚条款：第九条第一款第（四）项，责令限期改正，并可按每套便器水箱配件处以30-100元的罚款，最高不超过30000元。</w:t>
            </w:r>
          </w:p>
        </w:tc>
        <w:tc>
          <w:tcPr>
            <w:tcW w:w="851" w:type="dxa"/>
            <w:tcBorders>
              <w:top w:val="nil"/>
              <w:left w:val="nil"/>
              <w:bottom w:val="single" w:color="auto" w:sz="4" w:space="0"/>
              <w:right w:val="single" w:color="auto" w:sz="4" w:space="0"/>
            </w:tcBorders>
            <w:noWrap w:val="0"/>
            <w:vAlign w:val="center"/>
          </w:tcPr>
          <w:p w14:paraId="38BAD7E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14:paraId="3D06686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6ED11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F0332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2016" w:type="dxa"/>
            <w:tcBorders>
              <w:top w:val="nil"/>
              <w:left w:val="nil"/>
              <w:bottom w:val="single" w:color="auto" w:sz="4" w:space="0"/>
              <w:right w:val="single" w:color="auto" w:sz="4" w:space="0"/>
            </w:tcBorders>
            <w:noWrap w:val="0"/>
            <w:vAlign w:val="center"/>
          </w:tcPr>
          <w:p w14:paraId="1D7F325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9589C8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85F28B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C2342200</w:t>
            </w:r>
          </w:p>
        </w:tc>
      </w:tr>
      <w:tr w14:paraId="0F63660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After w:w="0" w:type="auto"/>
          <w:trHeight w:val="283" w:hRule="atLeast"/>
        </w:trPr>
        <w:tc>
          <w:tcPr>
            <w:tcW w:w="16725" w:type="dxa"/>
            <w:gridSpan w:val="15"/>
            <w:tcBorders>
              <w:top w:val="nil"/>
              <w:left w:val="single" w:color="auto" w:sz="4" w:space="0"/>
              <w:bottom w:val="single" w:color="auto" w:sz="4" w:space="0"/>
              <w:right w:val="single" w:color="auto" w:sz="4" w:space="0"/>
            </w:tcBorders>
            <w:noWrap w:val="0"/>
            <w:vAlign w:val="center"/>
          </w:tcPr>
          <w:p w14:paraId="423CBB60">
            <w:pPr>
              <w:widowControl/>
              <w:jc w:val="center"/>
              <w:outlineLvl w:val="1"/>
              <w:rPr>
                <w:rFonts w:hint="eastAsia" w:ascii="宋体" w:hAnsi="宋体" w:eastAsia="宋体" w:cs="宋体"/>
                <w:color w:val="auto"/>
                <w:kern w:val="0"/>
                <w:szCs w:val="21"/>
                <w:highlight w:val="none"/>
              </w:rPr>
            </w:pPr>
            <w:bookmarkStart w:id="203" w:name="_Toc249234913"/>
            <w:bookmarkStart w:id="204" w:name="_Toc218468826"/>
            <w:r>
              <w:rPr>
                <w:rFonts w:hint="eastAsia" w:ascii="宋体" w:hAnsi="宋体" w:eastAsia="宋体" w:cs="宋体"/>
                <w:b/>
                <w:bCs/>
                <w:color w:val="auto"/>
                <w:kern w:val="0"/>
                <w:szCs w:val="21"/>
                <w:highlight w:val="none"/>
              </w:rPr>
              <w:t>《北京市节水条例》《北京市水污染防治条例》案由14项</w:t>
            </w:r>
            <w:bookmarkEnd w:id="203"/>
            <w:bookmarkEnd w:id="204"/>
          </w:p>
        </w:tc>
        <w:tc>
          <w:tcPr>
            <w:tcW w:w="236" w:type="dxa"/>
            <w:tcBorders>
              <w:top w:val="nil"/>
              <w:left w:val="single" w:color="auto" w:sz="4" w:space="0"/>
              <w:bottom w:val="single" w:color="auto" w:sz="4" w:space="0"/>
              <w:right w:val="single" w:color="auto" w:sz="4" w:space="0"/>
            </w:tcBorders>
            <w:noWrap w:val="0"/>
            <w:vAlign w:val="center"/>
          </w:tcPr>
          <w:p w14:paraId="5EE84D43">
            <w:pPr>
              <w:widowControl/>
              <w:jc w:val="center"/>
              <w:outlineLvl w:val="1"/>
              <w:rPr>
                <w:rFonts w:hint="eastAsia" w:ascii="宋体" w:hAnsi="宋体" w:eastAsia="宋体" w:cs="宋体"/>
                <w:b/>
                <w:bCs/>
                <w:color w:val="auto"/>
                <w:kern w:val="0"/>
                <w:szCs w:val="21"/>
                <w:highlight w:val="none"/>
              </w:rPr>
            </w:pPr>
          </w:p>
        </w:tc>
      </w:tr>
      <w:tr w14:paraId="3E174B7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4269A94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115069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园林绿化用水未采用节水灌溉方式或者未采取其他节水措施，造成浪费用水的</w:t>
            </w:r>
          </w:p>
        </w:tc>
        <w:tc>
          <w:tcPr>
            <w:tcW w:w="2981" w:type="dxa"/>
            <w:tcBorders>
              <w:top w:val="nil"/>
              <w:left w:val="nil"/>
              <w:bottom w:val="single" w:color="auto" w:sz="4" w:space="0"/>
              <w:right w:val="single" w:color="auto" w:sz="4" w:space="0"/>
            </w:tcBorders>
            <w:noWrap w:val="0"/>
            <w:vAlign w:val="center"/>
          </w:tcPr>
          <w:p w14:paraId="411604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处罚条款：《节水条例》第六十四条第一款，责令限期改正；逾期不改正的，处一万元以上五万元以下罚款。</w:t>
            </w:r>
          </w:p>
        </w:tc>
        <w:tc>
          <w:tcPr>
            <w:tcW w:w="851" w:type="dxa"/>
            <w:tcBorders>
              <w:top w:val="nil"/>
              <w:left w:val="nil"/>
              <w:bottom w:val="single" w:color="auto" w:sz="4" w:space="0"/>
              <w:right w:val="single" w:color="auto" w:sz="4" w:space="0"/>
            </w:tcBorders>
            <w:noWrap w:val="0"/>
            <w:vAlign w:val="center"/>
          </w:tcPr>
          <w:p w14:paraId="79BE283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2D34837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CCC4C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单次用水量＜10立方米或未采用节水措施的绿化面积＜1000平方米，系数为0；2.10立方米≤单次用水量＜30立方米或1000平方米≤未采用节水措施的绿化面积＜3000平方米，系数为2；3.30立方米≤单次用水量或3000平方米≤未采用节水措施的绿化面积，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DF74D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3F9A086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25340C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9CE48E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C2357500</w:t>
            </w:r>
          </w:p>
        </w:tc>
      </w:tr>
      <w:tr w14:paraId="40201E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59A4F13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5F152E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纯净水生产企业产水率不符合国家和本市有关规定</w:t>
            </w:r>
          </w:p>
        </w:tc>
        <w:tc>
          <w:tcPr>
            <w:tcW w:w="2981" w:type="dxa"/>
            <w:tcBorders>
              <w:top w:val="nil"/>
              <w:left w:val="nil"/>
              <w:bottom w:val="single" w:color="auto" w:sz="4" w:space="0"/>
              <w:right w:val="single" w:color="auto" w:sz="4" w:space="0"/>
            </w:tcBorders>
            <w:noWrap w:val="0"/>
            <w:vAlign w:val="center"/>
          </w:tcPr>
          <w:p w14:paraId="1A3FD5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处罚条款：《节水条例》第六十五条第一款，责令限期改正，处一万元以上十万元以下罚款。</w:t>
            </w:r>
          </w:p>
        </w:tc>
        <w:tc>
          <w:tcPr>
            <w:tcW w:w="851" w:type="dxa"/>
            <w:tcBorders>
              <w:top w:val="nil"/>
              <w:left w:val="nil"/>
              <w:bottom w:val="single" w:color="auto" w:sz="4" w:space="0"/>
              <w:right w:val="single" w:color="auto" w:sz="4" w:space="0"/>
            </w:tcBorders>
            <w:noWrap w:val="0"/>
            <w:vAlign w:val="center"/>
          </w:tcPr>
          <w:p w14:paraId="05B44C8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351683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F453C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本市相关标准的95%≤纯净水生产企业产水率＜本市相关标准，系数为0；2.本市相关标准的90%≤纯净水生产企业产水率＜本市相关标准的95%，系数为2；3.本市相关标准的85%≤纯净水生产企业产水率＜本市相关标准的90%，系数为4；4.本市相关标准的80%≤纯净水生产企业产水率＜本市相关标准的85%，系数为6；5.纯净水生产企业产水率＜本市相关标准的80%，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966AB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6FE88C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作出立案决定前，应与水务部门会商相关标准意见</w:t>
            </w:r>
          </w:p>
        </w:tc>
        <w:tc>
          <w:tcPr>
            <w:tcW w:w="1304" w:type="dxa"/>
            <w:gridSpan w:val="2"/>
            <w:tcBorders>
              <w:top w:val="nil"/>
              <w:left w:val="nil"/>
              <w:bottom w:val="single" w:color="auto" w:sz="4" w:space="0"/>
              <w:right w:val="single" w:color="auto" w:sz="4" w:space="0"/>
            </w:tcBorders>
            <w:noWrap w:val="0"/>
            <w:vAlign w:val="center"/>
          </w:tcPr>
          <w:p w14:paraId="15C3CDD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9F5F1E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C2357600</w:t>
            </w:r>
          </w:p>
        </w:tc>
      </w:tr>
      <w:tr w14:paraId="54EFA1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4" w:hRule="atLeast"/>
        </w:trPr>
        <w:tc>
          <w:tcPr>
            <w:tcW w:w="716" w:type="dxa"/>
            <w:gridSpan w:val="2"/>
            <w:tcBorders>
              <w:top w:val="nil"/>
              <w:left w:val="single" w:color="auto" w:sz="4" w:space="0"/>
              <w:bottom w:val="single" w:color="auto" w:sz="4" w:space="0"/>
              <w:right w:val="single" w:color="auto" w:sz="4" w:space="0"/>
            </w:tcBorders>
            <w:noWrap w:val="0"/>
            <w:vAlign w:val="center"/>
          </w:tcPr>
          <w:p w14:paraId="13550BD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4361033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工业用水的重复利用率未达到强制性标准且未及时进行技术改造</w:t>
            </w:r>
          </w:p>
        </w:tc>
        <w:tc>
          <w:tcPr>
            <w:tcW w:w="2981" w:type="dxa"/>
            <w:tcBorders>
              <w:top w:val="nil"/>
              <w:left w:val="nil"/>
              <w:bottom w:val="single" w:color="auto" w:sz="4" w:space="0"/>
              <w:right w:val="single" w:color="auto" w:sz="4" w:space="0"/>
            </w:tcBorders>
            <w:noWrap w:val="0"/>
            <w:vAlign w:val="center"/>
          </w:tcPr>
          <w:p w14:paraId="56ED130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处罚条款：《节水条例》第六十五条第一款，责令限期改正，处一万元以上十万元以下罚款。</w:t>
            </w:r>
          </w:p>
        </w:tc>
        <w:tc>
          <w:tcPr>
            <w:tcW w:w="851" w:type="dxa"/>
            <w:tcBorders>
              <w:top w:val="nil"/>
              <w:left w:val="nil"/>
              <w:bottom w:val="single" w:color="auto" w:sz="4" w:space="0"/>
              <w:right w:val="single" w:color="auto" w:sz="4" w:space="0"/>
            </w:tcBorders>
            <w:noWrap w:val="0"/>
            <w:vAlign w:val="center"/>
          </w:tcPr>
          <w:p w14:paraId="25153D9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2C5AC55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739D8A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强制性标准的95%≤工业用水的重复利用率＜强制性标准，系数为0；2.强制性标准的90%≤工业用水的重复利用率＜强制性标准的95%，系数为2；3.强制性标准的85%≤工业用水的重复利用率＜强制性标准的90%，系数为4；4.强制性标准的80%≤工业用水的重复利用率＜强制性标准的85%，系数为6；5.工业用水的重复利用率＜强制性标准的80%，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6248F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6E5ACB7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作出立案决定前，应与水务部门会商相关标准意见</w:t>
            </w:r>
          </w:p>
        </w:tc>
        <w:tc>
          <w:tcPr>
            <w:tcW w:w="1304" w:type="dxa"/>
            <w:gridSpan w:val="2"/>
            <w:tcBorders>
              <w:top w:val="nil"/>
              <w:left w:val="nil"/>
              <w:bottom w:val="single" w:color="auto" w:sz="4" w:space="0"/>
              <w:right w:val="single" w:color="auto" w:sz="4" w:space="0"/>
            </w:tcBorders>
            <w:noWrap w:val="0"/>
            <w:vAlign w:val="center"/>
          </w:tcPr>
          <w:p w14:paraId="2F59E4A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FF2F9CC">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C2357800</w:t>
            </w:r>
          </w:p>
        </w:tc>
      </w:tr>
      <w:tr w14:paraId="6645A22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4E5F359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24CAFB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农村生活用水免费供水或者实行包费制</w:t>
            </w:r>
          </w:p>
        </w:tc>
        <w:tc>
          <w:tcPr>
            <w:tcW w:w="2981" w:type="dxa"/>
            <w:tcBorders>
              <w:top w:val="nil"/>
              <w:left w:val="nil"/>
              <w:bottom w:val="single" w:color="auto" w:sz="4" w:space="0"/>
              <w:right w:val="single" w:color="auto" w:sz="4" w:space="0"/>
            </w:tcBorders>
            <w:noWrap w:val="0"/>
            <w:vAlign w:val="center"/>
          </w:tcPr>
          <w:p w14:paraId="25FE7BD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违反条款：《节水条例》第二十八条第三款；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处罚条款：《节水条例》第六十条第二款，责令限期改正，给予警告；逾期不改正的，可以按照每户二百元以上五百元以下的标准处以罚款。</w:t>
            </w:r>
          </w:p>
        </w:tc>
        <w:tc>
          <w:tcPr>
            <w:tcW w:w="851" w:type="dxa"/>
            <w:tcBorders>
              <w:top w:val="nil"/>
              <w:left w:val="nil"/>
              <w:bottom w:val="single" w:color="auto" w:sz="4" w:space="0"/>
              <w:right w:val="single" w:color="auto" w:sz="4" w:space="0"/>
            </w:tcBorders>
            <w:noWrap w:val="0"/>
            <w:vAlign w:val="center"/>
          </w:tcPr>
          <w:p w14:paraId="73E9F67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noWrap w:val="0"/>
            <w:vAlign w:val="center"/>
          </w:tcPr>
          <w:p w14:paraId="68BD8B7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7AC4F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涉及户数＜200户或违法行为持续时间＜1年，系数为0；2.200户≤涉及户数＜1000户或1年≤违法行为持续时间＜2年，系数为0.5；3.1000户≤涉及户数＜2000户或2年≤违法行为持续时间＜3年，系数为1；4.2000户≤涉及户数或3年≤违法行为持续时间，系数为1.5。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47C09E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罚款金额=200×（1+情节系数）×供水户数</w:t>
            </w:r>
          </w:p>
        </w:tc>
        <w:tc>
          <w:tcPr>
            <w:tcW w:w="2016" w:type="dxa"/>
            <w:tcBorders>
              <w:top w:val="nil"/>
              <w:left w:val="nil"/>
              <w:bottom w:val="single" w:color="auto" w:sz="4" w:space="0"/>
              <w:right w:val="single" w:color="auto" w:sz="4" w:space="0"/>
            </w:tcBorders>
            <w:noWrap w:val="0"/>
            <w:vAlign w:val="center"/>
          </w:tcPr>
          <w:p w14:paraId="45C8BF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239F84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2A7549A">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C2357900</w:t>
            </w:r>
          </w:p>
        </w:tc>
      </w:tr>
      <w:tr w14:paraId="6AC6AA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022" w:hRule="atLeast"/>
        </w:trPr>
        <w:tc>
          <w:tcPr>
            <w:tcW w:w="716" w:type="dxa"/>
            <w:gridSpan w:val="2"/>
            <w:vMerge w:val="restart"/>
            <w:tcBorders>
              <w:top w:val="nil"/>
              <w:left w:val="single" w:color="auto" w:sz="4" w:space="0"/>
              <w:bottom w:val="single" w:color="auto" w:sz="4" w:space="0"/>
              <w:right w:val="single" w:color="auto" w:sz="4" w:space="0"/>
            </w:tcBorders>
            <w:noWrap w:val="0"/>
            <w:vAlign w:val="center"/>
          </w:tcPr>
          <w:p w14:paraId="5BB2418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vMerge w:val="restart"/>
            <w:tcBorders>
              <w:top w:val="nil"/>
              <w:left w:val="single" w:color="auto" w:sz="4" w:space="0"/>
              <w:bottom w:val="single" w:color="auto" w:sz="4" w:space="0"/>
              <w:right w:val="single" w:color="auto" w:sz="4" w:space="0"/>
            </w:tcBorders>
            <w:noWrap w:val="0"/>
            <w:vAlign w:val="center"/>
          </w:tcPr>
          <w:p w14:paraId="649262D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从园林绿化、环境卫生、消防等公共用水设施非法用水</w:t>
            </w:r>
          </w:p>
        </w:tc>
        <w:tc>
          <w:tcPr>
            <w:tcW w:w="2981" w:type="dxa"/>
            <w:vMerge w:val="restart"/>
            <w:tcBorders>
              <w:top w:val="nil"/>
              <w:left w:val="single" w:color="auto" w:sz="4" w:space="0"/>
              <w:bottom w:val="single" w:color="auto" w:sz="4" w:space="0"/>
              <w:right w:val="single" w:color="auto" w:sz="4" w:space="0"/>
            </w:tcBorders>
            <w:noWrap w:val="0"/>
            <w:vAlign w:val="center"/>
          </w:tcPr>
          <w:p w14:paraId="7AE6C4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处罚条款：《节水条例》第六十八条，责令停止违法行为，对单位处一万元以上十万元以下罚款，对个人处一千元以上一万元以下罚款。</w:t>
            </w:r>
          </w:p>
        </w:tc>
        <w:tc>
          <w:tcPr>
            <w:tcW w:w="851" w:type="dxa"/>
            <w:tcBorders>
              <w:top w:val="nil"/>
              <w:left w:val="nil"/>
              <w:bottom w:val="single" w:color="auto" w:sz="4" w:space="0"/>
              <w:right w:val="single" w:color="auto" w:sz="4" w:space="0"/>
            </w:tcBorders>
            <w:noWrap w:val="0"/>
            <w:vAlign w:val="center"/>
          </w:tcPr>
          <w:p w14:paraId="640C2E0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088BD56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vMerge w:val="restart"/>
            <w:tcBorders>
              <w:top w:val="nil"/>
              <w:left w:val="single" w:color="auto" w:sz="4" w:space="0"/>
              <w:bottom w:val="single" w:color="auto" w:sz="4" w:space="0"/>
              <w:right w:val="single" w:color="auto" w:sz="4" w:space="0"/>
            </w:tcBorders>
            <w:noWrap w:val="0"/>
            <w:vAlign w:val="center"/>
          </w:tcPr>
          <w:p w14:paraId="4E34A3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公共用水设施管径＜DN10或单次取水量＜10立方米，系数为0；2.DN10≤公共用水设施管径＜DN30或10立方米≤单次取水量＜30立方米，系数为2；3.DN30≤公共用水设施管径＜DN60或30立方米≤单次取水量＜100立方米，系数为4；4.DN60≤公共用水设施管径＜DN150或100立方米≤单次取水量＜200立方米，系数为6；5.DN150≤公共用水设施管径或200立方米≤单次取水量，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1A24F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08B2BB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使用两个以上取水口的，以公共用水设施管径对应的系数进行累加计算。</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01A477C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single" w:color="auto" w:sz="4" w:space="0"/>
              <w:bottom w:val="single" w:color="auto" w:sz="4" w:space="0"/>
              <w:right w:val="single" w:color="auto" w:sz="4" w:space="0"/>
            </w:tcBorders>
            <w:noWrap w:val="0"/>
            <w:vAlign w:val="center"/>
          </w:tcPr>
          <w:p w14:paraId="7091EA8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C2358200</w:t>
            </w:r>
          </w:p>
        </w:tc>
      </w:tr>
      <w:tr w14:paraId="7BC453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470FF301">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3627AA28">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1CF0CB7F">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5565A78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00F8C1D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vMerge w:val="continue"/>
            <w:tcBorders>
              <w:top w:val="nil"/>
              <w:left w:val="single" w:color="auto" w:sz="4" w:space="0"/>
              <w:bottom w:val="single" w:color="auto" w:sz="4" w:space="0"/>
              <w:right w:val="single" w:color="auto" w:sz="4" w:space="0"/>
            </w:tcBorders>
            <w:noWrap w:val="0"/>
            <w:vAlign w:val="center"/>
          </w:tcPr>
          <w:p w14:paraId="70DD2AD4">
            <w:pPr>
              <w:widowControl/>
              <w:jc w:val="left"/>
              <w:rPr>
                <w:rFonts w:hint="eastAsia" w:ascii="宋体" w:hAnsi="宋体" w:eastAsia="宋体" w:cs="宋体"/>
                <w:color w:val="auto"/>
                <w:kern w:val="0"/>
                <w:sz w:val="15"/>
                <w:szCs w:val="15"/>
                <w:highlight w:val="none"/>
              </w:rPr>
            </w:pPr>
          </w:p>
        </w:tc>
        <w:tc>
          <w:tcPr>
            <w:tcW w:w="1879" w:type="dxa"/>
            <w:gridSpan w:val="3"/>
            <w:tcBorders>
              <w:top w:val="nil"/>
              <w:left w:val="nil"/>
              <w:bottom w:val="single" w:color="auto" w:sz="4" w:space="0"/>
              <w:right w:val="single" w:color="auto" w:sz="4" w:space="0"/>
            </w:tcBorders>
            <w:noWrap w:val="0"/>
            <w:vAlign w:val="center"/>
          </w:tcPr>
          <w:p w14:paraId="7A0A804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626536F8">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345D0D7B">
            <w:pPr>
              <w:widowControl/>
              <w:jc w:val="left"/>
              <w:rPr>
                <w:rFonts w:hint="eastAsia" w:ascii="宋体" w:hAnsi="宋体" w:eastAsia="宋体" w:cs="宋体"/>
                <w:color w:val="auto"/>
                <w:kern w:val="0"/>
                <w:sz w:val="15"/>
                <w:szCs w:val="15"/>
                <w:highlight w:val="none"/>
              </w:rPr>
            </w:pPr>
          </w:p>
        </w:tc>
        <w:tc>
          <w:tcPr>
            <w:tcW w:w="1869" w:type="dxa"/>
            <w:tcBorders>
              <w:top w:val="nil"/>
              <w:left w:val="single" w:color="auto" w:sz="4" w:space="0"/>
              <w:bottom w:val="single" w:color="auto" w:sz="4" w:space="0"/>
              <w:right w:val="single" w:color="auto" w:sz="4" w:space="0"/>
            </w:tcBorders>
            <w:noWrap w:val="0"/>
            <w:vAlign w:val="center"/>
          </w:tcPr>
          <w:p w14:paraId="5EEE5FF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C2358200</w:t>
            </w:r>
          </w:p>
        </w:tc>
      </w:tr>
      <w:tr w14:paraId="61AC99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6C027A2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14:paraId="249921E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用水单位未依法取得临时用水指标擅自用水</w:t>
            </w:r>
          </w:p>
        </w:tc>
        <w:tc>
          <w:tcPr>
            <w:tcW w:w="2981" w:type="dxa"/>
            <w:tcBorders>
              <w:top w:val="nil"/>
              <w:left w:val="nil"/>
              <w:bottom w:val="single" w:color="auto" w:sz="4" w:space="0"/>
              <w:right w:val="single" w:color="auto" w:sz="4" w:space="0"/>
            </w:tcBorders>
            <w:noWrap w:val="0"/>
            <w:vAlign w:val="center"/>
          </w:tcPr>
          <w:p w14:paraId="51A5537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违反条款：《节水条例》第二十九条第三款；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处罚条款：《节水条例》第六十一条，责令限期改正，处二万元以上十万元以下罚款。</w:t>
            </w:r>
          </w:p>
        </w:tc>
        <w:tc>
          <w:tcPr>
            <w:tcW w:w="851" w:type="dxa"/>
            <w:tcBorders>
              <w:top w:val="nil"/>
              <w:left w:val="nil"/>
              <w:bottom w:val="single" w:color="auto" w:sz="4" w:space="0"/>
              <w:right w:val="single" w:color="auto" w:sz="4" w:space="0"/>
            </w:tcBorders>
            <w:noWrap w:val="0"/>
            <w:vAlign w:val="center"/>
          </w:tcPr>
          <w:p w14:paraId="772545B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658406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8728AA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持续用水天数＜30天或单次用水量＜100立方米，系数为0；2.30天≤持续用水天数＜45天或100立方米≤单次用水量＜200立方米，系数为1；3.45天≤持续用水天数＜60天或200立方米≤单次用水量＜300立方米，系数为2；4.60天≤持续用水天数＜75天或300立方米≤单次用水量＜400立方米，系数为3；5.75天≤持续用水天数或400立方米≤单次用水量，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CC73CB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14:paraId="40814D2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园林绿化、环境卫生临时用水的，优先选择“单次用水量”；建筑施工临时用水的，优先选择“持续用水天数”。</w:t>
            </w:r>
          </w:p>
        </w:tc>
        <w:tc>
          <w:tcPr>
            <w:tcW w:w="1304" w:type="dxa"/>
            <w:gridSpan w:val="2"/>
            <w:tcBorders>
              <w:top w:val="nil"/>
              <w:left w:val="nil"/>
              <w:bottom w:val="single" w:color="auto" w:sz="4" w:space="0"/>
              <w:right w:val="single" w:color="auto" w:sz="4" w:space="0"/>
            </w:tcBorders>
            <w:noWrap w:val="0"/>
            <w:vAlign w:val="center"/>
          </w:tcPr>
          <w:p w14:paraId="3F4EF86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91566B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C2358300</w:t>
            </w:r>
          </w:p>
        </w:tc>
      </w:tr>
      <w:tr w14:paraId="503C2E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90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49F4CE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14:paraId="715C1F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服务业用水单位未按照规定安装、使用循环用水设施</w:t>
            </w:r>
          </w:p>
        </w:tc>
        <w:tc>
          <w:tcPr>
            <w:tcW w:w="2981" w:type="dxa"/>
            <w:tcBorders>
              <w:top w:val="nil"/>
              <w:left w:val="nil"/>
              <w:bottom w:val="single" w:color="auto" w:sz="4" w:space="0"/>
              <w:right w:val="single" w:color="auto" w:sz="4" w:space="0"/>
            </w:tcBorders>
            <w:noWrap w:val="0"/>
            <w:vAlign w:val="center"/>
          </w:tcPr>
          <w:p w14:paraId="5C6E5C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处罚条款：《节水条例》第六十六条，责令限期改正；逾期不改正的，处一千元以上一万元以下罚款。</w:t>
            </w:r>
          </w:p>
        </w:tc>
        <w:tc>
          <w:tcPr>
            <w:tcW w:w="851" w:type="dxa"/>
            <w:tcBorders>
              <w:top w:val="nil"/>
              <w:left w:val="nil"/>
              <w:bottom w:val="single" w:color="auto" w:sz="4" w:space="0"/>
              <w:right w:val="single" w:color="auto" w:sz="4" w:space="0"/>
            </w:tcBorders>
            <w:noWrap w:val="0"/>
            <w:vAlign w:val="center"/>
          </w:tcPr>
          <w:p w14:paraId="6089FC9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4AE1526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3EBE2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违法行为持续时间＜60天或建筑面积＜300平方米，系数为0；2.100立方米≤日用水量＜200立方米或60天≤违法行为持续时间＜90天或300平方米≤建筑面积＜500平方米，系数为2；3.200立方米≤日用水量＜300立方米或90天≤违法行为持续时间＜120天或500平方米≤建筑面积＜800平方米，系数为4；4.300立方米≤日用水量＜500立方米或120天≤违法行为持续时间＜180天或800平方米≤建筑面积＜2000平方米，系数为6；5.500立方米≤日用水量或180天≤违法行为持续时间或2000平方米≤建筑面积，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0C5AB5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14:paraId="2E3D58CD">
            <w:pPr>
              <w:widowControl/>
              <w:jc w:val="left"/>
              <w:rPr>
                <w:rFonts w:hint="eastAsia" w:ascii="宋体" w:hAnsi="宋体" w:eastAsia="宋体" w:cs="宋体"/>
                <w:color w:val="auto"/>
                <w:kern w:val="0"/>
                <w:sz w:val="15"/>
                <w:szCs w:val="15"/>
                <w:highlight w:val="none"/>
                <w:lang w:eastAsia="zh"/>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5043F1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9B18C20">
            <w:pPr>
              <w:widowControl/>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
              </w:rPr>
              <w:t>C2358400</w:t>
            </w:r>
          </w:p>
        </w:tc>
      </w:tr>
      <w:tr w14:paraId="63715EF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31FFA1D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14:paraId="415C2B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以水为主要原料生成高纯度制剂的单位未回收利用生产后的尾水</w:t>
            </w:r>
          </w:p>
        </w:tc>
        <w:tc>
          <w:tcPr>
            <w:tcW w:w="2981" w:type="dxa"/>
            <w:tcBorders>
              <w:top w:val="nil"/>
              <w:left w:val="nil"/>
              <w:bottom w:val="single" w:color="auto" w:sz="4" w:space="0"/>
              <w:right w:val="single" w:color="auto" w:sz="4" w:space="0"/>
            </w:tcBorders>
            <w:noWrap w:val="0"/>
            <w:vAlign w:val="center"/>
          </w:tcPr>
          <w:p w14:paraId="05C72A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处罚条款：《节水条例》第六十五条第二款，责令限期改正，处一万元以上十万元以下罚款。</w:t>
            </w:r>
          </w:p>
        </w:tc>
        <w:tc>
          <w:tcPr>
            <w:tcW w:w="851" w:type="dxa"/>
            <w:tcBorders>
              <w:top w:val="nil"/>
              <w:left w:val="nil"/>
              <w:bottom w:val="single" w:color="auto" w:sz="4" w:space="0"/>
              <w:right w:val="single" w:color="auto" w:sz="4" w:space="0"/>
            </w:tcBorders>
            <w:noWrap w:val="0"/>
            <w:vAlign w:val="center"/>
          </w:tcPr>
          <w:p w14:paraId="2C1B548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FF7D5F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CB18B2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违法行为持续时间＜5天或日用水量＜100立方米，系数为0；2.5天≤违法行为持续时间＜10天或100立方米≤日用水量＜200立方米，系数为2；3.10天≤违法行为持续时间＜30天或200立方米≤日用水量＜300立方米，系数为4；4.30天≤违法行为持续时间＜60天或300立方米≤日用水量＜500立方米，系数为6；5.60天≤违法行为持续时间或500立方米≤日用水量，系数为9。6.存在基准2.1.3规定情形的，系数按照相关规定确定（基准2.1.3.5不适用）。 </w:t>
            </w:r>
          </w:p>
        </w:tc>
        <w:tc>
          <w:tcPr>
            <w:tcW w:w="1879" w:type="dxa"/>
            <w:gridSpan w:val="3"/>
            <w:tcBorders>
              <w:top w:val="nil"/>
              <w:left w:val="nil"/>
              <w:bottom w:val="single" w:color="auto" w:sz="4" w:space="0"/>
              <w:right w:val="single" w:color="auto" w:sz="4" w:space="0"/>
            </w:tcBorders>
            <w:noWrap w:val="0"/>
            <w:vAlign w:val="center"/>
          </w:tcPr>
          <w:p w14:paraId="00CE87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12BA0C9C">
            <w:pPr>
              <w:widowControl/>
              <w:jc w:val="left"/>
              <w:rPr>
                <w:rFonts w:hint="eastAsia" w:ascii="宋体" w:hAnsi="宋体" w:eastAsia="宋体" w:cs="宋体"/>
                <w:color w:val="auto"/>
                <w:kern w:val="0"/>
                <w:sz w:val="15"/>
                <w:szCs w:val="15"/>
                <w:highlight w:val="none"/>
                <w:lang w:eastAsia="zh"/>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4596CD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37ACC67">
            <w:pPr>
              <w:widowControl/>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
              </w:rPr>
              <w:t>C2358500</w:t>
            </w:r>
          </w:p>
        </w:tc>
      </w:tr>
      <w:tr w14:paraId="2AADBA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253A29F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14:paraId="282BA1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提供洗车服务的用水户未建设、使用循环用水设施或者未按照规定使用再生水</w:t>
            </w:r>
          </w:p>
        </w:tc>
        <w:tc>
          <w:tcPr>
            <w:tcW w:w="2981" w:type="dxa"/>
            <w:tcBorders>
              <w:top w:val="nil"/>
              <w:left w:val="nil"/>
              <w:bottom w:val="single" w:color="auto" w:sz="4" w:space="0"/>
              <w:right w:val="single" w:color="auto" w:sz="4" w:space="0"/>
            </w:tcBorders>
            <w:noWrap w:val="0"/>
            <w:vAlign w:val="center"/>
          </w:tcPr>
          <w:p w14:paraId="4545CC7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处罚条款：《节水条例》第六十七条，责令限期改正，给予警告；逾期不改正的，处一万元以上五万元以下罚款。</w:t>
            </w:r>
          </w:p>
        </w:tc>
        <w:tc>
          <w:tcPr>
            <w:tcW w:w="851" w:type="dxa"/>
            <w:tcBorders>
              <w:top w:val="nil"/>
              <w:left w:val="nil"/>
              <w:bottom w:val="single" w:color="auto" w:sz="4" w:space="0"/>
              <w:right w:val="single" w:color="auto" w:sz="4" w:space="0"/>
            </w:tcBorders>
            <w:noWrap w:val="0"/>
            <w:vAlign w:val="center"/>
          </w:tcPr>
          <w:p w14:paraId="368BA12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AF1954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D5C66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日均洗车量＜15辆或违法行为持续时间＜60天，系数为0；2.15辆≤日均洗车量＜20辆或60天≤违法行为持续时间＜120天，系数为1；3.20辆≤日均洗车量＜30辆或120天≤违法行为持续时间＜150天，系数为2；4.30辆≤日均洗车量＜50辆或150天≤违法行为持续时间＜180天，系数为3；5.50辆≤日均洗车量或180天≤违法行为持续时间，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1EC46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716DA1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31026DA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29CD2B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C2358600</w:t>
            </w:r>
          </w:p>
        </w:tc>
      </w:tr>
      <w:tr w14:paraId="3B2244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45AD7C3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14:paraId="169696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提供洗车服务的用水户，未按照规定向水务部门报送已建成循环用水设施的登记表或者提供再生水供水合同</w:t>
            </w:r>
          </w:p>
        </w:tc>
        <w:tc>
          <w:tcPr>
            <w:tcW w:w="2981" w:type="dxa"/>
            <w:tcBorders>
              <w:top w:val="nil"/>
              <w:left w:val="nil"/>
              <w:bottom w:val="single" w:color="auto" w:sz="4" w:space="0"/>
              <w:right w:val="single" w:color="auto" w:sz="4" w:space="0"/>
            </w:tcBorders>
            <w:noWrap w:val="0"/>
            <w:vAlign w:val="center"/>
          </w:tcPr>
          <w:p w14:paraId="3BBAEEB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处罚条款：《节水条例》第六十七条，责令限期改正，给予警告；逾期不改正的，处一千元以下罚款。</w:t>
            </w:r>
          </w:p>
        </w:tc>
        <w:tc>
          <w:tcPr>
            <w:tcW w:w="851" w:type="dxa"/>
            <w:tcBorders>
              <w:top w:val="nil"/>
              <w:left w:val="nil"/>
              <w:bottom w:val="single" w:color="auto" w:sz="4" w:space="0"/>
              <w:right w:val="single" w:color="auto" w:sz="4" w:space="0"/>
            </w:tcBorders>
            <w:noWrap w:val="0"/>
            <w:vAlign w:val="center"/>
          </w:tcPr>
          <w:p w14:paraId="0F2E4D6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200</w:t>
            </w:r>
            <w:r>
              <w:rPr>
                <w:rFonts w:hint="eastAsia" w:ascii="宋体" w:hAnsi="宋体" w:eastAsia="宋体" w:cs="宋体"/>
                <w:color w:val="auto"/>
                <w:kern w:val="0"/>
                <w:sz w:val="15"/>
                <w:szCs w:val="15"/>
                <w:highlight w:val="none"/>
              </w:rPr>
              <w:t xml:space="preserve"> </w:t>
            </w:r>
          </w:p>
        </w:tc>
        <w:tc>
          <w:tcPr>
            <w:tcW w:w="840" w:type="dxa"/>
            <w:tcBorders>
              <w:top w:val="nil"/>
              <w:left w:val="nil"/>
              <w:bottom w:val="single" w:color="auto" w:sz="4" w:space="0"/>
              <w:right w:val="single" w:color="auto" w:sz="4" w:space="0"/>
            </w:tcBorders>
            <w:noWrap w:val="0"/>
            <w:vAlign w:val="center"/>
          </w:tcPr>
          <w:p w14:paraId="62C567F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64D015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逾期后改正时间＜4天，系数为0；2.4天≤逾期后改正时间＜8天，系数为1；3.8天≤逾期后改正时间＜12天，系数为2；4.12天≤逾期后改正时间＜16天，系数为3；5.16天≤逾期后改正时间，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07D69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200</w:t>
            </w:r>
            <w:r>
              <w:rPr>
                <w:rFonts w:hint="eastAsia" w:ascii="宋体" w:hAnsi="宋体" w:eastAsia="宋体" w:cs="宋体"/>
                <w:color w:val="auto"/>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14:paraId="685A46A5">
            <w:pPr>
              <w:widowControl/>
              <w:jc w:val="lef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需要作出</w:t>
            </w:r>
            <w:r>
              <w:rPr>
                <w:rFonts w:hint="eastAsia" w:ascii="宋体" w:hAnsi="宋体" w:eastAsia="宋体" w:cs="宋体"/>
                <w:color w:val="auto"/>
                <w:kern w:val="0"/>
                <w:sz w:val="15"/>
                <w:szCs w:val="15"/>
                <w:highlight w:val="none"/>
                <w:lang w:val="en-US" w:eastAsia="zh-CN"/>
              </w:rPr>
              <w:t>200元以下罚款决定的，由执法人员在案卷中说明理由。</w:t>
            </w:r>
          </w:p>
        </w:tc>
        <w:tc>
          <w:tcPr>
            <w:tcW w:w="1304" w:type="dxa"/>
            <w:gridSpan w:val="2"/>
            <w:tcBorders>
              <w:top w:val="nil"/>
              <w:left w:val="nil"/>
              <w:bottom w:val="single" w:color="auto" w:sz="4" w:space="0"/>
              <w:right w:val="single" w:color="auto" w:sz="4" w:space="0"/>
            </w:tcBorders>
            <w:noWrap w:val="0"/>
            <w:vAlign w:val="center"/>
          </w:tcPr>
          <w:p w14:paraId="2B0499C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C5C8B1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C2359000</w:t>
            </w:r>
          </w:p>
        </w:tc>
      </w:tr>
      <w:tr w14:paraId="4ABC06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66DCB4D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4" w:type="dxa"/>
            <w:tcBorders>
              <w:top w:val="nil"/>
              <w:left w:val="nil"/>
              <w:bottom w:val="single" w:color="auto" w:sz="4" w:space="0"/>
              <w:right w:val="single" w:color="auto" w:sz="4" w:space="0"/>
            </w:tcBorders>
            <w:noWrap w:val="0"/>
            <w:vAlign w:val="center"/>
          </w:tcPr>
          <w:p w14:paraId="6A63F6D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现场制售饮用水的单位或者个人未安装尾水回收设施对尾水进行利用</w:t>
            </w:r>
          </w:p>
        </w:tc>
        <w:tc>
          <w:tcPr>
            <w:tcW w:w="2981" w:type="dxa"/>
            <w:tcBorders>
              <w:top w:val="nil"/>
              <w:left w:val="nil"/>
              <w:bottom w:val="single" w:color="auto" w:sz="4" w:space="0"/>
              <w:right w:val="single" w:color="auto" w:sz="4" w:space="0"/>
            </w:tcBorders>
            <w:noWrap w:val="0"/>
            <w:vAlign w:val="center"/>
          </w:tcPr>
          <w:p w14:paraId="247810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处罚条款：《节水条例》第六十五条第三款，责令限期改正；逾期不改正的，责令拆除，处五千元以上二万元以下罚款。</w:t>
            </w:r>
          </w:p>
        </w:tc>
        <w:tc>
          <w:tcPr>
            <w:tcW w:w="851" w:type="dxa"/>
            <w:tcBorders>
              <w:top w:val="nil"/>
              <w:left w:val="nil"/>
              <w:bottom w:val="single" w:color="auto" w:sz="4" w:space="0"/>
              <w:right w:val="single" w:color="auto" w:sz="4" w:space="0"/>
            </w:tcBorders>
            <w:noWrap w:val="0"/>
            <w:vAlign w:val="center"/>
          </w:tcPr>
          <w:p w14:paraId="005D490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718A33C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DD260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出水量＜50立方米或违法行为持续时间＜30天，系数为0；2.50立方米≤日出水量＜100立方米或30天≤违法行为持续时间＜90天，系数为1；3.100立方米≤日出水量＜300立方米或90天≤违法行为持续时间＜180天，系数为2；4.300立方米≤日出水量或180天≤违法行为持续时间，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526B9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2B6D68D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336E469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0E5292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C2359100</w:t>
            </w:r>
          </w:p>
        </w:tc>
      </w:tr>
      <w:tr w14:paraId="644D9B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10D9F79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4" w:type="dxa"/>
            <w:tcBorders>
              <w:top w:val="nil"/>
              <w:left w:val="nil"/>
              <w:bottom w:val="single" w:color="auto" w:sz="4" w:space="0"/>
              <w:right w:val="single" w:color="auto" w:sz="4" w:space="0"/>
            </w:tcBorders>
            <w:noWrap w:val="0"/>
            <w:vAlign w:val="center"/>
          </w:tcPr>
          <w:p w14:paraId="01F8E0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非居民用水户未保障节水设施正常运行，造成浪费用水</w:t>
            </w:r>
          </w:p>
        </w:tc>
        <w:tc>
          <w:tcPr>
            <w:tcW w:w="2981" w:type="dxa"/>
            <w:tcBorders>
              <w:top w:val="nil"/>
              <w:left w:val="nil"/>
              <w:bottom w:val="single" w:color="auto" w:sz="4" w:space="0"/>
              <w:right w:val="single" w:color="auto" w:sz="4" w:space="0"/>
            </w:tcBorders>
            <w:noWrap w:val="0"/>
            <w:vAlign w:val="center"/>
          </w:tcPr>
          <w:p w14:paraId="17DB38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处罚条款：《节水条例》第六十二条，责令限期改正；逾期不改正的，处五万元以下罚款。</w:t>
            </w:r>
          </w:p>
        </w:tc>
        <w:tc>
          <w:tcPr>
            <w:tcW w:w="851" w:type="dxa"/>
            <w:tcBorders>
              <w:top w:val="nil"/>
              <w:left w:val="nil"/>
              <w:bottom w:val="single" w:color="auto" w:sz="4" w:space="0"/>
              <w:right w:val="single" w:color="auto" w:sz="4" w:space="0"/>
            </w:tcBorders>
            <w:noWrap w:val="0"/>
            <w:vAlign w:val="center"/>
          </w:tcPr>
          <w:p w14:paraId="1BEC47E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3FD5CE0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63275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200立方米或跑冒滴漏＜3处，系数为0；2.200立方米≤日用水量＜500立方米或3处≤跑冒滴漏＜5处，系数为4；3.500立方米≤日用水量或5处≤跑冒滴漏，系数为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B2215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7E8D58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209D7BF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D7A142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C2359200</w:t>
            </w:r>
          </w:p>
        </w:tc>
      </w:tr>
      <w:tr w14:paraId="2302A5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restart"/>
            <w:tcBorders>
              <w:top w:val="nil"/>
              <w:left w:val="single" w:color="auto" w:sz="4" w:space="0"/>
              <w:bottom w:val="single" w:color="auto" w:sz="4" w:space="0"/>
              <w:right w:val="single" w:color="auto" w:sz="4" w:space="0"/>
            </w:tcBorders>
            <w:noWrap w:val="0"/>
            <w:vAlign w:val="center"/>
          </w:tcPr>
          <w:p w14:paraId="04D43D4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4" w:type="dxa"/>
            <w:vMerge w:val="restart"/>
            <w:tcBorders>
              <w:top w:val="nil"/>
              <w:left w:val="single" w:color="auto" w:sz="4" w:space="0"/>
              <w:bottom w:val="single" w:color="auto" w:sz="4" w:space="0"/>
              <w:right w:val="single" w:color="auto" w:sz="4" w:space="0"/>
            </w:tcBorders>
            <w:noWrap w:val="0"/>
            <w:vAlign w:val="center"/>
          </w:tcPr>
          <w:p w14:paraId="3A8AA7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再生水、供暖等非饮用水管网与供水管网连接</w:t>
            </w:r>
          </w:p>
        </w:tc>
        <w:tc>
          <w:tcPr>
            <w:tcW w:w="2981" w:type="dxa"/>
            <w:vMerge w:val="restart"/>
            <w:tcBorders>
              <w:top w:val="nil"/>
              <w:left w:val="single" w:color="auto" w:sz="4" w:space="0"/>
              <w:bottom w:val="single" w:color="auto" w:sz="4" w:space="0"/>
              <w:right w:val="single" w:color="auto" w:sz="4" w:space="0"/>
            </w:tcBorders>
            <w:noWrap w:val="0"/>
            <w:vAlign w:val="center"/>
          </w:tcPr>
          <w:p w14:paraId="1A023A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处罚条款：《节水条例》第六十三条第一款第（二）项，责令停止违法行为，限期恢复原状或者采取其他补救措施并承担相关费用，对单位处五万元以上十万元以下罚款，对个人处一万元以上五万元以下罚款。</w:t>
            </w:r>
          </w:p>
        </w:tc>
        <w:tc>
          <w:tcPr>
            <w:tcW w:w="851" w:type="dxa"/>
            <w:tcBorders>
              <w:top w:val="nil"/>
              <w:left w:val="nil"/>
              <w:bottom w:val="single" w:color="auto" w:sz="4" w:space="0"/>
              <w:right w:val="single" w:color="auto" w:sz="4" w:space="0"/>
            </w:tcBorders>
            <w:noWrap w:val="0"/>
            <w:vAlign w:val="center"/>
          </w:tcPr>
          <w:p w14:paraId="00ED35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3812E25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7D556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系数为0；2.DN10≤混接管网管径＜DN30，系数为0.25；3.DN30≤混接管网管径＜DN60，系数为0.5；4.DN60≤混接管网管径＜DN150，系数为0.75；5.DN150≤混接管网管径，系数为1。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343A9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24F7DC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6CEFA56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107A594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C2359300</w:t>
            </w:r>
          </w:p>
        </w:tc>
      </w:tr>
      <w:tr w14:paraId="295956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606566B1">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4A40445D">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386E98FE">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07752E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11B03A1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2CAAE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系数为0；2.DN10≤混接管网管径＜DN30，系数为1；3.DN30≤混接管网管径＜DN60，系数为2；4.DN60≤混接管网管径＜DN150，系数为3；5.DN150≤混接管网管径，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10AB56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0085FBE1">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5E6A717B">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585FCF1A">
            <w:pPr>
              <w:widowControl/>
              <w:jc w:val="left"/>
              <w:rPr>
                <w:rFonts w:hint="eastAsia" w:ascii="宋体" w:hAnsi="宋体" w:eastAsia="宋体" w:cs="宋体"/>
                <w:color w:val="auto"/>
                <w:kern w:val="0"/>
                <w:sz w:val="15"/>
                <w:szCs w:val="15"/>
                <w:highlight w:val="none"/>
                <w:lang w:eastAsia="zh"/>
              </w:rPr>
            </w:pPr>
          </w:p>
        </w:tc>
      </w:tr>
      <w:tr w14:paraId="5AE9E3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735C35A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4" w:type="dxa"/>
            <w:tcBorders>
              <w:top w:val="nil"/>
              <w:left w:val="nil"/>
              <w:bottom w:val="single" w:color="auto" w:sz="4" w:space="0"/>
              <w:right w:val="single" w:color="auto" w:sz="4" w:space="0"/>
            </w:tcBorders>
            <w:noWrap w:val="0"/>
            <w:vAlign w:val="center"/>
          </w:tcPr>
          <w:p w14:paraId="0A045E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住宅小区、单位内部的景观用水使用地下水、自来水</w:t>
            </w:r>
          </w:p>
        </w:tc>
        <w:tc>
          <w:tcPr>
            <w:tcW w:w="2981" w:type="dxa"/>
            <w:tcBorders>
              <w:top w:val="nil"/>
              <w:left w:val="nil"/>
              <w:bottom w:val="single" w:color="auto" w:sz="4" w:space="0"/>
              <w:right w:val="single" w:color="auto" w:sz="4" w:space="0"/>
            </w:tcBorders>
            <w:noWrap w:val="0"/>
            <w:vAlign w:val="center"/>
          </w:tcPr>
          <w:p w14:paraId="3EF342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违反条款：《水污染防治条例》第六十九条第二款；《节水条例》第三十五条第三款；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处罚条款：《水污染防治条例》第九十一条，责令停止违法行为，并处一万元以上三万元以下的罚款；《节水条例》第六十四条第二款，责令限期改正；逾期不改正的，处一万元以上三万元以下罚款。</w:t>
            </w:r>
          </w:p>
        </w:tc>
        <w:tc>
          <w:tcPr>
            <w:tcW w:w="851" w:type="dxa"/>
            <w:tcBorders>
              <w:top w:val="nil"/>
              <w:left w:val="nil"/>
              <w:bottom w:val="single" w:color="auto" w:sz="4" w:space="0"/>
              <w:right w:val="single" w:color="auto" w:sz="4" w:space="0"/>
            </w:tcBorders>
            <w:noWrap w:val="0"/>
            <w:vAlign w:val="center"/>
          </w:tcPr>
          <w:p w14:paraId="684F49C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6E5216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E0C4F3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水景观面积＜300平方米，系数为0；2.100立方米≤日用水量＜200立方米或300平方米≤水景观面积＜500平方米，系数为0.5；3.200立方米≤日用水量＜300立方米或500平方米≤水景观面积＜800平方米，系数为1；4.300立方米≤日用水量＜500立方米或800平方米≤水景观面积＜2000平方米，系数为1.5；5.500立方米≤日用水量或2000平方米≤水景观面积，系数为2。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450E0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1972D1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F144A5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328B44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C2358800</w:t>
            </w:r>
          </w:p>
        </w:tc>
      </w:tr>
      <w:tr w14:paraId="5BD6F0D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After w:w="0" w:type="auto"/>
          <w:trHeight w:val="443" w:hRule="atLeast"/>
        </w:trPr>
        <w:tc>
          <w:tcPr>
            <w:tcW w:w="16725" w:type="dxa"/>
            <w:gridSpan w:val="15"/>
            <w:tcBorders>
              <w:top w:val="nil"/>
              <w:left w:val="single" w:color="auto" w:sz="4" w:space="0"/>
              <w:bottom w:val="single" w:color="auto" w:sz="4" w:space="0"/>
              <w:right w:val="single" w:color="auto" w:sz="4" w:space="0"/>
            </w:tcBorders>
            <w:noWrap w:val="0"/>
            <w:vAlign w:val="center"/>
          </w:tcPr>
          <w:p w14:paraId="0A3A4DF5">
            <w:pPr>
              <w:widowControl/>
              <w:jc w:val="center"/>
              <w:outlineLvl w:val="0"/>
              <w:rPr>
                <w:rFonts w:ascii="Times New Roman" w:hAnsi="Times New Roman" w:eastAsia="宋体" w:cs="Times New Roman"/>
                <w:color w:val="auto"/>
                <w:kern w:val="0"/>
                <w:sz w:val="28"/>
                <w:szCs w:val="28"/>
                <w:highlight w:val="none"/>
              </w:rPr>
            </w:pPr>
            <w:bookmarkStart w:id="205" w:name="_Toc523868433"/>
            <w:bookmarkStart w:id="206" w:name="_Toc218468827"/>
            <w:r>
              <w:rPr>
                <w:rFonts w:hint="eastAsia" w:ascii="黑体" w:hAnsi="黑体" w:eastAsia="黑体" w:cs="黑体"/>
                <w:color w:val="auto"/>
                <w:kern w:val="0"/>
                <w:sz w:val="28"/>
                <w:szCs w:val="28"/>
                <w:highlight w:val="none"/>
              </w:rPr>
              <w:t>水资源管理方面</w:t>
            </w:r>
            <w:bookmarkEnd w:id="205"/>
            <w:bookmarkEnd w:id="206"/>
          </w:p>
        </w:tc>
        <w:tc>
          <w:tcPr>
            <w:tcW w:w="236" w:type="dxa"/>
            <w:tcBorders>
              <w:top w:val="nil"/>
              <w:left w:val="single" w:color="auto" w:sz="4" w:space="0"/>
              <w:bottom w:val="single" w:color="auto" w:sz="4" w:space="0"/>
              <w:right w:val="single" w:color="auto" w:sz="4" w:space="0"/>
            </w:tcBorders>
            <w:noWrap w:val="0"/>
            <w:vAlign w:val="center"/>
          </w:tcPr>
          <w:p w14:paraId="5D9229D1">
            <w:pPr>
              <w:widowControl/>
              <w:jc w:val="center"/>
              <w:outlineLvl w:val="0"/>
              <w:rPr>
                <w:rFonts w:hint="eastAsia" w:ascii="黑体" w:hAnsi="黑体" w:eastAsia="黑体" w:cs="黑体"/>
                <w:color w:val="auto"/>
                <w:kern w:val="0"/>
                <w:sz w:val="28"/>
                <w:szCs w:val="28"/>
                <w:highlight w:val="none"/>
              </w:rPr>
            </w:pPr>
          </w:p>
        </w:tc>
      </w:tr>
      <w:tr w14:paraId="791F7D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After w:w="0" w:type="auto"/>
          <w:trHeight w:val="414"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6A3C69F3">
            <w:pPr>
              <w:widowControl/>
              <w:jc w:val="center"/>
              <w:outlineLvl w:val="1"/>
              <w:rPr>
                <w:rFonts w:hint="eastAsia" w:ascii="宋体" w:hAnsi="宋体" w:eastAsia="宋体" w:cs="宋体"/>
                <w:color w:val="auto"/>
                <w:kern w:val="0"/>
                <w:szCs w:val="21"/>
                <w:highlight w:val="none"/>
              </w:rPr>
            </w:pPr>
            <w:bookmarkStart w:id="207" w:name="_Toc218468828"/>
            <w:bookmarkStart w:id="208" w:name="_Toc866751849"/>
            <w:r>
              <w:rPr>
                <w:rFonts w:hint="eastAsia" w:ascii="宋体" w:hAnsi="宋体" w:eastAsia="宋体" w:cs="宋体"/>
                <w:b/>
                <w:bCs/>
                <w:color w:val="auto"/>
                <w:kern w:val="0"/>
                <w:szCs w:val="21"/>
                <w:highlight w:val="none"/>
              </w:rPr>
              <w:t>《中华人民共和国水法》案由2项</w:t>
            </w:r>
            <w:bookmarkEnd w:id="207"/>
            <w:bookmarkEnd w:id="208"/>
          </w:p>
        </w:tc>
        <w:tc>
          <w:tcPr>
            <w:tcW w:w="3678" w:type="dxa"/>
            <w:gridSpan w:val="5"/>
            <w:tcBorders>
              <w:top w:val="nil"/>
              <w:left w:val="single" w:color="auto" w:sz="4" w:space="0"/>
              <w:bottom w:val="single" w:color="auto" w:sz="4" w:space="0"/>
              <w:right w:val="single" w:color="auto" w:sz="4" w:space="0"/>
            </w:tcBorders>
            <w:noWrap w:val="0"/>
            <w:vAlign w:val="center"/>
          </w:tcPr>
          <w:p w14:paraId="500F57A0">
            <w:pPr>
              <w:widowControl/>
              <w:jc w:val="center"/>
              <w:outlineLvl w:val="1"/>
              <w:rPr>
                <w:rFonts w:hint="eastAsia" w:ascii="宋体" w:hAnsi="宋体" w:eastAsia="宋体" w:cs="宋体"/>
                <w:b/>
                <w:bCs/>
                <w:color w:val="auto"/>
                <w:kern w:val="0"/>
                <w:szCs w:val="21"/>
                <w:highlight w:val="none"/>
              </w:rPr>
            </w:pPr>
          </w:p>
        </w:tc>
      </w:tr>
      <w:tr w14:paraId="104D54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ign w:val="center"/>
          </w:tcPr>
          <w:p w14:paraId="2FAF2EA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7A29B59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未经批准擅自取水</w:t>
            </w:r>
          </w:p>
        </w:tc>
        <w:tc>
          <w:tcPr>
            <w:tcW w:w="2981" w:type="dxa"/>
            <w:tcBorders>
              <w:top w:val="nil"/>
              <w:left w:val="nil"/>
              <w:bottom w:val="single" w:color="auto" w:sz="4" w:space="0"/>
              <w:right w:val="single" w:color="auto" w:sz="4" w:space="0"/>
            </w:tcBorders>
            <w:noWrap w:val="0"/>
            <w:vAlign w:val="center"/>
          </w:tcPr>
          <w:p w14:paraId="33460E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违反条款：第四十八条第一款；《铁路安全管理条例》第三十五条第一款、第二款；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第一款第（一）项，责令停止违法行为，限期采取补救措施，处二万元以上十万元以下的罚款；情节严重的，吊销其取水许可证。《铁路安全管理条例》第九十一条第一款第（二）项，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在地下水禁止开采区或者限制开采区抽取地下水。</w:t>
            </w:r>
          </w:p>
        </w:tc>
        <w:tc>
          <w:tcPr>
            <w:tcW w:w="851" w:type="dxa"/>
            <w:tcBorders>
              <w:top w:val="nil"/>
              <w:left w:val="nil"/>
              <w:bottom w:val="single" w:color="auto" w:sz="4" w:space="0"/>
              <w:right w:val="single" w:color="auto" w:sz="4" w:space="0"/>
            </w:tcBorders>
            <w:noWrap w:val="0"/>
            <w:vAlign w:val="center"/>
          </w:tcPr>
          <w:p w14:paraId="2305814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223025B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EE43A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或违法行为持续时间＜30天，系数为0；2.1000立方米≤日最大取水能力＜1500立方米或30天≤违法行为持续时间＜90天，系数为1；3.1500立方米≤日最大取水能力＜2000立方米或90天≤违法行为持续时间＜150天，系数为2；4.2000立方米≤日最大取水能力＜3000立方米或150天≤违法行为持续时间＜270天，系数为3；5.3000立方米≤日最大取水能力或270天≤违法行为持续时间或情节严重的，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BD002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14:paraId="18F1EC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日最大取水能力总和＞5000立方米；2.经执法部门处罚后，一年度内再次发生同类型违法行为。拟作出吊销取水许可证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695E5AF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6679AA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C2348700</w:t>
            </w:r>
          </w:p>
        </w:tc>
      </w:tr>
      <w:tr w14:paraId="7FCC64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40" w:hRule="atLeast"/>
        </w:trPr>
        <w:tc>
          <w:tcPr>
            <w:tcW w:w="716" w:type="dxa"/>
            <w:gridSpan w:val="2"/>
            <w:tcBorders>
              <w:top w:val="nil"/>
              <w:left w:val="single" w:color="auto" w:sz="4" w:space="0"/>
              <w:bottom w:val="single" w:color="auto" w:sz="4" w:space="0"/>
              <w:right w:val="single" w:color="auto" w:sz="4" w:space="0"/>
            </w:tcBorders>
            <w:noWrap/>
            <w:vAlign w:val="center"/>
          </w:tcPr>
          <w:p w14:paraId="79447AF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217246F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未依照批准的取水许可规定条件取水</w:t>
            </w:r>
          </w:p>
        </w:tc>
        <w:tc>
          <w:tcPr>
            <w:tcW w:w="2981" w:type="dxa"/>
            <w:tcBorders>
              <w:top w:val="nil"/>
              <w:left w:val="nil"/>
              <w:bottom w:val="single" w:color="auto" w:sz="4" w:space="0"/>
              <w:right w:val="single" w:color="auto" w:sz="4" w:space="0"/>
            </w:tcBorders>
            <w:noWrap w:val="0"/>
            <w:vAlign w:val="center"/>
          </w:tcPr>
          <w:p w14:paraId="2192123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处罚条款：第六十九条第一款第（二）项，责令停止违法行为，限期采取补救措施，处二万元以上十万元以下的罚款；情节严重的，吊销其取水许可证。</w:t>
            </w:r>
          </w:p>
        </w:tc>
        <w:tc>
          <w:tcPr>
            <w:tcW w:w="851" w:type="dxa"/>
            <w:tcBorders>
              <w:top w:val="nil"/>
              <w:left w:val="nil"/>
              <w:bottom w:val="single" w:color="auto" w:sz="4" w:space="0"/>
              <w:right w:val="single" w:color="auto" w:sz="4" w:space="0"/>
            </w:tcBorders>
            <w:noWrap w:val="0"/>
            <w:vAlign w:val="center"/>
          </w:tcPr>
          <w:p w14:paraId="4F45B68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0362E0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865BC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超出水量/许可水量＜50%，系数为0；50%≤超出水量/许可水量＜90%，系数为1；90%≤超出水量/许可水量＜120%，系数为2；120%≤超出水量/许可水量＜150%，系数为3；150%≤超出水量/许可水量或情节严重的，系数为4。2.未按照取水许可证规定的取水地点、水源类型、取水类型、取水用途进行取水的，发生一项，系数为0；每多一处，系数加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F26A1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14:paraId="449F8E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拒不改正且超出水量/许可水量＞200%且取水地点、水源类型、取水类型、取水用途至少1项发生变化；2.经执法部门处罚后，一年度内再次发生同类型违法行为。拟作出吊销取水许可证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2713AD2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038228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C2350000</w:t>
            </w:r>
          </w:p>
        </w:tc>
      </w:tr>
      <w:tr w14:paraId="7236591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After w:w="0" w:type="auto"/>
          <w:trHeight w:val="283" w:hRule="atLeast"/>
        </w:trPr>
        <w:tc>
          <w:tcPr>
            <w:tcW w:w="13283" w:type="dxa"/>
            <w:gridSpan w:val="11"/>
            <w:tcBorders>
              <w:top w:val="nil"/>
              <w:left w:val="single" w:color="auto" w:sz="4" w:space="0"/>
              <w:bottom w:val="single" w:color="auto" w:sz="4" w:space="0"/>
              <w:right w:val="single" w:color="auto" w:sz="4" w:space="0"/>
            </w:tcBorders>
            <w:noWrap/>
            <w:vAlign w:val="center"/>
          </w:tcPr>
          <w:p w14:paraId="1704A17F">
            <w:pPr>
              <w:widowControl/>
              <w:jc w:val="center"/>
              <w:outlineLvl w:val="1"/>
              <w:rPr>
                <w:rFonts w:hint="eastAsia" w:ascii="宋体" w:hAnsi="宋体" w:eastAsia="宋体" w:cs="宋体"/>
                <w:color w:val="auto"/>
                <w:kern w:val="0"/>
                <w:szCs w:val="21"/>
                <w:highlight w:val="none"/>
              </w:rPr>
            </w:pPr>
            <w:bookmarkStart w:id="209" w:name="_Toc218468829"/>
            <w:bookmarkStart w:id="210" w:name="_Toc1129998119"/>
            <w:r>
              <w:rPr>
                <w:rFonts w:hint="eastAsia" w:ascii="宋体" w:hAnsi="宋体" w:eastAsia="宋体" w:cs="宋体"/>
                <w:b/>
                <w:bCs/>
                <w:color w:val="auto"/>
                <w:kern w:val="0"/>
                <w:szCs w:val="21"/>
                <w:highlight w:val="none"/>
              </w:rPr>
              <w:t>《取水许可和水资源费征收管理条例》《地下水管理条例》案由9项</w:t>
            </w:r>
            <w:bookmarkEnd w:id="209"/>
            <w:bookmarkEnd w:id="210"/>
          </w:p>
        </w:tc>
        <w:tc>
          <w:tcPr>
            <w:tcW w:w="3678" w:type="dxa"/>
            <w:gridSpan w:val="5"/>
            <w:tcBorders>
              <w:top w:val="nil"/>
              <w:left w:val="single" w:color="auto" w:sz="4" w:space="0"/>
              <w:bottom w:val="single" w:color="auto" w:sz="4" w:space="0"/>
              <w:right w:val="single" w:color="auto" w:sz="4" w:space="0"/>
            </w:tcBorders>
            <w:noWrap/>
            <w:vAlign w:val="center"/>
          </w:tcPr>
          <w:p w14:paraId="76A2687A">
            <w:pPr>
              <w:widowControl/>
              <w:jc w:val="center"/>
              <w:outlineLvl w:val="1"/>
              <w:rPr>
                <w:rFonts w:hint="eastAsia" w:ascii="宋体" w:hAnsi="宋体" w:eastAsia="宋体" w:cs="宋体"/>
                <w:b/>
                <w:bCs/>
                <w:color w:val="auto"/>
                <w:kern w:val="0"/>
                <w:szCs w:val="21"/>
                <w:highlight w:val="none"/>
              </w:rPr>
            </w:pPr>
          </w:p>
        </w:tc>
      </w:tr>
      <w:tr w14:paraId="23C090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4D45EB0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42BCEA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取水申请人隐瞒有关情况或者提供虚假材料骗取取水申请批准文件或者取水许可证</w:t>
            </w:r>
          </w:p>
        </w:tc>
        <w:tc>
          <w:tcPr>
            <w:tcW w:w="2981" w:type="dxa"/>
            <w:tcBorders>
              <w:top w:val="nil"/>
              <w:left w:val="nil"/>
              <w:bottom w:val="single" w:color="auto" w:sz="4" w:space="0"/>
              <w:right w:val="single" w:color="auto" w:sz="4" w:space="0"/>
            </w:tcBorders>
            <w:noWrap w:val="0"/>
            <w:vAlign w:val="center"/>
          </w:tcPr>
          <w:p w14:paraId="68312A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处罚条款：《取水许可和水资源费征收管理条例》第五十条，给予警告，责令其限期补缴应当缴纳的水资源费，处2万元以上10万元以下罚款。</w:t>
            </w:r>
          </w:p>
        </w:tc>
        <w:tc>
          <w:tcPr>
            <w:tcW w:w="851" w:type="dxa"/>
            <w:tcBorders>
              <w:top w:val="nil"/>
              <w:left w:val="nil"/>
              <w:bottom w:val="single" w:color="auto" w:sz="4" w:space="0"/>
              <w:right w:val="single" w:color="auto" w:sz="4" w:space="0"/>
            </w:tcBorders>
            <w:noWrap w:val="0"/>
            <w:vAlign w:val="center"/>
          </w:tcPr>
          <w:p w14:paraId="35473AB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31E0DBF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0DB227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取水量＜10000立方米，系数为0；2.10000立方米≤取水量＜30000立方米，系数为1；3.30000立方米≤取水量＜50000立方米，系数为2；4.50000立方米≤取水量＜100000立方米，系数为3；5.100000立方米≤取水量，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4A0E3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14:paraId="276928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10F74B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9D5C6D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C2303800</w:t>
            </w:r>
          </w:p>
        </w:tc>
      </w:tr>
      <w:tr w14:paraId="3DF68E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356A137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6D9B08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取水单位或者个人拒不执行审批机关作出的取水量限制决定</w:t>
            </w:r>
          </w:p>
        </w:tc>
        <w:tc>
          <w:tcPr>
            <w:tcW w:w="2981" w:type="dxa"/>
            <w:tcBorders>
              <w:top w:val="nil"/>
              <w:left w:val="nil"/>
              <w:bottom w:val="single" w:color="auto" w:sz="4" w:space="0"/>
              <w:right w:val="single" w:color="auto" w:sz="4" w:space="0"/>
            </w:tcBorders>
            <w:noWrap w:val="0"/>
            <w:vAlign w:val="center"/>
          </w:tcPr>
          <w:p w14:paraId="2B6898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违反条款：《取水许可和水资源费征收管理条例》第二十七条和第四十一条；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处罚条款：《取水许可和水资源费征收管理条例》第五十一条，责令停止违法行为，限期改正，处2万元以上10万元以下罚款；逾期拒不改正或者情节严重的，吊销取水许可证。</w:t>
            </w:r>
          </w:p>
        </w:tc>
        <w:tc>
          <w:tcPr>
            <w:tcW w:w="851" w:type="dxa"/>
            <w:tcBorders>
              <w:top w:val="nil"/>
              <w:left w:val="nil"/>
              <w:bottom w:val="single" w:color="auto" w:sz="4" w:space="0"/>
              <w:right w:val="single" w:color="auto" w:sz="4" w:space="0"/>
            </w:tcBorders>
            <w:noWrap w:val="0"/>
            <w:vAlign w:val="center"/>
          </w:tcPr>
          <w:p w14:paraId="1D693BE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0DE9CE6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67609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无严重情节，处以下罚款：1.超出水量/限制水量＜30%，系数为0；2.30%≤超出水量/限制水量＜70%，系数为1；3.70%≤超出水量/限制水量＜120%，系数为2；4.120%≤超出水量/限制水量＜200%，系数为3；5.200%</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超出水量/限制水量，系数为4。6.存在基准2.1.3规定情形的，系数按照相关规定确定（基准2.1.3.5不适用）。（二）逾期拒不改正或情节严重的，系数为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66DE6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14:paraId="77F2BF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存在以下情形之一的，可视为情节严重：1.超出水量/限制水量＞200%；2.经执法部门处罚后，一年度内再次发生同类型违法行为。拟作出吊销取水许可证的，在作出处罚决定前，要邀请行业主管部门共同会商。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5624E8C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8E2654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C2303900</w:t>
            </w:r>
          </w:p>
        </w:tc>
      </w:tr>
      <w:tr w14:paraId="562339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4E06050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7E164A5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取水单位或者个人未经批准擅自转让取水权</w:t>
            </w:r>
          </w:p>
        </w:tc>
        <w:tc>
          <w:tcPr>
            <w:tcW w:w="2981" w:type="dxa"/>
            <w:tcBorders>
              <w:top w:val="nil"/>
              <w:left w:val="nil"/>
              <w:bottom w:val="single" w:color="auto" w:sz="4" w:space="0"/>
              <w:right w:val="single" w:color="auto" w:sz="4" w:space="0"/>
            </w:tcBorders>
            <w:noWrap w:val="0"/>
            <w:vAlign w:val="center"/>
          </w:tcPr>
          <w:p w14:paraId="4D1046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处罚条款：《取水许可和水资源费征收管理条例》第五十一条，责令停止违法行为，限期改正，处2万元以上10万元以下罚款；逾期拒不改正或者情节严重的，吊销取水许可证。</w:t>
            </w:r>
          </w:p>
        </w:tc>
        <w:tc>
          <w:tcPr>
            <w:tcW w:w="851" w:type="dxa"/>
            <w:tcBorders>
              <w:top w:val="nil"/>
              <w:left w:val="nil"/>
              <w:bottom w:val="single" w:color="auto" w:sz="4" w:space="0"/>
              <w:right w:val="single" w:color="auto" w:sz="4" w:space="0"/>
            </w:tcBorders>
            <w:noWrap w:val="0"/>
            <w:vAlign w:val="center"/>
          </w:tcPr>
          <w:p w14:paraId="511697C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21F4DFD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2AD7C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无严重情节，处以下罚款：1.转让水量/许可水量＜20%，系数为0；2.20%≤转让水量/许可水量＜40%，系数为1；3.40%≤转让水量/许可水量＜60%，系数为2；4.60%≤转让水量/许可水量＜80%，系数为3；5.80%≤转让水量/许可水量＜100%，系数为4。6.存在基准2.1.3规定情形的，系数按照相关规定确定（基准2.1.3.5不适用）。（二）逾期拒不改正或情节严重的，系数为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30696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14:paraId="11EAE6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存在以下情形之一的，可视为情节严重：1.转让水量/许可水量=100%；2.经执法部门处罚后，一年度内再次发生同类型违法行为。拟作出吊销取水许可证的，在作出处罚决定前，要邀请行业主管部门共同会商。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2B1E480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A8B441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C2304000</w:t>
            </w:r>
          </w:p>
        </w:tc>
      </w:tr>
      <w:tr w14:paraId="711713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068A3ED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5EAD08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取水单位或者个人不按照规定报送年度取水情况</w:t>
            </w:r>
          </w:p>
        </w:tc>
        <w:tc>
          <w:tcPr>
            <w:tcW w:w="2981" w:type="dxa"/>
            <w:tcBorders>
              <w:top w:val="nil"/>
              <w:left w:val="nil"/>
              <w:bottom w:val="single" w:color="auto" w:sz="4" w:space="0"/>
              <w:right w:val="single" w:color="auto" w:sz="4" w:space="0"/>
            </w:tcBorders>
            <w:noWrap w:val="0"/>
            <w:vAlign w:val="center"/>
          </w:tcPr>
          <w:p w14:paraId="3C62E12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处罚条款：《取水许可和水资源费征收管理条例》第五十二条第一款第（一）项，责令停止违法行为，限期改正，处5000元以上2万元以下罚款；情节严重的，吊销取水许可证。</w:t>
            </w:r>
          </w:p>
        </w:tc>
        <w:tc>
          <w:tcPr>
            <w:tcW w:w="851" w:type="dxa"/>
            <w:tcBorders>
              <w:top w:val="nil"/>
              <w:left w:val="nil"/>
              <w:bottom w:val="single" w:color="auto" w:sz="4" w:space="0"/>
              <w:right w:val="single" w:color="auto" w:sz="4" w:space="0"/>
            </w:tcBorders>
            <w:noWrap w:val="0"/>
            <w:vAlign w:val="center"/>
          </w:tcPr>
          <w:p w14:paraId="04B3CC0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7FAC02C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4D329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5天，系数为0；2.5天≤逾期报送时间＜10天，系数为1；3.10天≤逾期报送时间＜15天，系数为2；4.15天≤逾期报送时间或情节严重的，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2E735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7645B3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逾期报送时间＞25个工作日视为情节严重。拟作出吊销取水许可证的，在作出处罚决定前，要邀请行业主管部门共同会商。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3B9D300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AC6017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C2304100</w:t>
            </w:r>
          </w:p>
        </w:tc>
      </w:tr>
      <w:tr w14:paraId="61FFA27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5497736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14:paraId="7BAE35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取水单位拒绝接受监督检查或者弄虚作假</w:t>
            </w:r>
          </w:p>
        </w:tc>
        <w:tc>
          <w:tcPr>
            <w:tcW w:w="2981" w:type="dxa"/>
            <w:tcBorders>
              <w:top w:val="nil"/>
              <w:left w:val="nil"/>
              <w:bottom w:val="single" w:color="auto" w:sz="4" w:space="0"/>
              <w:right w:val="single" w:color="auto" w:sz="4" w:space="0"/>
            </w:tcBorders>
            <w:noWrap w:val="0"/>
            <w:vAlign w:val="center"/>
          </w:tcPr>
          <w:p w14:paraId="521A06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处罚条款：《取水许可和水资源费征收管理条例》第五十二条第一款第（二）项，责令停止违法行为，限期改正，处5000元以上2万元以下罚款；情节严重的，吊销取水许可证。</w:t>
            </w:r>
          </w:p>
        </w:tc>
        <w:tc>
          <w:tcPr>
            <w:tcW w:w="851" w:type="dxa"/>
            <w:tcBorders>
              <w:top w:val="nil"/>
              <w:left w:val="nil"/>
              <w:bottom w:val="single" w:color="auto" w:sz="4" w:space="0"/>
              <w:right w:val="single" w:color="auto" w:sz="4" w:space="0"/>
            </w:tcBorders>
            <w:noWrap w:val="0"/>
            <w:vAlign w:val="center"/>
          </w:tcPr>
          <w:p w14:paraId="534310C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14DCA91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87F47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处以下罚款：1.取水量＜10000立方米，系数为1；2.10000立方米≤取水量＜100000立方米，系数为2；3.100000立方米≤取水量，系数为3。（三）情节严重的，系数为3。（四）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76F14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706D0DB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取水量＞500000立方米且拒不改正；2.经执法部门处罚后，一年度内再次发生同类型违法行为。拟作出吊销取水许可证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4C592BB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EC3E2C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C2304200</w:t>
            </w:r>
          </w:p>
        </w:tc>
      </w:tr>
      <w:tr w14:paraId="6D555A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06C1045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14:paraId="20C15B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取水单位或个人退水水质达不到规定要求</w:t>
            </w:r>
          </w:p>
        </w:tc>
        <w:tc>
          <w:tcPr>
            <w:tcW w:w="2981" w:type="dxa"/>
            <w:tcBorders>
              <w:top w:val="nil"/>
              <w:left w:val="nil"/>
              <w:bottom w:val="single" w:color="auto" w:sz="4" w:space="0"/>
              <w:right w:val="single" w:color="auto" w:sz="4" w:space="0"/>
            </w:tcBorders>
            <w:noWrap w:val="0"/>
            <w:vAlign w:val="center"/>
          </w:tcPr>
          <w:p w14:paraId="08E1F8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违反条款：《取水许可和水资源费征收管理条例》第五十二条第一款；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处罚条款：《取水许可和水资源费征收管理条例》责令停止违法行为，限期改正，处5000元以上2万元以下罚款；情节严重的，吊销取水许可证。</w:t>
            </w:r>
          </w:p>
        </w:tc>
        <w:tc>
          <w:tcPr>
            <w:tcW w:w="851" w:type="dxa"/>
            <w:tcBorders>
              <w:top w:val="nil"/>
              <w:left w:val="nil"/>
              <w:bottom w:val="single" w:color="auto" w:sz="4" w:space="0"/>
              <w:right w:val="single" w:color="auto" w:sz="4" w:space="0"/>
            </w:tcBorders>
            <w:noWrap w:val="0"/>
            <w:vAlign w:val="center"/>
          </w:tcPr>
          <w:p w14:paraId="7B88ED6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11E22CC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D374B9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质超标项数＜3项，系数为0；2.3项≤水质超标＜5项，系数为1；3.5项≤水质超标＜7项，系数为2；4.7项≤水质超标≤10项或5倍≤单项水质超标倍数≤10倍或情节严重的，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324F8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4DFCE2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水质超标＞10项；2.单项水质超标倍数＞10倍；3.经执法部门处罚后，一年度内再次发生同类型违法行为。拟作出吊销取水许可证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5CF95D2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DB59C1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C2304300</w:t>
            </w:r>
          </w:p>
        </w:tc>
      </w:tr>
      <w:tr w14:paraId="7B01DE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4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480374E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vMerge w:val="restart"/>
            <w:tcBorders>
              <w:top w:val="nil"/>
              <w:left w:val="single" w:color="auto" w:sz="4" w:space="0"/>
              <w:bottom w:val="single" w:color="auto" w:sz="4" w:space="0"/>
              <w:right w:val="single" w:color="auto" w:sz="4" w:space="0"/>
            </w:tcBorders>
            <w:noWrap w:val="0"/>
            <w:vAlign w:val="center"/>
          </w:tcPr>
          <w:p w14:paraId="70E985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取水单位或个人未安装计量设施</w:t>
            </w:r>
          </w:p>
        </w:tc>
        <w:tc>
          <w:tcPr>
            <w:tcW w:w="2981" w:type="dxa"/>
            <w:tcBorders>
              <w:top w:val="nil"/>
              <w:left w:val="nil"/>
              <w:bottom w:val="single" w:color="auto" w:sz="4" w:space="0"/>
              <w:right w:val="single" w:color="auto" w:sz="4" w:space="0"/>
            </w:tcBorders>
            <w:noWrap w:val="0"/>
            <w:vAlign w:val="center"/>
          </w:tcPr>
          <w:p w14:paraId="5E1F19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违反条款：《地下水管理条例》第二十二条第一款；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处罚条款：《地下水管理条例》第五十六条第一款，责令限期安装，处10万元以上50万元以下罚款；情节严重的，吊销取水许可证。</w:t>
            </w:r>
          </w:p>
        </w:tc>
        <w:tc>
          <w:tcPr>
            <w:tcW w:w="851" w:type="dxa"/>
            <w:tcBorders>
              <w:top w:val="nil"/>
              <w:left w:val="nil"/>
              <w:bottom w:val="single" w:color="auto" w:sz="4" w:space="0"/>
              <w:right w:val="single" w:color="auto" w:sz="4" w:space="0"/>
            </w:tcBorders>
            <w:noWrap w:val="0"/>
            <w:vAlign w:val="center"/>
          </w:tcPr>
          <w:p w14:paraId="05CE06E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2F7CFC4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2181BC1">
            <w:pPr>
              <w:widowControl/>
              <w:jc w:val="left"/>
              <w:rPr>
                <w:rFonts w:hint="eastAsia" w:ascii="宋体" w:hAnsi="宋体" w:eastAsia="宋体" w:cs="宋体"/>
                <w:strike/>
                <w:dstrike w:val="0"/>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1.地下水日最大取水能力总和＜1000立方米，系数为0；2.1000立方米≤地下水日最大取水能力总和＜1500立方米，系数为0.5；3.1500立方米≤地下水日最大取水能力总和＜2000立方米，系数为1；4.2000立方米≤地下水日最大取水能力总和＜2500立方米，系数为1.5；5.2500立方米≤地下水日最大取水能力总和＜3000立方米，系数为2；6.3000立方米≤地下水日最大取水能力总和＜3500立方米，系数为2.5；7.3500立方米≤地下水日最大取水能力总和＜4000立方米，系数为3；8.4000立方米≤地下水日最大取水能力总和＜5000立方米，系数为3.5；9.5000立方米≤地下水日最大取水能力总和或情节严重的，系数为4。10.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6866E9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1429FA2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（一）取用地下水的，优先适用《地下水管理条例》；取用地表水的，应当适用《取水许可和水资源费征收管理条例》。</w:t>
            </w:r>
          </w:p>
          <w:p w14:paraId="1E8BA6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存在以下情形之一的，可视为情节严重：1.拒不改正且日最大取水能力总和＞5000立方米；2.经执法部门处罚后，一年度内再次发生同类型违法行为。拟作出吊销取水许可证的，在作出处罚决定前，要邀请行业主管部门共同会商。</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2EFF48A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39BE3B9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C2304400</w:t>
            </w:r>
          </w:p>
        </w:tc>
      </w:tr>
      <w:tr w14:paraId="7FD2DF1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4F3487B1">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41C12295">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14:paraId="6CA4C37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处罚条款：《取水许可和水资源费征收管理条例》第五十三条第一款，责令限期安装，处5000元以上2万元以下罚款；情节严重的，吊销取水许可证。</w:t>
            </w:r>
          </w:p>
        </w:tc>
        <w:tc>
          <w:tcPr>
            <w:tcW w:w="851" w:type="dxa"/>
            <w:tcBorders>
              <w:top w:val="nil"/>
              <w:left w:val="nil"/>
              <w:bottom w:val="single" w:color="auto" w:sz="4" w:space="0"/>
              <w:right w:val="single" w:color="auto" w:sz="4" w:space="0"/>
            </w:tcBorders>
            <w:noWrap w:val="0"/>
            <w:vAlign w:val="center"/>
          </w:tcPr>
          <w:p w14:paraId="2201971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234853C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41C5EE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1.日最大取水能力总和＜1000立方米，系数为0；2.1000立方米≤日最大取水能力总和＜3000立方米</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系数为1；3.3000立方米≤日最大取水能力总和＜5000立方米</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系数为2；4.5000立方米≤日最大取水能力总和或情节严重的，系数为3。5.存在基准2.1.3规定情形的，系数按照相关规定确定（基准2.1.3.5不适用）。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C28BE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2E3C1DAB">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630D6BF6">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1DCB575D">
            <w:pPr>
              <w:widowControl/>
              <w:jc w:val="left"/>
              <w:rPr>
                <w:rFonts w:hint="eastAsia" w:ascii="宋体" w:hAnsi="宋体" w:eastAsia="宋体" w:cs="宋体"/>
                <w:color w:val="auto"/>
                <w:kern w:val="0"/>
                <w:sz w:val="15"/>
                <w:szCs w:val="15"/>
                <w:highlight w:val="none"/>
                <w:lang w:eastAsia="zh"/>
              </w:rPr>
            </w:pPr>
          </w:p>
        </w:tc>
      </w:tr>
      <w:tr w14:paraId="24D9F84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6E9FAFE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vMerge w:val="restart"/>
            <w:tcBorders>
              <w:top w:val="nil"/>
              <w:left w:val="single" w:color="auto" w:sz="4" w:space="0"/>
              <w:bottom w:val="single" w:color="auto" w:sz="4" w:space="0"/>
              <w:right w:val="single" w:color="auto" w:sz="4" w:space="0"/>
            </w:tcBorders>
            <w:noWrap w:val="0"/>
            <w:vAlign w:val="center"/>
          </w:tcPr>
          <w:p w14:paraId="49A8A98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取水单位或个人计量设施不合格或者运行不正常</w:t>
            </w:r>
          </w:p>
        </w:tc>
        <w:tc>
          <w:tcPr>
            <w:tcW w:w="2981" w:type="dxa"/>
            <w:tcBorders>
              <w:top w:val="nil"/>
              <w:left w:val="nil"/>
              <w:bottom w:val="single" w:color="auto" w:sz="4" w:space="0"/>
              <w:right w:val="single" w:color="auto" w:sz="4" w:space="0"/>
            </w:tcBorders>
            <w:noWrap w:val="0"/>
            <w:vAlign w:val="center"/>
          </w:tcPr>
          <w:p w14:paraId="58FE5B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违反条款：《地下水管理条例》第二十二条第二款；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处罚条款：《地下水管理条例》第五十六条第二款，责令限期更换或者修复；逾期不更换或者不修复的，处10万元以上50万元以下罚款；情节严重的，吊销取水许可证。</w:t>
            </w:r>
          </w:p>
        </w:tc>
        <w:tc>
          <w:tcPr>
            <w:tcW w:w="851" w:type="dxa"/>
            <w:tcBorders>
              <w:top w:val="nil"/>
              <w:left w:val="nil"/>
              <w:bottom w:val="single" w:color="auto" w:sz="4" w:space="0"/>
              <w:right w:val="single" w:color="auto" w:sz="4" w:space="0"/>
            </w:tcBorders>
            <w:noWrap w:val="0"/>
            <w:vAlign w:val="center"/>
          </w:tcPr>
          <w:p w14:paraId="655EE4F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69C205B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28B159E">
            <w:pPr>
              <w:widowControl/>
              <w:jc w:val="left"/>
              <w:rPr>
                <w:rFonts w:hint="eastAsia" w:ascii="宋体" w:hAnsi="宋体" w:eastAsia="宋体" w:cs="宋体"/>
                <w:strike/>
                <w:dstrike w:val="0"/>
                <w:color w:val="auto"/>
                <w:kern w:val="0"/>
                <w:sz w:val="15"/>
                <w:szCs w:val="15"/>
                <w:highlight w:val="none"/>
              </w:rPr>
            </w:pPr>
            <w:r>
              <w:rPr>
                <w:rFonts w:hint="eastAsia" w:ascii="宋体" w:hAnsi="宋体" w:eastAsia="宋体" w:cs="宋体"/>
                <w:color w:val="auto"/>
                <w:sz w:val="15"/>
                <w:szCs w:val="15"/>
                <w:highlight w:val="none"/>
              </w:rPr>
              <w:t>1.地下水日最大取水能力总和＜1000立方米，系数为0；2.1000立方米≤地下水日最大取水能力总和＜1500立方米，系数为0.5；3.1500立方米≤地下水日最大取水能力总和＜2000立方米，系数为1；4.2000立方米≤地下水日最大取水能力总和＜2500立方米，系数为1.5；5.2500立方米≤地下水日最大取水能力总和＜3000立方米，系数为2；6.3000立方米≤地下水日最大取水能力总和＜3500立方米，系数为2.5；7.3500立方米≤地下水日最大取水能力总和＜4000立方米，系数为3；8.4000立方米≤地下水日最大取水能力总和＜5000立方米，系数为3.5；9.5000立方米≤地下水日最大取水能力总和或情节严重的，系数为4。10.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629F3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19E26BA7">
            <w:pPr>
              <w:widowControl/>
              <w:jc w:val="left"/>
              <w:rPr>
                <w:rFonts w:hint="eastAsia" w:ascii="宋体" w:hAnsi="宋体" w:eastAsia="宋体" w:cs="宋体"/>
                <w:color w:val="auto"/>
                <w:kern w:val="0"/>
                <w:sz w:val="15"/>
                <w:szCs w:val="15"/>
                <w:highlight w:val="none"/>
              </w:rPr>
            </w:pPr>
            <w:r>
              <w:rPr>
                <w:rFonts w:ascii="Times New Roman" w:hAnsi="Times New Roman" w:eastAsia="宋体" w:cs="Times New Roman"/>
                <w:color w:val="auto"/>
                <w:kern w:val="0"/>
                <w:sz w:val="15"/>
                <w:szCs w:val="15"/>
                <w:highlight w:val="none"/>
              </w:rPr>
              <w:t>（一）</w:t>
            </w:r>
            <w:r>
              <w:rPr>
                <w:rFonts w:hint="eastAsia" w:ascii="Times New Roman" w:hAnsi="Times New Roman" w:eastAsia="宋体" w:cs="Times New Roman"/>
                <w:color w:val="auto"/>
                <w:kern w:val="0"/>
                <w:sz w:val="15"/>
                <w:szCs w:val="15"/>
                <w:highlight w:val="none"/>
                <w:lang w:val="en-US" w:eastAsia="zh-CN"/>
              </w:rPr>
              <w:t>取用地下水的，优先适用</w:t>
            </w:r>
            <w:r>
              <w:rPr>
                <w:rFonts w:ascii="Times New Roman" w:hAnsi="Times New Roman" w:eastAsia="宋体" w:cs="Times New Roman"/>
                <w:color w:val="auto"/>
                <w:kern w:val="0"/>
                <w:sz w:val="15"/>
                <w:szCs w:val="15"/>
                <w:highlight w:val="none"/>
              </w:rPr>
              <w:t>《地下水管理条例》</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lang w:val="en-US" w:eastAsia="zh-CN"/>
              </w:rPr>
              <w:t>取用地表水的，应当适用</w:t>
            </w:r>
            <w:r>
              <w:rPr>
                <w:rFonts w:ascii="Times New Roman" w:hAnsi="Times New Roman" w:eastAsia="宋体" w:cs="Times New Roman"/>
                <w:color w:val="auto"/>
                <w:kern w:val="0"/>
                <w:sz w:val="15"/>
                <w:szCs w:val="15"/>
                <w:highlight w:val="none"/>
              </w:rPr>
              <w:t>《取水许可和水资源费征收管理条例》。</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二）存在以下情形之一的，可视为情节严重：1.拒不改正且日最大取水能力总和＞5000立方米；2.经执法部门处罚后，一年度内再次发生同类型违法行为。拟作出吊销取水许可证的，在作出处罚决定前，要邀请行业主管部门共同会商。</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7932615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5788298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C2304500</w:t>
            </w:r>
          </w:p>
        </w:tc>
      </w:tr>
      <w:tr w14:paraId="4A1B7F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2AE708DE">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455A314A">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14:paraId="582266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处罚条款：《取水许可和水资源费征收管理条例》第五十三条第二款，责令限期更换或者修复；逾期不更换或者不修复的，可以处1万元以下罚款；情节严重的，吊销取水许可证。</w:t>
            </w:r>
          </w:p>
        </w:tc>
        <w:tc>
          <w:tcPr>
            <w:tcW w:w="851" w:type="dxa"/>
            <w:tcBorders>
              <w:top w:val="nil"/>
              <w:left w:val="nil"/>
              <w:bottom w:val="single" w:color="auto" w:sz="4" w:space="0"/>
              <w:right w:val="single" w:color="auto" w:sz="4" w:space="0"/>
            </w:tcBorders>
            <w:noWrap w:val="0"/>
            <w:vAlign w:val="center"/>
          </w:tcPr>
          <w:p w14:paraId="3748649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7A90F35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466CA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1.日最大取水能力总和＜1000立方米，系数为0；2.1000立方米≤日最大取水能力总和＜3000立方米</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rPr>
              <w:t>系数为3；3.3000立方米≤日最大取水能力总和＜5000立方米</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rPr>
              <w:t>系数为6；4.5000立方米≤日最大取水能力总和或情节严重的，系数为9。5.存在基准2.1.3规定情形的，系数按照相关规定确定（基准2.1.3.5不适用）。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FB4E46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2829D969">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7D42584B">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68E1C629">
            <w:pPr>
              <w:widowControl/>
              <w:jc w:val="left"/>
              <w:rPr>
                <w:rFonts w:hint="eastAsia" w:ascii="宋体" w:hAnsi="宋体" w:eastAsia="宋体" w:cs="宋体"/>
                <w:color w:val="auto"/>
                <w:kern w:val="0"/>
                <w:sz w:val="15"/>
                <w:szCs w:val="15"/>
                <w:highlight w:val="none"/>
                <w:lang w:eastAsia="zh"/>
              </w:rPr>
            </w:pPr>
          </w:p>
        </w:tc>
      </w:tr>
      <w:tr w14:paraId="04E2AB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52A0D8B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14:paraId="71CBA52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伪造、涂改、冒用取水申请批准文件、取水许可证</w:t>
            </w:r>
          </w:p>
        </w:tc>
        <w:tc>
          <w:tcPr>
            <w:tcW w:w="2981" w:type="dxa"/>
            <w:tcBorders>
              <w:top w:val="nil"/>
              <w:left w:val="nil"/>
              <w:bottom w:val="single" w:color="auto" w:sz="4" w:space="0"/>
              <w:right w:val="single" w:color="auto" w:sz="4" w:space="0"/>
            </w:tcBorders>
            <w:noWrap w:val="0"/>
            <w:vAlign w:val="center"/>
          </w:tcPr>
          <w:p w14:paraId="758960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处罚条款：第五十六条，责令改正，没收违法所得和非法财物，并处2万元以上10万元以下罚款。</w:t>
            </w:r>
          </w:p>
        </w:tc>
        <w:tc>
          <w:tcPr>
            <w:tcW w:w="851" w:type="dxa"/>
            <w:tcBorders>
              <w:top w:val="nil"/>
              <w:left w:val="nil"/>
              <w:bottom w:val="single" w:color="auto" w:sz="4" w:space="0"/>
              <w:right w:val="single" w:color="auto" w:sz="4" w:space="0"/>
            </w:tcBorders>
            <w:noWrap w:val="0"/>
            <w:vAlign w:val="center"/>
          </w:tcPr>
          <w:p w14:paraId="3B8E6DE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4321C2C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7867F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和非法财物，并处以下罚款：1.取水量＜10000立方米，系数为0；2.10000立方米≤取水量＜30000立方米，系数为1；3.30000立方米≤取水量＜50000立方米，系数为2；4.50000立方米≤取水量＜100000立方米，系数为3；5.100000立方米≤取水量，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F73EA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14:paraId="2570B0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C41EE0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7F1C54D">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C2304600</w:t>
            </w:r>
          </w:p>
        </w:tc>
      </w:tr>
      <w:tr w14:paraId="47F2C1A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After w:w="0" w:type="auto"/>
          <w:trHeight w:val="283" w:hRule="atLeast"/>
        </w:trPr>
        <w:tc>
          <w:tcPr>
            <w:tcW w:w="13283" w:type="dxa"/>
            <w:gridSpan w:val="11"/>
            <w:tcBorders>
              <w:top w:val="nil"/>
              <w:left w:val="single" w:color="auto" w:sz="4" w:space="0"/>
              <w:bottom w:val="single" w:color="auto" w:sz="4" w:space="0"/>
              <w:right w:val="single" w:color="auto" w:sz="4" w:space="0"/>
            </w:tcBorders>
            <w:noWrap/>
            <w:vAlign w:val="center"/>
          </w:tcPr>
          <w:p w14:paraId="3528B080">
            <w:pPr>
              <w:widowControl/>
              <w:jc w:val="center"/>
              <w:outlineLvl w:val="1"/>
              <w:rPr>
                <w:rFonts w:hint="eastAsia" w:ascii="宋体" w:hAnsi="宋体" w:eastAsia="宋体" w:cs="宋体"/>
                <w:color w:val="auto"/>
                <w:kern w:val="0"/>
                <w:szCs w:val="21"/>
                <w:highlight w:val="none"/>
              </w:rPr>
            </w:pPr>
            <w:bookmarkStart w:id="211" w:name="_Toc796741224"/>
            <w:bookmarkStart w:id="212" w:name="_Toc218468830"/>
            <w:r>
              <w:rPr>
                <w:rFonts w:hint="eastAsia" w:ascii="宋体" w:hAnsi="宋体" w:eastAsia="宋体" w:cs="宋体"/>
                <w:b/>
                <w:bCs/>
                <w:color w:val="auto"/>
                <w:kern w:val="0"/>
                <w:szCs w:val="21"/>
                <w:highlight w:val="none"/>
              </w:rPr>
              <w:t>《地下水管理条例》案由6项</w:t>
            </w:r>
            <w:bookmarkEnd w:id="211"/>
            <w:bookmarkEnd w:id="212"/>
          </w:p>
        </w:tc>
        <w:tc>
          <w:tcPr>
            <w:tcW w:w="3678" w:type="dxa"/>
            <w:gridSpan w:val="5"/>
            <w:tcBorders>
              <w:top w:val="nil"/>
              <w:left w:val="single" w:color="auto" w:sz="4" w:space="0"/>
              <w:bottom w:val="single" w:color="auto" w:sz="4" w:space="0"/>
              <w:right w:val="single" w:color="auto" w:sz="4" w:space="0"/>
            </w:tcBorders>
            <w:noWrap/>
            <w:vAlign w:val="center"/>
          </w:tcPr>
          <w:p w14:paraId="4C3EC44A">
            <w:pPr>
              <w:widowControl/>
              <w:jc w:val="center"/>
              <w:outlineLvl w:val="1"/>
              <w:rPr>
                <w:rFonts w:hint="eastAsia" w:ascii="宋体" w:hAnsi="宋体" w:eastAsia="宋体" w:cs="宋体"/>
                <w:b/>
                <w:bCs/>
                <w:color w:val="auto"/>
                <w:kern w:val="0"/>
                <w:szCs w:val="21"/>
                <w:highlight w:val="none"/>
              </w:rPr>
            </w:pPr>
          </w:p>
        </w:tc>
      </w:tr>
      <w:tr w14:paraId="1A8EC1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1345E1B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14:paraId="78F91E9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利用岩层孔隙、裂隙、溶洞、废弃矿坑等贮存城镇污水处理设施产生的污泥和处理后的污泥</w:t>
            </w:r>
          </w:p>
        </w:tc>
        <w:tc>
          <w:tcPr>
            <w:tcW w:w="2981" w:type="dxa"/>
            <w:vMerge w:val="restart"/>
            <w:tcBorders>
              <w:top w:val="nil"/>
              <w:left w:val="single" w:color="auto" w:sz="4" w:space="0"/>
              <w:bottom w:val="single" w:color="auto" w:sz="4" w:space="0"/>
              <w:right w:val="single" w:color="auto" w:sz="4" w:space="0"/>
            </w:tcBorders>
            <w:noWrap w:val="0"/>
            <w:vAlign w:val="center"/>
          </w:tcPr>
          <w:p w14:paraId="11A5EE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第二款，责令限期改正，处20万元以上200万元以下罚款，对直接负责的主管人员和其他直接责任人员处2万元以上10万元以下罚款；造成严重后果的，处200万元以上500万元以下罚款，对直接负责的主管人员和其他直接责任人员处5万元以上50万元以下罚款。</w:t>
            </w:r>
          </w:p>
        </w:tc>
        <w:tc>
          <w:tcPr>
            <w:tcW w:w="851" w:type="dxa"/>
            <w:tcBorders>
              <w:top w:val="nil"/>
              <w:left w:val="nil"/>
              <w:bottom w:val="single" w:color="auto" w:sz="4" w:space="0"/>
              <w:right w:val="single" w:color="auto" w:sz="4" w:space="0"/>
            </w:tcBorders>
            <w:noWrap w:val="0"/>
            <w:vAlign w:val="center"/>
          </w:tcPr>
          <w:p w14:paraId="1658936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3DBEC16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9D9002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污泥量＜50吨，系数为0；50吨≤污泥量＜70吨，系数为0.5；污泥量每增加20吨（不足20吨的，按20吨计），系数加0.5；390吨≤污泥量＜410吨，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422DD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13C963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375EE2F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20D275F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C2355400</w:t>
            </w:r>
          </w:p>
        </w:tc>
      </w:tr>
      <w:tr w14:paraId="70DB1F6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35318E78">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2393C83F">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1617C2A0">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5462464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49F9FD2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BD0AD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污泥量＜50吨，系数为0；2.50吨≤污泥量＜70吨，系数为1；3.70吨≤污泥量＜110吨，系数为2；4.110吨≤污泥量＜130吨，系数为3；5.130吨≤污泥量＜410吨，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1DBC2A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37DA61B1">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41310DED">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right w:val="single" w:color="auto" w:sz="4" w:space="0"/>
            </w:tcBorders>
            <w:noWrap w:val="0"/>
            <w:vAlign w:val="center"/>
          </w:tcPr>
          <w:p w14:paraId="31CBDA61">
            <w:pPr>
              <w:widowControl/>
              <w:jc w:val="left"/>
              <w:rPr>
                <w:rFonts w:hint="eastAsia" w:ascii="宋体" w:hAnsi="宋体" w:eastAsia="宋体" w:cs="宋体"/>
                <w:color w:val="auto"/>
                <w:kern w:val="0"/>
                <w:sz w:val="15"/>
                <w:szCs w:val="15"/>
                <w:highlight w:val="none"/>
                <w:lang w:eastAsia="zh"/>
              </w:rPr>
            </w:pPr>
          </w:p>
        </w:tc>
      </w:tr>
      <w:tr w14:paraId="7A3512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661F8C83">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7F0205FD">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09AFAF7D">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352121F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460BA5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9E9ADB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造成严重后果，处以下罚款：1.410吨≤污泥量＜430吨，系数为0；430吨≤污泥量＜450吨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系数为0.05；污泥量每增加20吨（不足20吨的，按20吨计），系数加0.05；1010吨≤污泥量，系数为1.5。2.存在基准2.1.3规定情形的，系数按照相关规定确定（基准2.1.3.5不适用）。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245A7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10C64BFE">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050711BE">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right w:val="single" w:color="auto" w:sz="4" w:space="0"/>
            </w:tcBorders>
            <w:noWrap w:val="0"/>
            <w:vAlign w:val="center"/>
          </w:tcPr>
          <w:p w14:paraId="5B562BDA">
            <w:pPr>
              <w:widowControl/>
              <w:jc w:val="left"/>
              <w:rPr>
                <w:rFonts w:hint="eastAsia" w:ascii="宋体" w:hAnsi="宋体" w:eastAsia="宋体" w:cs="宋体"/>
                <w:color w:val="auto"/>
                <w:kern w:val="0"/>
                <w:sz w:val="15"/>
                <w:szCs w:val="15"/>
                <w:highlight w:val="none"/>
                <w:lang w:eastAsia="zh"/>
              </w:rPr>
            </w:pPr>
          </w:p>
        </w:tc>
      </w:tr>
      <w:tr w14:paraId="7A90E3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55FC54FD">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6953DB88">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49876FA2">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0A8EF74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13C993E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BE843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造成严重后果，处以下罚款：1.410吨≤污泥量＜510吨，系数为0；510吨≤污泥量＜610吨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系数为0.5；污泥量每增加100吨（不足100吨的，按100吨计），系数加0.5；2210吨≤污泥量，系数为9。2.存在基准2.1.3规定情形的，系数按照相关规定确定（基准2.1.3.5不适用）。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2317B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1131C6A5">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73C3C09D">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4513F73F">
            <w:pPr>
              <w:widowControl/>
              <w:jc w:val="left"/>
              <w:rPr>
                <w:rFonts w:hint="eastAsia" w:ascii="宋体" w:hAnsi="宋体" w:eastAsia="宋体" w:cs="宋体"/>
                <w:color w:val="auto"/>
                <w:kern w:val="0"/>
                <w:sz w:val="15"/>
                <w:szCs w:val="15"/>
                <w:highlight w:val="none"/>
                <w:lang w:eastAsia="zh"/>
              </w:rPr>
            </w:pPr>
          </w:p>
        </w:tc>
      </w:tr>
      <w:tr w14:paraId="675A18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43E4880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3579E81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矿产资源开采、地下工程建设疏干排水应当定期报送疏干排水量和地下水水位状况而未报送</w:t>
            </w:r>
          </w:p>
        </w:tc>
        <w:tc>
          <w:tcPr>
            <w:tcW w:w="2981" w:type="dxa"/>
            <w:tcBorders>
              <w:top w:val="nil"/>
              <w:left w:val="nil"/>
              <w:bottom w:val="single" w:color="auto" w:sz="4" w:space="0"/>
              <w:right w:val="single" w:color="auto" w:sz="4" w:space="0"/>
            </w:tcBorders>
            <w:noWrap w:val="0"/>
            <w:vAlign w:val="center"/>
          </w:tcPr>
          <w:p w14:paraId="1998927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处罚条款：第五十七条第二款，责令限期补报；逾期不补报的，处2万元以上10万元以下罚款。</w:t>
            </w:r>
          </w:p>
        </w:tc>
        <w:tc>
          <w:tcPr>
            <w:tcW w:w="851" w:type="dxa"/>
            <w:tcBorders>
              <w:top w:val="nil"/>
              <w:left w:val="nil"/>
              <w:bottom w:val="single" w:color="auto" w:sz="4" w:space="0"/>
              <w:right w:val="single" w:color="auto" w:sz="4" w:space="0"/>
            </w:tcBorders>
            <w:noWrap w:val="0"/>
            <w:vAlign w:val="center"/>
          </w:tcPr>
          <w:p w14:paraId="5C7AACD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088025D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CE6E1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1.逾期报送时间＜10天，系数为0；2.10天≤逾期报送时间＜15天，系数为1；3.15天≤逾期报送时间＜20天，系数为2；4.20天≤逾期报送时间＜25天，系数为3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5.25天≤逾期报送时间，系数为4。6.存在基准2.1.3规定情形的，系数按照相关规定确定（基准2.1.3.5不适用）。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9588A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14:paraId="1CDC1A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764E6D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0A1C02D">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C2355500</w:t>
            </w:r>
          </w:p>
        </w:tc>
      </w:tr>
      <w:tr w14:paraId="70FBD3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14F5430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730C987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地下工程建设应当于开工前将工程建设方案和防止对地下水产生不利影响的措施方案备案而未备案</w:t>
            </w:r>
          </w:p>
        </w:tc>
        <w:tc>
          <w:tcPr>
            <w:tcW w:w="2981" w:type="dxa"/>
            <w:tcBorders>
              <w:top w:val="nil"/>
              <w:left w:val="nil"/>
              <w:bottom w:val="single" w:color="auto" w:sz="4" w:space="0"/>
              <w:right w:val="single" w:color="auto" w:sz="4" w:space="0"/>
            </w:tcBorders>
            <w:noWrap w:val="0"/>
            <w:vAlign w:val="center"/>
          </w:tcPr>
          <w:p w14:paraId="0B9FB07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处罚条款：第五十七条第二款，责令限期补报；逾期不补报的，处2万元以上10万元以下罚款。</w:t>
            </w:r>
          </w:p>
        </w:tc>
        <w:tc>
          <w:tcPr>
            <w:tcW w:w="851" w:type="dxa"/>
            <w:tcBorders>
              <w:top w:val="nil"/>
              <w:left w:val="nil"/>
              <w:bottom w:val="single" w:color="auto" w:sz="4" w:space="0"/>
              <w:right w:val="single" w:color="auto" w:sz="4" w:space="0"/>
            </w:tcBorders>
            <w:noWrap w:val="0"/>
            <w:vAlign w:val="center"/>
          </w:tcPr>
          <w:p w14:paraId="3D7FB41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2B7997F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380AB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10天，系数为0；2.10天≤逾期报送时间＜15天，系数为1；3.15天≤逾期报送时间＜20天，系数为2；4.20天≤逾期报送时间＜25天，系数为3；5.25天≤逾期报送时间，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F0F25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14:paraId="5DB007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3B8E18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66622C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C2355600</w:t>
            </w:r>
          </w:p>
        </w:tc>
      </w:tr>
      <w:tr w14:paraId="7B5A26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72993AF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26A972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侵占、毁坏或者擅自移动地下水监测设施设备及其标志</w:t>
            </w:r>
          </w:p>
        </w:tc>
        <w:tc>
          <w:tcPr>
            <w:tcW w:w="2981" w:type="dxa"/>
            <w:tcBorders>
              <w:top w:val="nil"/>
              <w:left w:val="nil"/>
              <w:bottom w:val="single" w:color="auto" w:sz="4" w:space="0"/>
              <w:right w:val="single" w:color="auto" w:sz="4" w:space="0"/>
            </w:tcBorders>
            <w:noWrap w:val="0"/>
            <w:vAlign w:val="center"/>
          </w:tcPr>
          <w:p w14:paraId="396BC7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处罚条款：第六十条，责令停止违法行为，限期采取补救措施，处2万元以上10万元以下罚款。</w:t>
            </w:r>
          </w:p>
        </w:tc>
        <w:tc>
          <w:tcPr>
            <w:tcW w:w="851" w:type="dxa"/>
            <w:tcBorders>
              <w:top w:val="nil"/>
              <w:left w:val="nil"/>
              <w:bottom w:val="single" w:color="auto" w:sz="4" w:space="0"/>
              <w:right w:val="single" w:color="auto" w:sz="4" w:space="0"/>
            </w:tcBorders>
            <w:noWrap w:val="0"/>
            <w:vAlign w:val="center"/>
          </w:tcPr>
          <w:p w14:paraId="0778DEF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0172BAD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17CAD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1.限期内采取补救措施且达到效果的，系数为0；2.限期内采取补救措施但未达到效果的，系数为2；3.限期内未采取补救措施的，系数为4。4.存在基准2.1.3规定情形的，系数按照相关规定确定（基准2.1.3.5不适用）。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EC2A2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14:paraId="74015BB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地下水监测设施设备及其标志恢复正常运行视为达到效果。</w:t>
            </w:r>
          </w:p>
        </w:tc>
        <w:tc>
          <w:tcPr>
            <w:tcW w:w="1304" w:type="dxa"/>
            <w:gridSpan w:val="2"/>
            <w:tcBorders>
              <w:top w:val="nil"/>
              <w:left w:val="nil"/>
              <w:bottom w:val="single" w:color="auto" w:sz="4" w:space="0"/>
              <w:right w:val="single" w:color="auto" w:sz="4" w:space="0"/>
            </w:tcBorders>
            <w:noWrap w:val="0"/>
            <w:vAlign w:val="center"/>
          </w:tcPr>
          <w:p w14:paraId="5E8A65F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7B1467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C2355700</w:t>
            </w:r>
          </w:p>
        </w:tc>
      </w:tr>
      <w:tr w14:paraId="5777CD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70" w:hRule="atLeast"/>
        </w:trPr>
        <w:tc>
          <w:tcPr>
            <w:tcW w:w="716" w:type="dxa"/>
            <w:gridSpan w:val="2"/>
            <w:tcBorders>
              <w:top w:val="nil"/>
              <w:left w:val="single" w:color="auto" w:sz="4" w:space="0"/>
              <w:bottom w:val="single" w:color="auto" w:sz="4" w:space="0"/>
              <w:right w:val="single" w:color="auto" w:sz="4" w:space="0"/>
            </w:tcBorders>
            <w:noWrap/>
            <w:vAlign w:val="center"/>
          </w:tcPr>
          <w:p w14:paraId="5E7083C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14:paraId="395655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以监测、勘探为目的的地下水取水工程在施工前应当备案而未备案</w:t>
            </w:r>
          </w:p>
        </w:tc>
        <w:tc>
          <w:tcPr>
            <w:tcW w:w="2981" w:type="dxa"/>
            <w:tcBorders>
              <w:top w:val="nil"/>
              <w:left w:val="nil"/>
              <w:bottom w:val="single" w:color="auto" w:sz="4" w:space="0"/>
              <w:right w:val="single" w:color="auto" w:sz="4" w:space="0"/>
            </w:tcBorders>
            <w:noWrap w:val="0"/>
            <w:vAlign w:val="center"/>
          </w:tcPr>
          <w:p w14:paraId="4CFBF0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处罚条款：第六十一条，责令限期补办备案手续；逾期不补办备案手续的，责令限期封井或者回填，处2万元以上10万元以下罚款。</w:t>
            </w:r>
          </w:p>
        </w:tc>
        <w:tc>
          <w:tcPr>
            <w:tcW w:w="851" w:type="dxa"/>
            <w:tcBorders>
              <w:top w:val="nil"/>
              <w:left w:val="nil"/>
              <w:bottom w:val="single" w:color="auto" w:sz="4" w:space="0"/>
              <w:right w:val="single" w:color="auto" w:sz="4" w:space="0"/>
            </w:tcBorders>
            <w:noWrap w:val="0"/>
            <w:vAlign w:val="center"/>
          </w:tcPr>
          <w:p w14:paraId="0F973C6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276BE63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F0F9A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不补办备案手续，责令完成封井或者回填的，系数为0；2.逾期后补办备案手续时间＜10天，系数为0；3.10天≤逾期后补办备案手续时间＜25天，系数为2；4.25天≤逾期后补办备案手续时间，系数为4。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D5824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14:paraId="41C8EDD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2D49EA4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431CF7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C2355800</w:t>
            </w:r>
          </w:p>
        </w:tc>
      </w:tr>
      <w:tr w14:paraId="31F65A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40E6CB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14:paraId="33A3DD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地下工程建设对地下水补给、径流、排泄等造成重大不利影响</w:t>
            </w:r>
          </w:p>
        </w:tc>
        <w:tc>
          <w:tcPr>
            <w:tcW w:w="2981" w:type="dxa"/>
            <w:tcBorders>
              <w:top w:val="nil"/>
              <w:left w:val="nil"/>
              <w:bottom w:val="single" w:color="auto" w:sz="4" w:space="0"/>
              <w:right w:val="single" w:color="auto" w:sz="4" w:space="0"/>
            </w:tcBorders>
            <w:noWrap w:val="0"/>
            <w:vAlign w:val="center"/>
          </w:tcPr>
          <w:p w14:paraId="0EB110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处罚条款：第五十七条，责令限期采取措施消除不利影响，处10万元以上50万元以下罚款</w:t>
            </w:r>
          </w:p>
        </w:tc>
        <w:tc>
          <w:tcPr>
            <w:tcW w:w="851" w:type="dxa"/>
            <w:tcBorders>
              <w:top w:val="nil"/>
              <w:left w:val="nil"/>
              <w:bottom w:val="single" w:color="auto" w:sz="4" w:space="0"/>
              <w:right w:val="single" w:color="auto" w:sz="4" w:space="0"/>
            </w:tcBorders>
            <w:noWrap/>
            <w:vAlign w:val="center"/>
          </w:tcPr>
          <w:p w14:paraId="34E3AFF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24F4C0D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089C622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地下水补给、径流、排泄等2种重大不利影响的，系数为0.8；3种重大不利影响的，系数为1.6；以此类推；2.涉及限制开采区，系数为0.8；涉及禁止开采区，系数为1.6；3.未有效消除不利影响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9F5DE4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675EA4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7E3801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85A4CB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C2355900</w:t>
            </w:r>
          </w:p>
        </w:tc>
      </w:tr>
      <w:tr w14:paraId="7FD1CC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7" w:hRule="atLeast"/>
        </w:trPr>
        <w:tc>
          <w:tcPr>
            <w:tcW w:w="13994" w:type="dxa"/>
            <w:gridSpan w:val="12"/>
            <w:tcBorders>
              <w:top w:val="nil"/>
              <w:left w:val="single" w:color="auto" w:sz="4" w:space="0"/>
              <w:bottom w:val="single" w:color="auto" w:sz="4" w:space="0"/>
              <w:right w:val="single" w:color="auto" w:sz="4" w:space="0"/>
            </w:tcBorders>
            <w:noWrap/>
            <w:vAlign w:val="center"/>
          </w:tcPr>
          <w:p w14:paraId="729D3EF5">
            <w:pPr>
              <w:widowControl/>
              <w:jc w:val="center"/>
              <w:outlineLvl w:val="1"/>
              <w:rPr>
                <w:rFonts w:hint="eastAsia" w:ascii="宋体" w:hAnsi="宋体" w:eastAsia="宋体" w:cs="宋体"/>
                <w:color w:val="auto"/>
                <w:kern w:val="0"/>
                <w:szCs w:val="21"/>
                <w:highlight w:val="none"/>
              </w:rPr>
            </w:pPr>
            <w:bookmarkStart w:id="213" w:name="_Toc1870106766"/>
            <w:bookmarkStart w:id="214" w:name="_Toc218468831"/>
            <w:r>
              <w:rPr>
                <w:rFonts w:hint="eastAsia" w:ascii="宋体" w:hAnsi="宋体" w:eastAsia="宋体" w:cs="宋体"/>
                <w:b/>
                <w:bCs/>
                <w:color w:val="auto"/>
                <w:kern w:val="0"/>
                <w:szCs w:val="21"/>
                <w:highlight w:val="none"/>
              </w:rPr>
              <w:t>《取水许可管理办法》案由3项</w:t>
            </w:r>
            <w:bookmarkEnd w:id="213"/>
            <w:bookmarkEnd w:id="214"/>
          </w:p>
        </w:tc>
        <w:tc>
          <w:tcPr>
            <w:tcW w:w="2462" w:type="dxa"/>
            <w:gridSpan w:val="2"/>
            <w:tcBorders>
              <w:top w:val="nil"/>
              <w:left w:val="single" w:color="auto" w:sz="4" w:space="0"/>
              <w:bottom w:val="single" w:color="auto" w:sz="4" w:space="0"/>
              <w:right w:val="single" w:color="auto" w:sz="4" w:space="0"/>
            </w:tcBorders>
            <w:noWrap/>
            <w:vAlign w:val="center"/>
          </w:tcPr>
          <w:p w14:paraId="367AAADF">
            <w:pPr>
              <w:widowControl/>
              <w:jc w:val="center"/>
              <w:outlineLvl w:val="1"/>
              <w:rPr>
                <w:rFonts w:hint="eastAsia" w:ascii="宋体" w:hAnsi="宋体" w:eastAsia="宋体" w:cs="宋体"/>
                <w:b/>
                <w:bCs/>
                <w:color w:val="auto"/>
                <w:kern w:val="0"/>
                <w:szCs w:val="21"/>
                <w:highlight w:val="none"/>
              </w:rPr>
            </w:pPr>
          </w:p>
        </w:tc>
      </w:tr>
      <w:tr w14:paraId="539E6C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2181484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247DB8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取水单位擅自停止使用节水设施</w:t>
            </w:r>
          </w:p>
        </w:tc>
        <w:tc>
          <w:tcPr>
            <w:tcW w:w="2981" w:type="dxa"/>
            <w:tcBorders>
              <w:top w:val="nil"/>
              <w:left w:val="nil"/>
              <w:bottom w:val="single" w:color="auto" w:sz="4" w:space="0"/>
              <w:right w:val="single" w:color="auto" w:sz="4" w:space="0"/>
            </w:tcBorders>
            <w:noWrap w:val="0"/>
            <w:vAlign w:val="center"/>
          </w:tcPr>
          <w:p w14:paraId="3B7139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处罚条款：第四十九条第一款第（一）项，责令其限期改正，并可处1000元以下罚款。</w:t>
            </w:r>
          </w:p>
        </w:tc>
        <w:tc>
          <w:tcPr>
            <w:tcW w:w="851" w:type="dxa"/>
            <w:tcBorders>
              <w:top w:val="nil"/>
              <w:left w:val="nil"/>
              <w:bottom w:val="single" w:color="auto" w:sz="4" w:space="0"/>
              <w:right w:val="single" w:color="auto" w:sz="4" w:space="0"/>
            </w:tcBorders>
            <w:noWrap w:val="0"/>
            <w:vAlign w:val="center"/>
          </w:tcPr>
          <w:p w14:paraId="1A0DB9B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14:paraId="14101CC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9774B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1.擅自停止使用节水设施＜30天，系数为0；2.30天≤擅自停止使用节水设施＜90天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系数为2；3.90天≤擅自停止使用节水设施＜150天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系数为4；4.150天≤擅自停止使用节水设施＜270天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系数为6；5.270天≤擅自停止使用节水设施</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297642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2016" w:type="dxa"/>
            <w:tcBorders>
              <w:top w:val="nil"/>
              <w:left w:val="nil"/>
              <w:bottom w:val="single" w:color="auto" w:sz="4" w:space="0"/>
              <w:right w:val="single" w:color="auto" w:sz="4" w:space="0"/>
            </w:tcBorders>
            <w:noWrap w:val="0"/>
            <w:vAlign w:val="center"/>
          </w:tcPr>
          <w:p w14:paraId="4FCBBAB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791B8BE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7165BFC">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C2302600</w:t>
            </w:r>
          </w:p>
        </w:tc>
      </w:tr>
      <w:tr w14:paraId="6F9C06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1352C69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63791E2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擅自停止使用取退水计量设施</w:t>
            </w:r>
          </w:p>
        </w:tc>
        <w:tc>
          <w:tcPr>
            <w:tcW w:w="2981" w:type="dxa"/>
            <w:tcBorders>
              <w:top w:val="nil"/>
              <w:left w:val="nil"/>
              <w:bottom w:val="single" w:color="auto" w:sz="4" w:space="0"/>
              <w:right w:val="single" w:color="auto" w:sz="4" w:space="0"/>
            </w:tcBorders>
            <w:noWrap w:val="0"/>
            <w:vAlign w:val="center"/>
          </w:tcPr>
          <w:p w14:paraId="26DF1D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处罚条款：第四十九条第一款第（二）项，责令其限期改正，并可处1000元以下罚款。</w:t>
            </w:r>
          </w:p>
        </w:tc>
        <w:tc>
          <w:tcPr>
            <w:tcW w:w="851" w:type="dxa"/>
            <w:tcBorders>
              <w:top w:val="nil"/>
              <w:left w:val="nil"/>
              <w:bottom w:val="single" w:color="auto" w:sz="4" w:space="0"/>
              <w:right w:val="single" w:color="auto" w:sz="4" w:space="0"/>
            </w:tcBorders>
            <w:noWrap w:val="0"/>
            <w:vAlign w:val="center"/>
          </w:tcPr>
          <w:p w14:paraId="471617E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14:paraId="334ACC6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1B519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1.擅自停止使用取退水计量设施＜30天，系数为0；2.30天≤擅自停止使用取退水计量设施＜90天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系数为2；3.90天≤擅自停止使用取退水计量设施＜150天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系数为4；4.150天≤擅自停止使用取退水计量设施＜270天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系数为6；5.270天≤擅自停止使用取退水计量设施</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499A7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2016" w:type="dxa"/>
            <w:tcBorders>
              <w:top w:val="nil"/>
              <w:left w:val="nil"/>
              <w:bottom w:val="single" w:color="auto" w:sz="4" w:space="0"/>
              <w:right w:val="single" w:color="auto" w:sz="4" w:space="0"/>
            </w:tcBorders>
            <w:noWrap w:val="0"/>
            <w:vAlign w:val="center"/>
          </w:tcPr>
          <w:p w14:paraId="43F843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084BA40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DCC7E3D">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C2302700</w:t>
            </w:r>
          </w:p>
        </w:tc>
      </w:tr>
      <w:tr w14:paraId="7B6D9D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6377DB1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3415E0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不按规定提供取水、退水计量资料</w:t>
            </w:r>
          </w:p>
        </w:tc>
        <w:tc>
          <w:tcPr>
            <w:tcW w:w="2981" w:type="dxa"/>
            <w:tcBorders>
              <w:top w:val="nil"/>
              <w:left w:val="nil"/>
              <w:bottom w:val="single" w:color="auto" w:sz="4" w:space="0"/>
              <w:right w:val="single" w:color="auto" w:sz="4" w:space="0"/>
            </w:tcBorders>
            <w:noWrap w:val="0"/>
            <w:vAlign w:val="center"/>
          </w:tcPr>
          <w:p w14:paraId="0A03FDB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处罚条款：第四十九条第一款第（三）项，责令其限期改正，并可处1000元以下罚款。</w:t>
            </w:r>
          </w:p>
        </w:tc>
        <w:tc>
          <w:tcPr>
            <w:tcW w:w="851" w:type="dxa"/>
            <w:tcBorders>
              <w:top w:val="nil"/>
              <w:left w:val="nil"/>
              <w:bottom w:val="single" w:color="auto" w:sz="4" w:space="0"/>
              <w:right w:val="single" w:color="auto" w:sz="4" w:space="0"/>
            </w:tcBorders>
            <w:noWrap w:val="0"/>
            <w:vAlign w:val="center"/>
          </w:tcPr>
          <w:p w14:paraId="2622D3E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14:paraId="0518C95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8B04DB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1.不按规定提供取水、退水计量资料＜30天，系数为0；2.30天≤不按规定提供取水、退水计量资料＜90天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系数为2；3.90天≤不按规定提供取水、退水计量资料＜150天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系数为4；4.150天≤不按规定提供取水、退水计量资料＜270天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系数为6；5.270天≤不按规定提供取水、退水计量资料</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A7211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2016" w:type="dxa"/>
            <w:tcBorders>
              <w:top w:val="nil"/>
              <w:left w:val="nil"/>
              <w:bottom w:val="single" w:color="auto" w:sz="4" w:space="0"/>
              <w:right w:val="single" w:color="auto" w:sz="4" w:space="0"/>
            </w:tcBorders>
            <w:noWrap w:val="0"/>
            <w:vAlign w:val="center"/>
          </w:tcPr>
          <w:p w14:paraId="5246BF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265C4D0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FE8507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C2302800</w:t>
            </w:r>
          </w:p>
        </w:tc>
      </w:tr>
      <w:tr w14:paraId="29D112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83" w:hRule="atLeast"/>
        </w:trPr>
        <w:tc>
          <w:tcPr>
            <w:tcW w:w="13994" w:type="dxa"/>
            <w:gridSpan w:val="12"/>
            <w:tcBorders>
              <w:top w:val="nil"/>
              <w:left w:val="single" w:color="auto" w:sz="4" w:space="0"/>
              <w:bottom w:val="single" w:color="auto" w:sz="4" w:space="0"/>
              <w:right w:val="single" w:color="auto" w:sz="4" w:space="0"/>
            </w:tcBorders>
            <w:noWrap/>
            <w:vAlign w:val="center"/>
          </w:tcPr>
          <w:p w14:paraId="2AB27E73">
            <w:pPr>
              <w:widowControl/>
              <w:jc w:val="center"/>
              <w:outlineLvl w:val="1"/>
              <w:rPr>
                <w:rFonts w:hint="eastAsia" w:ascii="宋体" w:hAnsi="宋体" w:eastAsia="宋体" w:cs="宋体"/>
                <w:color w:val="auto"/>
                <w:kern w:val="0"/>
                <w:szCs w:val="21"/>
                <w:highlight w:val="none"/>
              </w:rPr>
            </w:pPr>
            <w:bookmarkStart w:id="215" w:name="_Toc218468832"/>
            <w:bookmarkStart w:id="216" w:name="_Toc447425803"/>
            <w:r>
              <w:rPr>
                <w:rFonts w:hint="eastAsia" w:ascii="宋体" w:hAnsi="宋体" w:eastAsia="宋体" w:cs="宋体"/>
                <w:b/>
                <w:bCs/>
                <w:color w:val="auto"/>
                <w:kern w:val="0"/>
                <w:szCs w:val="21"/>
                <w:highlight w:val="none"/>
              </w:rPr>
              <w:t>《北京市实施</w:t>
            </w:r>
            <w:r>
              <w:rPr>
                <w:rFonts w:hint="eastAsia" w:ascii="仿宋" w:hAnsi="仿宋" w:eastAsia="仿宋" w:cs="仿宋"/>
                <w:b/>
                <w:bCs/>
                <w:color w:val="auto"/>
                <w:kern w:val="0"/>
                <w:szCs w:val="21"/>
                <w:highlight w:val="none"/>
              </w:rPr>
              <w:t>&lt;</w:t>
            </w:r>
            <w:r>
              <w:rPr>
                <w:rFonts w:hint="eastAsia" w:ascii="宋体" w:hAnsi="宋体" w:eastAsia="宋体" w:cs="宋体"/>
                <w:b/>
                <w:bCs/>
                <w:color w:val="auto"/>
                <w:kern w:val="0"/>
                <w:szCs w:val="21"/>
                <w:highlight w:val="none"/>
              </w:rPr>
              <w:t>中华人民共和国水法</w:t>
            </w:r>
            <w:r>
              <w:rPr>
                <w:rFonts w:hint="eastAsia" w:ascii="仿宋" w:hAnsi="仿宋" w:eastAsia="仿宋" w:cs="仿宋"/>
                <w:b/>
                <w:bCs/>
                <w:color w:val="auto"/>
                <w:kern w:val="0"/>
                <w:szCs w:val="21"/>
                <w:highlight w:val="none"/>
              </w:rPr>
              <w:t>&gt;</w:t>
            </w:r>
            <w:r>
              <w:rPr>
                <w:rFonts w:hint="eastAsia" w:ascii="宋体" w:hAnsi="宋体" w:eastAsia="宋体" w:cs="宋体"/>
                <w:b/>
                <w:bCs/>
                <w:color w:val="auto"/>
                <w:kern w:val="0"/>
                <w:szCs w:val="21"/>
                <w:highlight w:val="none"/>
              </w:rPr>
              <w:t>办法》案由1项</w:t>
            </w:r>
            <w:bookmarkEnd w:id="215"/>
            <w:bookmarkEnd w:id="216"/>
          </w:p>
        </w:tc>
        <w:tc>
          <w:tcPr>
            <w:tcW w:w="2462" w:type="dxa"/>
            <w:gridSpan w:val="2"/>
            <w:tcBorders>
              <w:top w:val="nil"/>
              <w:left w:val="single" w:color="auto" w:sz="4" w:space="0"/>
              <w:bottom w:val="single" w:color="auto" w:sz="4" w:space="0"/>
              <w:right w:val="single" w:color="auto" w:sz="4" w:space="0"/>
            </w:tcBorders>
            <w:noWrap/>
            <w:vAlign w:val="center"/>
          </w:tcPr>
          <w:p w14:paraId="3FDB339F">
            <w:pPr>
              <w:widowControl/>
              <w:jc w:val="center"/>
              <w:outlineLvl w:val="1"/>
              <w:rPr>
                <w:rFonts w:hint="eastAsia" w:ascii="宋体" w:hAnsi="宋体" w:eastAsia="宋体" w:cs="宋体"/>
                <w:b/>
                <w:bCs/>
                <w:color w:val="auto"/>
                <w:kern w:val="0"/>
                <w:szCs w:val="21"/>
                <w:highlight w:val="none"/>
              </w:rPr>
            </w:pPr>
          </w:p>
        </w:tc>
      </w:tr>
      <w:tr w14:paraId="4DD6A3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72208AC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14:paraId="077D9F9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未经批准开凿机井</w:t>
            </w:r>
          </w:p>
        </w:tc>
        <w:tc>
          <w:tcPr>
            <w:tcW w:w="2981" w:type="dxa"/>
            <w:tcBorders>
              <w:top w:val="nil"/>
              <w:left w:val="nil"/>
              <w:bottom w:val="single" w:color="auto" w:sz="4" w:space="0"/>
              <w:right w:val="single" w:color="auto" w:sz="4" w:space="0"/>
            </w:tcBorders>
            <w:noWrap w:val="0"/>
            <w:vAlign w:val="center"/>
          </w:tcPr>
          <w:p w14:paraId="2E99C02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处罚条款：第四十四条，责令停止违法行为，限期补办手续，并处二万元以上六万元以下的罚款。</w:t>
            </w:r>
          </w:p>
        </w:tc>
        <w:tc>
          <w:tcPr>
            <w:tcW w:w="851" w:type="dxa"/>
            <w:tcBorders>
              <w:top w:val="nil"/>
              <w:left w:val="nil"/>
              <w:bottom w:val="single" w:color="auto" w:sz="4" w:space="0"/>
              <w:right w:val="single" w:color="auto" w:sz="4" w:space="0"/>
            </w:tcBorders>
            <w:noWrap w:val="0"/>
            <w:vAlign w:val="center"/>
          </w:tcPr>
          <w:p w14:paraId="01B2319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63823EE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F5723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补办许可手续或自行封井的，系数为0；2.限期内未补办许可手续，在责令封井限期内封井的，系数为1；3.限期内未补办许可手续，在责令封井限期内未封井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AB86A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14:paraId="3737A1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本案由适用于在非地下水严重超采区或集中供水管网覆盖范围地区未经批准开凿机井。</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58BE566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single" w:color="auto" w:sz="4" w:space="0"/>
              <w:bottom w:val="single" w:color="auto" w:sz="4" w:space="0"/>
              <w:right w:val="single" w:color="auto" w:sz="4" w:space="0"/>
            </w:tcBorders>
            <w:noWrap w:val="0"/>
            <w:vAlign w:val="center"/>
          </w:tcPr>
          <w:p w14:paraId="3230219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C2350700</w:t>
            </w:r>
          </w:p>
        </w:tc>
      </w:tr>
      <w:tr w14:paraId="67F90D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52478F92">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5DD25D89">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14:paraId="7EB88E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处罚条款：第四十五条，责令停止违法行为，限期封井，并处七万元以上十万元以下的罚款。</w:t>
            </w:r>
          </w:p>
        </w:tc>
        <w:tc>
          <w:tcPr>
            <w:tcW w:w="851" w:type="dxa"/>
            <w:tcBorders>
              <w:top w:val="nil"/>
              <w:left w:val="nil"/>
              <w:bottom w:val="single" w:color="auto" w:sz="4" w:space="0"/>
              <w:right w:val="single" w:color="auto" w:sz="4" w:space="0"/>
            </w:tcBorders>
            <w:noWrap w:val="0"/>
            <w:vAlign w:val="center"/>
          </w:tcPr>
          <w:p w14:paraId="10EB9B6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70000 </w:t>
            </w:r>
          </w:p>
        </w:tc>
        <w:tc>
          <w:tcPr>
            <w:tcW w:w="840" w:type="dxa"/>
            <w:tcBorders>
              <w:top w:val="nil"/>
              <w:left w:val="nil"/>
              <w:bottom w:val="single" w:color="auto" w:sz="4" w:space="0"/>
              <w:right w:val="single" w:color="auto" w:sz="4" w:space="0"/>
            </w:tcBorders>
            <w:noWrap w:val="0"/>
            <w:vAlign w:val="center"/>
          </w:tcPr>
          <w:p w14:paraId="14C583A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23E90F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封井的，系数为0；2.逾期封井＜5天，系数为0.1；3.5天≤逾期封井＜10天，系数为0.3；4.10天≤逾期封井，系数为0.5；5.封井期间仍继续取水，系数为0.5。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CD7F6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罚款金额=70000×（1+情节系数）</w:t>
            </w:r>
          </w:p>
        </w:tc>
        <w:tc>
          <w:tcPr>
            <w:tcW w:w="2016" w:type="dxa"/>
            <w:tcBorders>
              <w:top w:val="nil"/>
              <w:left w:val="nil"/>
              <w:bottom w:val="single" w:color="auto" w:sz="4" w:space="0"/>
              <w:right w:val="single" w:color="auto" w:sz="4" w:space="0"/>
            </w:tcBorders>
            <w:noWrap w:val="0"/>
            <w:vAlign w:val="center"/>
          </w:tcPr>
          <w:p w14:paraId="03807C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本案由适用于在地下水严重超采区或集中供水管网覆盖范围地区非法开凿机井。</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4734AB2E">
            <w:pPr>
              <w:widowControl/>
              <w:jc w:val="left"/>
              <w:rPr>
                <w:rFonts w:hint="eastAsia" w:ascii="宋体" w:hAnsi="宋体" w:eastAsia="宋体" w:cs="宋体"/>
                <w:color w:val="auto"/>
                <w:kern w:val="0"/>
                <w:sz w:val="15"/>
                <w:szCs w:val="15"/>
                <w:highlight w:val="none"/>
              </w:rPr>
            </w:pPr>
          </w:p>
        </w:tc>
        <w:tc>
          <w:tcPr>
            <w:tcW w:w="1869" w:type="dxa"/>
            <w:tcBorders>
              <w:top w:val="nil"/>
              <w:left w:val="single" w:color="auto" w:sz="4" w:space="0"/>
              <w:bottom w:val="single" w:color="auto" w:sz="4" w:space="0"/>
              <w:right w:val="single" w:color="auto" w:sz="4" w:space="0"/>
            </w:tcBorders>
            <w:noWrap w:val="0"/>
            <w:vAlign w:val="center"/>
          </w:tcPr>
          <w:p w14:paraId="170DDDAD">
            <w:pPr>
              <w:widowControl/>
              <w:jc w:val="left"/>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C2350700</w:t>
            </w:r>
          </w:p>
        </w:tc>
      </w:tr>
      <w:tr w14:paraId="55D336A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67" w:hRule="atLeast"/>
        </w:trPr>
        <w:tc>
          <w:tcPr>
            <w:tcW w:w="13994" w:type="dxa"/>
            <w:gridSpan w:val="12"/>
            <w:tcBorders>
              <w:top w:val="nil"/>
              <w:left w:val="single" w:color="auto" w:sz="4" w:space="0"/>
              <w:bottom w:val="single" w:color="auto" w:sz="4" w:space="0"/>
              <w:right w:val="single" w:color="auto" w:sz="4" w:space="0"/>
            </w:tcBorders>
            <w:noWrap w:val="0"/>
            <w:vAlign w:val="center"/>
          </w:tcPr>
          <w:p w14:paraId="6B889A35">
            <w:pPr>
              <w:widowControl/>
              <w:jc w:val="center"/>
              <w:outlineLvl w:val="0"/>
              <w:rPr>
                <w:rFonts w:ascii="Times New Roman" w:hAnsi="Times New Roman" w:eastAsia="宋体" w:cs="Times New Roman"/>
                <w:color w:val="auto"/>
                <w:kern w:val="0"/>
                <w:sz w:val="28"/>
                <w:szCs w:val="28"/>
                <w:highlight w:val="none"/>
              </w:rPr>
            </w:pPr>
            <w:bookmarkStart w:id="217" w:name="_Toc793211724"/>
            <w:bookmarkStart w:id="218" w:name="_Toc218468833"/>
            <w:r>
              <w:rPr>
                <w:rFonts w:hint="eastAsia" w:ascii="黑体" w:hAnsi="黑体" w:eastAsia="黑体" w:cs="黑体"/>
                <w:color w:val="auto"/>
                <w:kern w:val="0"/>
                <w:sz w:val="28"/>
                <w:szCs w:val="28"/>
                <w:highlight w:val="none"/>
              </w:rPr>
              <w:t>排水管理方面</w:t>
            </w:r>
            <w:bookmarkEnd w:id="217"/>
            <w:bookmarkEnd w:id="218"/>
          </w:p>
        </w:tc>
        <w:tc>
          <w:tcPr>
            <w:tcW w:w="2462" w:type="dxa"/>
            <w:gridSpan w:val="2"/>
            <w:tcBorders>
              <w:top w:val="nil"/>
              <w:left w:val="single" w:color="auto" w:sz="4" w:space="0"/>
              <w:bottom w:val="single" w:color="auto" w:sz="4" w:space="0"/>
              <w:right w:val="single" w:color="auto" w:sz="4" w:space="0"/>
            </w:tcBorders>
            <w:noWrap w:val="0"/>
            <w:vAlign w:val="center"/>
          </w:tcPr>
          <w:p w14:paraId="74E40E9E">
            <w:pPr>
              <w:widowControl/>
              <w:jc w:val="center"/>
              <w:outlineLvl w:val="0"/>
              <w:rPr>
                <w:rFonts w:hint="eastAsia" w:ascii="黑体" w:hAnsi="黑体" w:eastAsia="黑体" w:cs="黑体"/>
                <w:color w:val="auto"/>
                <w:kern w:val="0"/>
                <w:sz w:val="28"/>
                <w:szCs w:val="28"/>
                <w:highlight w:val="none"/>
              </w:rPr>
            </w:pPr>
          </w:p>
        </w:tc>
      </w:tr>
      <w:tr w14:paraId="242714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83" w:hRule="atLeast"/>
        </w:trPr>
        <w:tc>
          <w:tcPr>
            <w:tcW w:w="13994" w:type="dxa"/>
            <w:gridSpan w:val="12"/>
            <w:tcBorders>
              <w:top w:val="nil"/>
              <w:left w:val="single" w:color="auto" w:sz="4" w:space="0"/>
              <w:bottom w:val="single" w:color="auto" w:sz="4" w:space="0"/>
              <w:right w:val="single" w:color="auto" w:sz="4" w:space="0"/>
            </w:tcBorders>
            <w:noWrap w:val="0"/>
            <w:vAlign w:val="center"/>
          </w:tcPr>
          <w:p w14:paraId="13A82901">
            <w:pPr>
              <w:widowControl/>
              <w:jc w:val="center"/>
              <w:outlineLvl w:val="1"/>
              <w:rPr>
                <w:rFonts w:hint="eastAsia" w:ascii="宋体" w:hAnsi="宋体" w:eastAsia="宋体" w:cs="宋体"/>
                <w:color w:val="auto"/>
                <w:kern w:val="0"/>
                <w:szCs w:val="21"/>
                <w:highlight w:val="none"/>
              </w:rPr>
            </w:pPr>
            <w:bookmarkStart w:id="219" w:name="_Toc218468834"/>
            <w:bookmarkStart w:id="220" w:name="_Toc1329517689"/>
            <w:r>
              <w:rPr>
                <w:rFonts w:hint="eastAsia" w:ascii="宋体" w:hAnsi="宋体" w:eastAsia="宋体" w:cs="宋体"/>
                <w:b/>
                <w:bCs/>
                <w:color w:val="auto"/>
                <w:kern w:val="0"/>
                <w:szCs w:val="21"/>
                <w:highlight w:val="none"/>
              </w:rPr>
              <w:t>《中华人民共和国固体废物污染环境防治法》《城镇排水与污水处理条例》《中华人民共和国水污染防治法》案由2项</w:t>
            </w:r>
            <w:bookmarkEnd w:id="219"/>
            <w:bookmarkEnd w:id="220"/>
          </w:p>
        </w:tc>
        <w:tc>
          <w:tcPr>
            <w:tcW w:w="2462" w:type="dxa"/>
            <w:gridSpan w:val="2"/>
            <w:tcBorders>
              <w:top w:val="nil"/>
              <w:left w:val="single" w:color="auto" w:sz="4" w:space="0"/>
              <w:bottom w:val="single" w:color="auto" w:sz="4" w:space="0"/>
              <w:right w:val="single" w:color="auto" w:sz="4" w:space="0"/>
            </w:tcBorders>
            <w:noWrap w:val="0"/>
            <w:vAlign w:val="center"/>
          </w:tcPr>
          <w:p w14:paraId="1B11202A">
            <w:pPr>
              <w:widowControl/>
              <w:jc w:val="center"/>
              <w:outlineLvl w:val="1"/>
              <w:rPr>
                <w:rFonts w:hint="eastAsia" w:ascii="宋体" w:hAnsi="宋体" w:eastAsia="宋体" w:cs="宋体"/>
                <w:b/>
                <w:bCs/>
                <w:color w:val="auto"/>
                <w:kern w:val="0"/>
                <w:szCs w:val="21"/>
                <w:highlight w:val="none"/>
              </w:rPr>
            </w:pPr>
          </w:p>
        </w:tc>
      </w:tr>
      <w:tr w14:paraId="6AEE07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488" w:hRule="atLeast"/>
        </w:trPr>
        <w:tc>
          <w:tcPr>
            <w:tcW w:w="716" w:type="dxa"/>
            <w:gridSpan w:val="2"/>
            <w:tcBorders>
              <w:top w:val="nil"/>
              <w:left w:val="single" w:color="auto" w:sz="4" w:space="0"/>
              <w:bottom w:val="single" w:color="auto" w:sz="4" w:space="0"/>
              <w:right w:val="single" w:color="auto" w:sz="4" w:space="0"/>
            </w:tcBorders>
            <w:noWrap/>
            <w:vAlign w:val="center"/>
          </w:tcPr>
          <w:p w14:paraId="7681A31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00C06A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产生的污泥以及处理处置后的污泥的去向、用途、用量等未进行跟踪、记录的，或者处理处置后的污泥不符合国家有关标准</w:t>
            </w:r>
          </w:p>
        </w:tc>
        <w:tc>
          <w:tcPr>
            <w:tcW w:w="2981" w:type="dxa"/>
            <w:tcBorders>
              <w:top w:val="nil"/>
              <w:left w:val="nil"/>
              <w:bottom w:val="single" w:color="auto" w:sz="4" w:space="0"/>
              <w:right w:val="single" w:color="auto" w:sz="4" w:space="0"/>
            </w:tcBorders>
            <w:noWrap w:val="0"/>
            <w:vAlign w:val="center"/>
          </w:tcPr>
          <w:p w14:paraId="31A8D7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违反条款：《固体废物污染环境防治法》第七十一条第一款；《条例》第三十条；《水污染防治法》第五十一条；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固体废物污染环境防治法》第一百零八条第一款，责令改正，给予警告；造成严重后果的，处十万元以上二十万元以下的罚款；《条例》第五十三条第一款，责令限期采取治理措施，给予警告；造成严重后果的，处10万元以上20万元以下罚款；《水污染防治法》第八十八条，责令限期采取治理措施，给予警告；造成严重后果的，处十万元以上二十万元以下的罚款。</w:t>
            </w:r>
          </w:p>
        </w:tc>
        <w:tc>
          <w:tcPr>
            <w:tcW w:w="851" w:type="dxa"/>
            <w:tcBorders>
              <w:top w:val="nil"/>
              <w:left w:val="nil"/>
              <w:bottom w:val="single" w:color="auto" w:sz="4" w:space="0"/>
              <w:right w:val="single" w:color="auto" w:sz="4" w:space="0"/>
            </w:tcBorders>
            <w:noWrap w:val="0"/>
            <w:vAlign w:val="center"/>
          </w:tcPr>
          <w:p w14:paraId="3E231F3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26F4239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915F9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未造成严重后果，给予警告；（二）造成严重后果的，处以下罚款：1.污泥量＜100吨，系数为02.100吨≤污泥量＜200吨，系数为0.2；3.200吨≤污泥量＜300吨，系数为0.4；4.300吨≤污泥量＜400吨，系数为0.6；5.400吨≤污泥量＜500吨，系数为0.8；6.500吨≤污泥量，系数为1。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27571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0307925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存在以下情形之一的，可视为严重后果：1.违法行为在农用地或河湖保护和管理范围内或在地下水污染防治重点区；2.有生态赔偿的；3.经执法部门处罚后，一年度内再次发生同类型违法行为。</w:t>
            </w:r>
          </w:p>
        </w:tc>
        <w:tc>
          <w:tcPr>
            <w:tcW w:w="1304" w:type="dxa"/>
            <w:gridSpan w:val="2"/>
            <w:tcBorders>
              <w:top w:val="nil"/>
              <w:left w:val="nil"/>
              <w:bottom w:val="single" w:color="auto" w:sz="4" w:space="0"/>
              <w:right w:val="single" w:color="auto" w:sz="4" w:space="0"/>
            </w:tcBorders>
            <w:noWrap w:val="0"/>
            <w:vAlign w:val="center"/>
          </w:tcPr>
          <w:p w14:paraId="5F56AB8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EB8879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C2310700</w:t>
            </w:r>
          </w:p>
        </w:tc>
      </w:tr>
      <w:tr w14:paraId="17E802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4277E8C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14:paraId="191D36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擅自倾倒、堆放、丢弃、遗撒污泥</w:t>
            </w:r>
          </w:p>
        </w:tc>
        <w:tc>
          <w:tcPr>
            <w:tcW w:w="2981" w:type="dxa"/>
            <w:vMerge w:val="restart"/>
            <w:tcBorders>
              <w:top w:val="nil"/>
              <w:left w:val="single" w:color="auto" w:sz="4" w:space="0"/>
              <w:bottom w:val="single" w:color="auto" w:sz="4" w:space="0"/>
              <w:right w:val="single" w:color="auto" w:sz="4" w:space="0"/>
            </w:tcBorders>
            <w:noWrap w:val="0"/>
            <w:vAlign w:val="center"/>
          </w:tcPr>
          <w:p w14:paraId="6E21B1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违反条款：《固体废物污染环境防治法》第七十二条第一款；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固体废物污染环境防治法》第一百零八条，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w:t>
            </w:r>
          </w:p>
        </w:tc>
        <w:tc>
          <w:tcPr>
            <w:tcW w:w="851" w:type="dxa"/>
            <w:tcBorders>
              <w:top w:val="nil"/>
              <w:left w:val="nil"/>
              <w:bottom w:val="single" w:color="auto" w:sz="4" w:space="0"/>
              <w:right w:val="single" w:color="auto" w:sz="4" w:space="0"/>
            </w:tcBorders>
            <w:noWrap w:val="0"/>
            <w:vAlign w:val="center"/>
          </w:tcPr>
          <w:p w14:paraId="11ACFFD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3603565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C9AD3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未造成严重后果，处以下罚款：1.擅自倾倒、堆放、丢弃、遗撒污泥量＜20吨，系数为0；20吨≤擅自倾倒、堆放、丢弃、遗撒污泥量＜30吨，系数为 0.5；每增加10吨（不足10吨的，按10吨计），系数加0.5；190吨≤擅自倾倒、堆放、丢弃、遗撒污泥量，系数为9。2.存在基准2.1.3规定情形的，系数按照相关规定确定（基准2.1.3.5不适用）。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FB3F2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4964DD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存在以下情形之一的，可视为严重后果：1.违法行为在农用地或河湖保护和管理范围内或在地下水污染防治重点区；2.经执法部门处罚后，一年度内再次发生同类型违法行为。</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4416031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c>
          <w:tcPr>
            <w:tcW w:w="1869" w:type="dxa"/>
            <w:tcBorders>
              <w:top w:val="nil"/>
              <w:left w:val="single" w:color="auto" w:sz="4" w:space="0"/>
              <w:bottom w:val="single" w:color="auto" w:sz="4" w:space="0"/>
              <w:right w:val="single" w:color="auto" w:sz="4" w:space="0"/>
            </w:tcBorders>
            <w:noWrap w:val="0"/>
            <w:vAlign w:val="center"/>
          </w:tcPr>
          <w:p w14:paraId="403EAEF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C2310800</w:t>
            </w:r>
          </w:p>
        </w:tc>
      </w:tr>
      <w:tr w14:paraId="3F7B9EB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7C88DCEA">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640BF969">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0E9FA8EB">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6BECDE3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1DE876D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FFD40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未造成严重后果，处以下罚款：1.擅自倾倒、堆放、丢弃、遗撒污泥量＜20吨，系数为0；20吨≤擅自倾倒、堆放、丢弃、遗撒污泥量＜30吨，系数为 0.2；每增加10吨（不足10吨的，按10吨计），系数加0.2；210吨≤擅自倾倒、堆放、丢弃、遗撒污泥量，系数为4。2.存在基准2.1.3规定情形的，系数按照相关规定确定（基准2.1.3.5不适用）。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D77EC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69281D8F">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7CA8CD13">
            <w:pPr>
              <w:widowControl/>
              <w:jc w:val="left"/>
              <w:rPr>
                <w:rFonts w:hint="eastAsia" w:ascii="宋体" w:hAnsi="宋体" w:eastAsia="宋体" w:cs="宋体"/>
                <w:color w:val="auto"/>
                <w:kern w:val="0"/>
                <w:sz w:val="15"/>
                <w:szCs w:val="15"/>
                <w:highlight w:val="none"/>
              </w:rPr>
            </w:pPr>
          </w:p>
        </w:tc>
        <w:tc>
          <w:tcPr>
            <w:tcW w:w="1869" w:type="dxa"/>
            <w:tcBorders>
              <w:top w:val="nil"/>
              <w:left w:val="single" w:color="auto" w:sz="4" w:space="0"/>
              <w:bottom w:val="single" w:color="auto" w:sz="4" w:space="0"/>
              <w:right w:val="single" w:color="auto" w:sz="4" w:space="0"/>
            </w:tcBorders>
            <w:noWrap w:val="0"/>
            <w:vAlign w:val="center"/>
          </w:tcPr>
          <w:p w14:paraId="4A0B22CD">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C2310800</w:t>
            </w:r>
          </w:p>
        </w:tc>
      </w:tr>
      <w:tr w14:paraId="68EDB2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4B2C4C97">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25B205CC">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730241AC">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0D32AB0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53B654B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BB640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擅自倾倒、堆放、丢弃、遗撒污泥量＜20吨，系数为0；20吨≤擅自倾倒、堆放、丢弃、遗撒污泥量＜25吨，系数为0.05；每增加5吨（不足5吨的，按5吨计），系数加0.05；165吨≤擅自倾倒、堆放、丢弃、遗撒污泥量，系数为1.5。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A53B0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3F5FD489">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7F59D65D">
            <w:pPr>
              <w:widowControl/>
              <w:jc w:val="left"/>
              <w:rPr>
                <w:rFonts w:hint="eastAsia" w:ascii="宋体" w:hAnsi="宋体" w:eastAsia="宋体" w:cs="宋体"/>
                <w:color w:val="auto"/>
                <w:kern w:val="0"/>
                <w:sz w:val="15"/>
                <w:szCs w:val="15"/>
                <w:highlight w:val="none"/>
              </w:rPr>
            </w:pPr>
          </w:p>
        </w:tc>
        <w:tc>
          <w:tcPr>
            <w:tcW w:w="1869" w:type="dxa"/>
            <w:tcBorders>
              <w:top w:val="nil"/>
              <w:left w:val="single" w:color="auto" w:sz="4" w:space="0"/>
              <w:bottom w:val="single" w:color="auto" w:sz="4" w:space="0"/>
              <w:right w:val="single" w:color="auto" w:sz="4" w:space="0"/>
            </w:tcBorders>
            <w:noWrap w:val="0"/>
            <w:vAlign w:val="center"/>
          </w:tcPr>
          <w:p w14:paraId="1D049BD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C2310800</w:t>
            </w:r>
          </w:p>
        </w:tc>
      </w:tr>
      <w:tr w14:paraId="232017D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6442645A">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0FFE01FC">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69E439F6">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3B9B741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6CC73F4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C9565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擅自倾倒、堆放、丢弃、遗撒污泥量＜20吨，系数为0；20吨≤擅自倾倒、堆放、丢弃、遗撒污泥量＜30吨，系数为0.5；每增加10吨（不足10吨的，按10吨计），系数加0.5；190吨≤擅自倾倒、堆放、丢弃、遗撒污泥量，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8CFFE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30A4D4EA">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0FF0F171">
            <w:pPr>
              <w:widowControl/>
              <w:jc w:val="left"/>
              <w:rPr>
                <w:rFonts w:hint="eastAsia" w:ascii="宋体" w:hAnsi="宋体" w:eastAsia="宋体" w:cs="宋体"/>
                <w:color w:val="auto"/>
                <w:kern w:val="0"/>
                <w:sz w:val="15"/>
                <w:szCs w:val="15"/>
                <w:highlight w:val="none"/>
              </w:rPr>
            </w:pPr>
          </w:p>
        </w:tc>
        <w:tc>
          <w:tcPr>
            <w:tcW w:w="1869" w:type="dxa"/>
            <w:tcBorders>
              <w:top w:val="nil"/>
              <w:left w:val="single" w:color="auto" w:sz="4" w:space="0"/>
              <w:bottom w:val="single" w:color="auto" w:sz="4" w:space="0"/>
              <w:right w:val="single" w:color="auto" w:sz="4" w:space="0"/>
            </w:tcBorders>
            <w:noWrap w:val="0"/>
            <w:vAlign w:val="center"/>
          </w:tcPr>
          <w:p w14:paraId="63CD38C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C2310800</w:t>
            </w:r>
          </w:p>
        </w:tc>
      </w:tr>
      <w:tr w14:paraId="41E26B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83" w:hRule="atLeast"/>
        </w:trPr>
        <w:tc>
          <w:tcPr>
            <w:tcW w:w="13994" w:type="dxa"/>
            <w:gridSpan w:val="12"/>
            <w:tcBorders>
              <w:top w:val="nil"/>
              <w:left w:val="single" w:color="auto" w:sz="4" w:space="0"/>
              <w:bottom w:val="single" w:color="auto" w:sz="4" w:space="0"/>
              <w:right w:val="single" w:color="auto" w:sz="4" w:space="0"/>
            </w:tcBorders>
            <w:noWrap w:val="0"/>
            <w:vAlign w:val="center"/>
          </w:tcPr>
          <w:p w14:paraId="6E59FD2D">
            <w:pPr>
              <w:widowControl/>
              <w:jc w:val="center"/>
              <w:outlineLvl w:val="1"/>
              <w:rPr>
                <w:rFonts w:hint="eastAsia" w:ascii="宋体" w:hAnsi="宋体" w:eastAsia="宋体" w:cs="宋体"/>
                <w:color w:val="auto"/>
                <w:kern w:val="0"/>
                <w:szCs w:val="21"/>
                <w:highlight w:val="none"/>
              </w:rPr>
            </w:pPr>
            <w:bookmarkStart w:id="221" w:name="_Toc1963767815"/>
            <w:bookmarkStart w:id="222" w:name="_Toc218468835"/>
            <w:r>
              <w:rPr>
                <w:rFonts w:hint="eastAsia" w:ascii="宋体" w:hAnsi="宋体" w:eastAsia="宋体" w:cs="宋体"/>
                <w:b/>
                <w:bCs/>
                <w:color w:val="auto"/>
                <w:kern w:val="0"/>
                <w:szCs w:val="21"/>
                <w:highlight w:val="none"/>
              </w:rPr>
              <w:t>《城镇排水与污水处理条例》《北京市排水和再生水管理办法》案由12项</w:t>
            </w:r>
            <w:bookmarkEnd w:id="221"/>
            <w:bookmarkEnd w:id="222"/>
          </w:p>
        </w:tc>
        <w:tc>
          <w:tcPr>
            <w:tcW w:w="2462" w:type="dxa"/>
            <w:gridSpan w:val="2"/>
            <w:tcBorders>
              <w:top w:val="nil"/>
              <w:left w:val="single" w:color="auto" w:sz="4" w:space="0"/>
              <w:bottom w:val="single" w:color="auto" w:sz="4" w:space="0"/>
              <w:right w:val="single" w:color="auto" w:sz="4" w:space="0"/>
            </w:tcBorders>
            <w:noWrap w:val="0"/>
            <w:vAlign w:val="center"/>
          </w:tcPr>
          <w:p w14:paraId="0E2AA457">
            <w:pPr>
              <w:widowControl/>
              <w:jc w:val="center"/>
              <w:outlineLvl w:val="1"/>
              <w:rPr>
                <w:rFonts w:hint="eastAsia" w:ascii="宋体" w:hAnsi="宋体" w:eastAsia="宋体" w:cs="宋体"/>
                <w:b/>
                <w:bCs/>
                <w:color w:val="auto"/>
                <w:kern w:val="0"/>
                <w:szCs w:val="21"/>
                <w:highlight w:val="none"/>
              </w:rPr>
            </w:pPr>
          </w:p>
        </w:tc>
      </w:tr>
      <w:tr w14:paraId="2CEE516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18"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6F3A042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14:paraId="7E9D1FD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城镇排水与污水处理设施、再生水设施维护运营单位未按照有关规定履行日常巡查、维修和养护责任，保障设施安全运行</w:t>
            </w:r>
          </w:p>
        </w:tc>
        <w:tc>
          <w:tcPr>
            <w:tcW w:w="2981" w:type="dxa"/>
            <w:tcBorders>
              <w:top w:val="nil"/>
              <w:left w:val="nil"/>
              <w:bottom w:val="single" w:color="auto" w:sz="4" w:space="0"/>
              <w:right w:val="single" w:color="auto" w:sz="4" w:space="0"/>
            </w:tcBorders>
            <w:noWrap w:val="0"/>
            <w:vAlign w:val="center"/>
          </w:tcPr>
          <w:p w14:paraId="4B3CD8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处罚条款：《条例》第五十五条，责令改正，给予警告；逾期不改正或者造成严重后果的，处10万元以上50万元以下罚款。</w:t>
            </w:r>
          </w:p>
        </w:tc>
        <w:tc>
          <w:tcPr>
            <w:tcW w:w="851" w:type="dxa"/>
            <w:tcBorders>
              <w:top w:val="nil"/>
              <w:left w:val="nil"/>
              <w:bottom w:val="single" w:color="auto" w:sz="4" w:space="0"/>
              <w:right w:val="single" w:color="auto" w:sz="4" w:space="0"/>
            </w:tcBorders>
            <w:noWrap w:val="0"/>
            <w:vAlign w:val="center"/>
          </w:tcPr>
          <w:p w14:paraId="170E5AA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385062C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0A21C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违法行为持续时间＜15天，系数为0；2.15天≤违法行为持续时间＜20天，系数为0.5；3.20天≤违法行为持续时间＜25天，系数为1；4.25天≤违法行为持续时间＜30天，系数为1.5；5.30天≤违法行为持续时间＜35天，系数为2；6.35天≤违法行为持续时间＜40天，系数为2.5；7.40天≤违法行为持续时间＜45天，系数为3；8.45天≤违法行为持续时间＜60天，系数为3.5；9.60天≤违法行为持续时间，系数为4。</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61EB8D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72C4C0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65CE763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41363A5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C2308100</w:t>
            </w:r>
          </w:p>
        </w:tc>
      </w:tr>
      <w:tr w14:paraId="5551B04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1CA317D4">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7971E805">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14:paraId="64DA80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处罚条款：《办法》第三十七条第一款第（一）项，给予警告，责令限期改正，并可处1万元以上3万元以下罚款。</w:t>
            </w:r>
          </w:p>
        </w:tc>
        <w:tc>
          <w:tcPr>
            <w:tcW w:w="851" w:type="dxa"/>
            <w:tcBorders>
              <w:top w:val="nil"/>
              <w:left w:val="nil"/>
              <w:bottom w:val="single" w:color="auto" w:sz="4" w:space="0"/>
              <w:right w:val="single" w:color="auto" w:sz="4" w:space="0"/>
            </w:tcBorders>
            <w:noWrap w:val="0"/>
            <w:vAlign w:val="center"/>
          </w:tcPr>
          <w:p w14:paraId="4EA231C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A12384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21A11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违法行为持续时间＜15天，系数为0；2.15天≤违法行为持续时间＜60天，系数为1；3.60天≤违法行为持续时间，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8A6FA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3ACB03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本案由主要适用于对再生水设施未履行巡查、养护和维护职责行为的处罚。</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7BC86211">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614CD2CC">
            <w:pPr>
              <w:widowControl/>
              <w:jc w:val="left"/>
              <w:rPr>
                <w:rFonts w:hint="eastAsia" w:ascii="宋体" w:hAnsi="宋体" w:eastAsia="宋体" w:cs="宋体"/>
                <w:color w:val="auto"/>
                <w:kern w:val="0"/>
                <w:sz w:val="15"/>
                <w:szCs w:val="15"/>
                <w:highlight w:val="none"/>
                <w:lang w:eastAsia="zh"/>
              </w:rPr>
            </w:pPr>
          </w:p>
        </w:tc>
      </w:tr>
      <w:tr w14:paraId="13181E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vMerge w:val="restart"/>
            <w:tcBorders>
              <w:top w:val="nil"/>
              <w:left w:val="single" w:color="auto" w:sz="4" w:space="0"/>
              <w:right w:val="single" w:color="auto" w:sz="4" w:space="0"/>
            </w:tcBorders>
            <w:noWrap/>
            <w:vAlign w:val="center"/>
          </w:tcPr>
          <w:p w14:paraId="09E2360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nil"/>
              <w:right w:val="single" w:color="auto" w:sz="4" w:space="0"/>
            </w:tcBorders>
            <w:noWrap w:val="0"/>
            <w:vAlign w:val="center"/>
          </w:tcPr>
          <w:p w14:paraId="6905BF6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因工程建设需要擅自拆除、改动城镇排水与污水处理设施</w:t>
            </w:r>
          </w:p>
        </w:tc>
        <w:tc>
          <w:tcPr>
            <w:tcW w:w="2981" w:type="dxa"/>
            <w:vMerge w:val="restart"/>
            <w:tcBorders>
              <w:top w:val="nil"/>
              <w:left w:val="nil"/>
              <w:right w:val="single" w:color="auto" w:sz="4" w:space="0"/>
            </w:tcBorders>
            <w:noWrap w:val="0"/>
            <w:vAlign w:val="center"/>
          </w:tcPr>
          <w:p w14:paraId="24C05E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违反条款：《条例》第四十三条第四款；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处罚条款：《条例》第五十七条第二款，责令改正，恢复原状或者采取其他补救措施，处5万元以上10万元以下罚款；造成严重后果的，处10万元以上30万元以下罚款。</w:t>
            </w:r>
          </w:p>
        </w:tc>
        <w:tc>
          <w:tcPr>
            <w:tcW w:w="851" w:type="dxa"/>
            <w:tcBorders>
              <w:top w:val="nil"/>
              <w:left w:val="nil"/>
              <w:bottom w:val="single" w:color="auto" w:sz="4" w:space="0"/>
              <w:right w:val="single" w:color="auto" w:sz="4" w:space="0"/>
            </w:tcBorders>
            <w:noWrap w:val="0"/>
            <w:vAlign w:val="center"/>
          </w:tcPr>
          <w:p w14:paraId="552FC3B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0213E63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5DCD5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的，处以下罚款：1.直接经济损失＜5万元，系数为0；2.5万元≤直接经济损失＜20万元，系数为0.5；3.20万元≤直接经济损失，系数为1。4.存在基准2.1.3规定情形的，系数按照相关规定确定（基准2.1.3.5不适用）。罚款金额不得超过10万元。</w:t>
            </w:r>
          </w:p>
        </w:tc>
        <w:tc>
          <w:tcPr>
            <w:tcW w:w="1879" w:type="dxa"/>
            <w:gridSpan w:val="3"/>
            <w:tcBorders>
              <w:top w:val="nil"/>
              <w:left w:val="nil"/>
              <w:bottom w:val="single" w:color="auto" w:sz="4" w:space="0"/>
              <w:right w:val="single" w:color="auto" w:sz="4" w:space="0"/>
            </w:tcBorders>
            <w:noWrap w:val="0"/>
            <w:vAlign w:val="center"/>
          </w:tcPr>
          <w:p w14:paraId="3A6CCC7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vMerge w:val="restart"/>
            <w:tcBorders>
              <w:top w:val="nil"/>
              <w:left w:val="nil"/>
              <w:right w:val="single" w:color="auto" w:sz="4" w:space="0"/>
            </w:tcBorders>
            <w:noWrap w:val="0"/>
            <w:vAlign w:val="center"/>
          </w:tcPr>
          <w:p w14:paraId="7A8C4F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1304" w:type="dxa"/>
            <w:gridSpan w:val="2"/>
            <w:vMerge w:val="restart"/>
            <w:tcBorders>
              <w:top w:val="nil"/>
              <w:left w:val="nil"/>
              <w:right w:val="single" w:color="auto" w:sz="4" w:space="0"/>
            </w:tcBorders>
            <w:noWrap w:val="0"/>
            <w:vAlign w:val="center"/>
          </w:tcPr>
          <w:p w14:paraId="08D4616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nil"/>
              <w:right w:val="single" w:color="auto" w:sz="4" w:space="0"/>
            </w:tcBorders>
            <w:noWrap w:val="0"/>
            <w:vAlign w:val="center"/>
          </w:tcPr>
          <w:p w14:paraId="4BBEF7D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C2308400</w:t>
            </w:r>
          </w:p>
        </w:tc>
      </w:tr>
      <w:tr w14:paraId="5A070B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continue"/>
            <w:tcBorders>
              <w:left w:val="single" w:color="auto" w:sz="4" w:space="0"/>
              <w:bottom w:val="single" w:color="auto" w:sz="4" w:space="0"/>
              <w:right w:val="single" w:color="auto" w:sz="4" w:space="0"/>
            </w:tcBorders>
            <w:noWrap/>
            <w:vAlign w:val="center"/>
          </w:tcPr>
          <w:p w14:paraId="12451EF6">
            <w:pPr>
              <w:widowControl/>
              <w:jc w:val="center"/>
              <w:rPr>
                <w:rFonts w:hint="eastAsia" w:ascii="宋体" w:hAnsi="宋体" w:eastAsia="宋体" w:cs="宋体"/>
                <w:color w:val="auto"/>
                <w:kern w:val="0"/>
                <w:sz w:val="15"/>
                <w:szCs w:val="15"/>
                <w:highlight w:val="none"/>
              </w:rPr>
            </w:pPr>
          </w:p>
        </w:tc>
        <w:tc>
          <w:tcPr>
            <w:tcW w:w="1624" w:type="dxa"/>
            <w:vMerge w:val="continue"/>
            <w:tcBorders>
              <w:left w:val="nil"/>
              <w:bottom w:val="single" w:color="auto" w:sz="4" w:space="0"/>
              <w:right w:val="single" w:color="auto" w:sz="4" w:space="0"/>
            </w:tcBorders>
            <w:noWrap w:val="0"/>
            <w:vAlign w:val="center"/>
          </w:tcPr>
          <w:p w14:paraId="0AB76832">
            <w:pPr>
              <w:widowControl/>
              <w:jc w:val="left"/>
              <w:rPr>
                <w:rFonts w:hint="eastAsia" w:ascii="宋体" w:hAnsi="宋体" w:eastAsia="宋体" w:cs="宋体"/>
                <w:color w:val="auto"/>
                <w:kern w:val="0"/>
                <w:sz w:val="15"/>
                <w:szCs w:val="15"/>
                <w:highlight w:val="none"/>
              </w:rPr>
            </w:pPr>
          </w:p>
        </w:tc>
        <w:tc>
          <w:tcPr>
            <w:tcW w:w="2981" w:type="dxa"/>
            <w:vMerge w:val="continue"/>
            <w:tcBorders>
              <w:left w:val="nil"/>
              <w:bottom w:val="single" w:color="auto" w:sz="4" w:space="0"/>
              <w:right w:val="single" w:color="auto" w:sz="4" w:space="0"/>
            </w:tcBorders>
            <w:noWrap w:val="0"/>
            <w:vAlign w:val="center"/>
          </w:tcPr>
          <w:p w14:paraId="08B3062B">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56E344CB">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100000</w:t>
            </w:r>
          </w:p>
        </w:tc>
        <w:tc>
          <w:tcPr>
            <w:tcW w:w="840" w:type="dxa"/>
            <w:tcBorders>
              <w:top w:val="nil"/>
              <w:left w:val="nil"/>
              <w:bottom w:val="single" w:color="auto" w:sz="4" w:space="0"/>
              <w:right w:val="single" w:color="auto" w:sz="4" w:space="0"/>
            </w:tcBorders>
            <w:noWrap w:val="0"/>
            <w:vAlign w:val="center"/>
          </w:tcPr>
          <w:p w14:paraId="3764B14A">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2376" w:type="dxa"/>
            <w:tcBorders>
              <w:top w:val="nil"/>
              <w:left w:val="nil"/>
              <w:bottom w:val="single" w:color="auto" w:sz="4" w:space="0"/>
              <w:right w:val="single" w:color="auto" w:sz="4" w:space="0"/>
            </w:tcBorders>
            <w:noWrap w:val="0"/>
            <w:vAlign w:val="center"/>
          </w:tcPr>
          <w:p w14:paraId="4A2D34A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造成严重后果的，处以下罚款：1.违法行为改正时间=1天，系数为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；违法行为改正时间每增加1天，系数加0.</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11</w:t>
            </w:r>
            <w:r>
              <w:rPr>
                <w:rFonts w:hint="eastAsia" w:ascii="宋体" w:hAnsi="宋体" w:eastAsia="宋体" w:cs="宋体"/>
                <w:color w:val="auto"/>
                <w:kern w:val="0"/>
                <w:sz w:val="15"/>
                <w:szCs w:val="15"/>
                <w:highlight w:val="none"/>
              </w:rPr>
              <w:t>天≤违法行为改正时间，系数为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C6300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0000×（1+情节系数）</w:t>
            </w:r>
          </w:p>
        </w:tc>
        <w:tc>
          <w:tcPr>
            <w:tcW w:w="2016" w:type="dxa"/>
            <w:vMerge w:val="continue"/>
            <w:tcBorders>
              <w:left w:val="nil"/>
              <w:bottom w:val="single" w:color="auto" w:sz="4" w:space="0"/>
              <w:right w:val="single" w:color="auto" w:sz="4" w:space="0"/>
            </w:tcBorders>
            <w:noWrap w:val="0"/>
            <w:vAlign w:val="center"/>
          </w:tcPr>
          <w:p w14:paraId="49220487">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left w:val="nil"/>
              <w:bottom w:val="single" w:color="auto" w:sz="4" w:space="0"/>
              <w:right w:val="single" w:color="auto" w:sz="4" w:space="0"/>
            </w:tcBorders>
            <w:noWrap w:val="0"/>
            <w:vAlign w:val="center"/>
          </w:tcPr>
          <w:p w14:paraId="4A278A80">
            <w:pPr>
              <w:widowControl/>
              <w:jc w:val="center"/>
              <w:rPr>
                <w:rFonts w:hint="eastAsia" w:ascii="宋体" w:hAnsi="宋体" w:eastAsia="宋体" w:cs="宋体"/>
                <w:color w:val="auto"/>
                <w:kern w:val="0"/>
                <w:sz w:val="15"/>
                <w:szCs w:val="15"/>
                <w:highlight w:val="none"/>
                <w:lang w:eastAsia="zh-CN"/>
              </w:rPr>
            </w:pPr>
          </w:p>
        </w:tc>
        <w:tc>
          <w:tcPr>
            <w:tcW w:w="1869" w:type="dxa"/>
            <w:vMerge w:val="continue"/>
            <w:tcBorders>
              <w:left w:val="nil"/>
              <w:bottom w:val="single" w:color="auto" w:sz="4" w:space="0"/>
              <w:right w:val="single" w:color="auto" w:sz="4" w:space="0"/>
            </w:tcBorders>
            <w:noWrap w:val="0"/>
            <w:vAlign w:val="center"/>
          </w:tcPr>
          <w:p w14:paraId="45F7C997">
            <w:pPr>
              <w:widowControl/>
              <w:jc w:val="center"/>
              <w:rPr>
                <w:rFonts w:hint="eastAsia" w:ascii="宋体" w:hAnsi="宋体" w:eastAsia="宋体" w:cs="宋体"/>
                <w:color w:val="auto"/>
                <w:kern w:val="0"/>
                <w:sz w:val="15"/>
                <w:szCs w:val="15"/>
                <w:highlight w:val="none"/>
                <w:lang w:eastAsia="zh"/>
              </w:rPr>
            </w:pPr>
          </w:p>
        </w:tc>
      </w:tr>
      <w:tr w14:paraId="2A9FCA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6102AE7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78544A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在雨水、污水分流地区，建设单位、施工单位将雨水管网、污水管网相互混接</w:t>
            </w:r>
          </w:p>
        </w:tc>
        <w:tc>
          <w:tcPr>
            <w:tcW w:w="2981" w:type="dxa"/>
            <w:tcBorders>
              <w:top w:val="nil"/>
              <w:left w:val="nil"/>
              <w:bottom w:val="single" w:color="auto" w:sz="4" w:space="0"/>
              <w:right w:val="single" w:color="auto" w:sz="4" w:space="0"/>
            </w:tcBorders>
            <w:noWrap w:val="0"/>
            <w:vAlign w:val="center"/>
          </w:tcPr>
          <w:p w14:paraId="0FA654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处罚条款：《条例》第四十八条，责令改正，处5万元以上10万元以下的罚款。</w:t>
            </w:r>
          </w:p>
        </w:tc>
        <w:tc>
          <w:tcPr>
            <w:tcW w:w="851" w:type="dxa"/>
            <w:tcBorders>
              <w:top w:val="nil"/>
              <w:left w:val="nil"/>
              <w:bottom w:val="single" w:color="auto" w:sz="4" w:space="0"/>
              <w:right w:val="single" w:color="auto" w:sz="4" w:space="0"/>
            </w:tcBorders>
            <w:noWrap w:val="0"/>
            <w:vAlign w:val="center"/>
          </w:tcPr>
          <w:p w14:paraId="1FA633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52BAC92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947ACA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1.混接管径＜DN400或未实际排水，系数为0；2.DN400≤混接管径＜DN800，系数为0.5；3.DN800≤混接管径，系数为1。4.存在基准2.1.3规定情形的，系数按照相关规定确定（基准2.1.3.5不适用）。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E3414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30A119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AA6A42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E18C2C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C2309900</w:t>
            </w:r>
          </w:p>
        </w:tc>
      </w:tr>
      <w:tr w14:paraId="6EC930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198AEAE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vMerge w:val="restart"/>
            <w:tcBorders>
              <w:top w:val="nil"/>
              <w:left w:val="single" w:color="auto" w:sz="4" w:space="0"/>
              <w:bottom w:val="single" w:color="auto" w:sz="4" w:space="0"/>
              <w:right w:val="single" w:color="auto" w:sz="4" w:space="0"/>
            </w:tcBorders>
            <w:noWrap w:val="0"/>
            <w:vAlign w:val="center"/>
          </w:tcPr>
          <w:p w14:paraId="4DA307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在雨水、污水分流地区将污水排入雨水管网</w:t>
            </w:r>
          </w:p>
        </w:tc>
        <w:tc>
          <w:tcPr>
            <w:tcW w:w="2981" w:type="dxa"/>
            <w:vMerge w:val="restart"/>
            <w:tcBorders>
              <w:top w:val="nil"/>
              <w:left w:val="single" w:color="auto" w:sz="4" w:space="0"/>
              <w:bottom w:val="single" w:color="auto" w:sz="4" w:space="0"/>
              <w:right w:val="single" w:color="auto" w:sz="4" w:space="0"/>
            </w:tcBorders>
            <w:noWrap w:val="0"/>
            <w:vAlign w:val="center"/>
          </w:tcPr>
          <w:p w14:paraId="1B28E6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处罚条款：《条例》第四十九条，责令改正，给予警告；逾期不改正或者造成严重后果的，对单位处10万元以上20万元以下罚款，对个人处2万元以上10万元以下罚款。</w:t>
            </w:r>
          </w:p>
        </w:tc>
        <w:tc>
          <w:tcPr>
            <w:tcW w:w="851" w:type="dxa"/>
            <w:tcBorders>
              <w:top w:val="nil"/>
              <w:left w:val="nil"/>
              <w:bottom w:val="single" w:color="auto" w:sz="4" w:space="0"/>
              <w:right w:val="single" w:color="auto" w:sz="4" w:space="0"/>
            </w:tcBorders>
            <w:noWrap w:val="0"/>
            <w:vAlign w:val="center"/>
          </w:tcPr>
          <w:p w14:paraId="1B86F9C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14:paraId="2C1A981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33CDAE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日用水量＜10立方米，系数为0；2.10立方米≤日用水量＜20立方米，系数为0.2；3.20立方米≤日用水量＜30立方米，系数为0.4；4.30立方米≤日用水量＜40立方米，系数为0.6；5.40立方米≤日用水量＜50立方米，系数为0.8；6.50立方米≤日用水量，系数为1。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43870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57A4A0E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存在以下情形之一的，可视为严重后果：1.出现生态赔偿的；2.造成污染物外溢且影响户数＞1000户；3.经执法部门处罚后，一年度内再次发生同类型违法行为。</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1C66F9D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3E6D43E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C2310000</w:t>
            </w:r>
          </w:p>
        </w:tc>
      </w:tr>
      <w:tr w14:paraId="2323B6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6A3056E4">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3880497C">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58816000">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38BB3B1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7929B41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74155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日用水量＜10立方米，系数为0；2.10立方米≤日用水量＜20立方米，系数为1；3.20立方米≤日用水量＜30立方米，系数为2；4.30立方米≤日用水量＜40立方米，系数为3；5.40立方米≤日用水量，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0A430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391084AC">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72599A69">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2075A8B0">
            <w:pPr>
              <w:widowControl/>
              <w:jc w:val="left"/>
              <w:rPr>
                <w:rFonts w:hint="eastAsia" w:ascii="宋体" w:hAnsi="宋体" w:eastAsia="宋体" w:cs="宋体"/>
                <w:color w:val="auto"/>
                <w:kern w:val="0"/>
                <w:sz w:val="15"/>
                <w:szCs w:val="15"/>
                <w:highlight w:val="none"/>
                <w:lang w:eastAsia="zh"/>
              </w:rPr>
            </w:pPr>
          </w:p>
        </w:tc>
      </w:tr>
      <w:tr w14:paraId="0181A6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ign w:val="center"/>
          </w:tcPr>
          <w:p w14:paraId="008DA23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14:paraId="3BA4B21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因城镇排水设施维护或者检修可能对排水造成影响或者严重影响，城镇排水设施维护运营单位未提前通知相关排水户或者未事先向城镇排水主管部门报告，采取应急处理措施</w:t>
            </w:r>
          </w:p>
        </w:tc>
        <w:tc>
          <w:tcPr>
            <w:tcW w:w="2981" w:type="dxa"/>
            <w:tcBorders>
              <w:top w:val="nil"/>
              <w:left w:val="nil"/>
              <w:bottom w:val="single" w:color="auto" w:sz="4" w:space="0"/>
              <w:right w:val="single" w:color="auto" w:sz="4" w:space="0"/>
            </w:tcBorders>
            <w:noWrap w:val="0"/>
            <w:vAlign w:val="center"/>
          </w:tcPr>
          <w:p w14:paraId="25FE2B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处罚条款：《条例》第五十一条，责令改正，给予警告；逾期不改正或者造成严重后果的，处10万元以上20万元以下罚款。</w:t>
            </w:r>
          </w:p>
        </w:tc>
        <w:tc>
          <w:tcPr>
            <w:tcW w:w="851" w:type="dxa"/>
            <w:tcBorders>
              <w:top w:val="nil"/>
              <w:left w:val="nil"/>
              <w:bottom w:val="single" w:color="auto" w:sz="4" w:space="0"/>
              <w:right w:val="single" w:color="auto" w:sz="4" w:space="0"/>
            </w:tcBorders>
            <w:noWrap w:val="0"/>
            <w:vAlign w:val="center"/>
          </w:tcPr>
          <w:p w14:paraId="1C651DA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6DD81D4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88BF5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处以下罚款：1.影响排水时间＜2天，系数为0；2.2天≤影响排水时间＜4 天，系数为0.2；3.4天≤影响排水时间＜6 天，系数为0.4；4.6天≤影响排水时间＜8 天，系数为0.6；5.8天≤影响排水时间＜10 天，系数为0.8；6.10天≤影响排水时间，系数为1。7.存在基准2.1.3规定情形的，系数按照相关规定确定（基准2.1.3.5不适用）。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8FC9A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0574B36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1304" w:type="dxa"/>
            <w:gridSpan w:val="2"/>
            <w:tcBorders>
              <w:top w:val="nil"/>
              <w:left w:val="nil"/>
              <w:bottom w:val="single" w:color="auto" w:sz="4" w:space="0"/>
              <w:right w:val="single" w:color="auto" w:sz="4" w:space="0"/>
            </w:tcBorders>
            <w:noWrap w:val="0"/>
            <w:vAlign w:val="center"/>
          </w:tcPr>
          <w:p w14:paraId="24CF1EA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FBE892D">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C2346400</w:t>
            </w:r>
          </w:p>
        </w:tc>
      </w:tr>
      <w:tr w14:paraId="201F1C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900" w:hRule="atLeast"/>
        </w:trPr>
        <w:tc>
          <w:tcPr>
            <w:tcW w:w="716" w:type="dxa"/>
            <w:gridSpan w:val="2"/>
            <w:tcBorders>
              <w:top w:val="nil"/>
              <w:left w:val="single" w:color="auto" w:sz="4" w:space="0"/>
              <w:bottom w:val="single" w:color="auto" w:sz="4" w:space="0"/>
              <w:right w:val="single" w:color="auto" w:sz="4" w:space="0"/>
            </w:tcBorders>
            <w:noWrap/>
            <w:vAlign w:val="center"/>
          </w:tcPr>
          <w:p w14:paraId="7587BDC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14:paraId="75CD18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城镇排水设施维护运营单位未按照防汛要求对城镇排水设施进行全面检查、维护、清疏，影响汛期排水畅通</w:t>
            </w:r>
          </w:p>
        </w:tc>
        <w:tc>
          <w:tcPr>
            <w:tcW w:w="2981" w:type="dxa"/>
            <w:tcBorders>
              <w:top w:val="nil"/>
              <w:left w:val="nil"/>
              <w:bottom w:val="single" w:color="auto" w:sz="4" w:space="0"/>
              <w:right w:val="single" w:color="auto" w:sz="4" w:space="0"/>
            </w:tcBorders>
            <w:noWrap w:val="0"/>
            <w:vAlign w:val="center"/>
          </w:tcPr>
          <w:p w14:paraId="07BB23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处罚条款：《条例》第五十一条，责令改正，给予警告；逾期不改正或者造成严重后果的，处10万元以上20万元以下罚款。</w:t>
            </w:r>
          </w:p>
        </w:tc>
        <w:tc>
          <w:tcPr>
            <w:tcW w:w="851" w:type="dxa"/>
            <w:tcBorders>
              <w:top w:val="nil"/>
              <w:left w:val="nil"/>
              <w:bottom w:val="single" w:color="auto" w:sz="4" w:space="0"/>
              <w:right w:val="single" w:color="auto" w:sz="4" w:space="0"/>
            </w:tcBorders>
            <w:noWrap w:val="0"/>
            <w:vAlign w:val="center"/>
          </w:tcPr>
          <w:p w14:paraId="265CDFD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5D8C5D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A634D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，处以下罚款：1.影响汛期排水通畅时间＜6小时，系数为0</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2.6小时≤影响汛期排水通畅时间＜12小时，系数为0.2；3.12小时≤影响汛期排水通畅时间＜18小时，系数为0.4；4.18小时≤影响汛期排水通畅时间＜24小时，系数为0.6；5.24小时≤影响汛期排水通畅时间＜30小时，系数为0.8；6.30小时≤影响汛期排水通畅时间＜36小时，系数为1。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06464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1F4D01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发生一般及以上安全事故的，视为严重后果。</w:t>
            </w:r>
          </w:p>
        </w:tc>
        <w:tc>
          <w:tcPr>
            <w:tcW w:w="1304" w:type="dxa"/>
            <w:gridSpan w:val="2"/>
            <w:tcBorders>
              <w:top w:val="nil"/>
              <w:left w:val="nil"/>
              <w:bottom w:val="single" w:color="auto" w:sz="4" w:space="0"/>
              <w:right w:val="single" w:color="auto" w:sz="4" w:space="0"/>
            </w:tcBorders>
            <w:noWrap w:val="0"/>
            <w:vAlign w:val="center"/>
          </w:tcPr>
          <w:p w14:paraId="6061277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5277BC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C2346400</w:t>
            </w:r>
          </w:p>
        </w:tc>
      </w:tr>
      <w:tr w14:paraId="0CC570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7358457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14:paraId="45382E7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城镇排水设施维护运营单位未按照有关规定检测、报送有关信息</w:t>
            </w:r>
          </w:p>
        </w:tc>
        <w:tc>
          <w:tcPr>
            <w:tcW w:w="2981" w:type="dxa"/>
            <w:tcBorders>
              <w:top w:val="nil"/>
              <w:left w:val="nil"/>
              <w:bottom w:val="single" w:color="auto" w:sz="4" w:space="0"/>
              <w:right w:val="single" w:color="auto" w:sz="4" w:space="0"/>
            </w:tcBorders>
            <w:noWrap w:val="0"/>
            <w:vAlign w:val="center"/>
          </w:tcPr>
          <w:p w14:paraId="1DB4870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处罚条款：《条例》第五十二条第一款，责令改正，可以处5万元以下罚款。</w:t>
            </w:r>
          </w:p>
        </w:tc>
        <w:tc>
          <w:tcPr>
            <w:tcW w:w="851" w:type="dxa"/>
            <w:tcBorders>
              <w:top w:val="nil"/>
              <w:left w:val="nil"/>
              <w:bottom w:val="single" w:color="auto" w:sz="4" w:space="0"/>
              <w:right w:val="single" w:color="auto" w:sz="4" w:space="0"/>
            </w:tcBorders>
            <w:noWrap w:val="0"/>
            <w:vAlign w:val="center"/>
          </w:tcPr>
          <w:p w14:paraId="33DF4B2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0463E61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59767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报送污水处理水质、水量、主要污染物削减量、生产运营成本等信息，出现1类，系数为0；每多出现1类，系数加1；2.未按照国家有关规定检测进出水水质，系数为5。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2E6CC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1094E7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56F0FFA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EF37E86">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C2346600</w:t>
            </w:r>
          </w:p>
        </w:tc>
      </w:tr>
      <w:tr w14:paraId="22B883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90" w:hRule="atLeast"/>
        </w:trPr>
        <w:tc>
          <w:tcPr>
            <w:tcW w:w="716" w:type="dxa"/>
            <w:gridSpan w:val="2"/>
            <w:tcBorders>
              <w:top w:val="nil"/>
              <w:left w:val="single" w:color="auto" w:sz="4" w:space="0"/>
              <w:bottom w:val="single" w:color="auto" w:sz="4" w:space="0"/>
              <w:right w:val="single" w:color="auto" w:sz="4" w:space="0"/>
            </w:tcBorders>
            <w:noWrap/>
            <w:vAlign w:val="center"/>
          </w:tcPr>
          <w:p w14:paraId="1D4F83A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14:paraId="7D1CFA3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擅自停运城镇污水处理设施，未按照规定事先报告或者采取应急处理措施</w:t>
            </w:r>
          </w:p>
        </w:tc>
        <w:tc>
          <w:tcPr>
            <w:tcW w:w="2981" w:type="dxa"/>
            <w:tcBorders>
              <w:top w:val="nil"/>
              <w:left w:val="nil"/>
              <w:bottom w:val="single" w:color="auto" w:sz="4" w:space="0"/>
              <w:right w:val="single" w:color="auto" w:sz="4" w:space="0"/>
            </w:tcBorders>
            <w:noWrap w:val="0"/>
            <w:vAlign w:val="center"/>
          </w:tcPr>
          <w:p w14:paraId="0A3454A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处罚条款：《条例》第五十二条第二款，责令改正，给予警告；逾期不改正或者造成严重后果的，处10万元以上50万元以下罚</w:t>
            </w:r>
            <w:r>
              <w:rPr>
                <w:rFonts w:hint="eastAsia" w:ascii="宋体" w:hAnsi="宋体" w:eastAsia="宋体" w:cs="宋体"/>
                <w:color w:val="auto"/>
                <w:kern w:val="0"/>
                <w:sz w:val="15"/>
                <w:szCs w:val="15"/>
                <w:highlight w:val="none"/>
                <w:lang w:eastAsia="zh-CN"/>
              </w:rPr>
              <w:t>款。</w:t>
            </w:r>
          </w:p>
        </w:tc>
        <w:tc>
          <w:tcPr>
            <w:tcW w:w="851" w:type="dxa"/>
            <w:tcBorders>
              <w:top w:val="nil"/>
              <w:left w:val="nil"/>
              <w:bottom w:val="single" w:color="auto" w:sz="4" w:space="0"/>
              <w:right w:val="single" w:color="auto" w:sz="4" w:space="0"/>
            </w:tcBorders>
            <w:noWrap w:val="0"/>
            <w:vAlign w:val="center"/>
          </w:tcPr>
          <w:p w14:paraId="3AFBF90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7125750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80624E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，处以下罚款：1.晚于法定报告时间＜10个工作日，系数为0；</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10个工作日≤晚于法定报告时间＜30个工作日，系数为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30个工作日≤晚于法定报告时间＜60个工作日，系数为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60个工作日≤晚于法定报告时间＜90个工作日，系数为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90个工作日≤晚于法定报告时间，系数为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.未按照规定采取应急措施，系数为2。</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726D6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5A58E3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存在以下情形之一的，可视为严重后果：1.造成城镇污水处理厂排放超标或污染物外溢且影响户数＞1000户；2.经执法部门处罚后，一年度内再次发生同类型违法行为。</w:t>
            </w:r>
          </w:p>
        </w:tc>
        <w:tc>
          <w:tcPr>
            <w:tcW w:w="1304" w:type="dxa"/>
            <w:gridSpan w:val="2"/>
            <w:tcBorders>
              <w:top w:val="nil"/>
              <w:left w:val="nil"/>
              <w:bottom w:val="single" w:color="auto" w:sz="4" w:space="0"/>
              <w:right w:val="single" w:color="auto" w:sz="4" w:space="0"/>
            </w:tcBorders>
            <w:noWrap w:val="0"/>
            <w:vAlign w:val="center"/>
          </w:tcPr>
          <w:p w14:paraId="645F31A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9622CB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C2310600</w:t>
            </w:r>
          </w:p>
        </w:tc>
      </w:tr>
      <w:tr w14:paraId="35A52E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0C9A960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14:paraId="35B1EC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排水单位（用水单位）或者个人不缴纳污水处理费</w:t>
            </w:r>
          </w:p>
        </w:tc>
        <w:tc>
          <w:tcPr>
            <w:tcW w:w="2981" w:type="dxa"/>
            <w:tcBorders>
              <w:top w:val="nil"/>
              <w:left w:val="nil"/>
              <w:bottom w:val="single" w:color="auto" w:sz="4" w:space="0"/>
              <w:right w:val="single" w:color="auto" w:sz="4" w:space="0"/>
            </w:tcBorders>
            <w:noWrap w:val="0"/>
            <w:vAlign w:val="center"/>
          </w:tcPr>
          <w:p w14:paraId="0CD375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处罚条款：《条例》第五十四条，责令限期缴纳，逾期拒不缴纳的，处应缴纳污水处理费数额1倍以上3倍以下罚款。</w:t>
            </w:r>
          </w:p>
        </w:tc>
        <w:tc>
          <w:tcPr>
            <w:tcW w:w="851" w:type="dxa"/>
            <w:tcBorders>
              <w:top w:val="nil"/>
              <w:left w:val="nil"/>
              <w:bottom w:val="single" w:color="auto" w:sz="4" w:space="0"/>
              <w:right w:val="single" w:color="auto" w:sz="4" w:space="0"/>
            </w:tcBorders>
            <w:noWrap w:val="0"/>
            <w:vAlign w:val="center"/>
          </w:tcPr>
          <w:p w14:paraId="0986D66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应缴纳污水处理费</w:t>
            </w:r>
          </w:p>
        </w:tc>
        <w:tc>
          <w:tcPr>
            <w:tcW w:w="840" w:type="dxa"/>
            <w:tcBorders>
              <w:top w:val="nil"/>
              <w:left w:val="nil"/>
              <w:bottom w:val="single" w:color="auto" w:sz="4" w:space="0"/>
              <w:right w:val="single" w:color="auto" w:sz="4" w:space="0"/>
            </w:tcBorders>
            <w:noWrap w:val="0"/>
            <w:vAlign w:val="center"/>
          </w:tcPr>
          <w:p w14:paraId="5E66C31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2E78D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缴费时间＜5个工作日，系数为0；2.5个工作日≤逾期后缴费时间＜10个工作日，系数为1；3.10个工作日≤逾期后缴费时间，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FFB5A2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罚款金额=应缴纳污水处理费×（1+情节系数）</w:t>
            </w:r>
          </w:p>
        </w:tc>
        <w:tc>
          <w:tcPr>
            <w:tcW w:w="2016" w:type="dxa"/>
            <w:tcBorders>
              <w:top w:val="nil"/>
              <w:left w:val="nil"/>
              <w:bottom w:val="single" w:color="auto" w:sz="4" w:space="0"/>
              <w:right w:val="single" w:color="auto" w:sz="4" w:space="0"/>
            </w:tcBorders>
            <w:noWrap w:val="0"/>
            <w:vAlign w:val="center"/>
          </w:tcPr>
          <w:p w14:paraId="772D10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3D79900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6FE48B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C2310900</w:t>
            </w:r>
          </w:p>
        </w:tc>
      </w:tr>
      <w:tr w14:paraId="19AB95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678" w:hRule="atLeast"/>
        </w:trPr>
        <w:tc>
          <w:tcPr>
            <w:tcW w:w="716" w:type="dxa"/>
            <w:gridSpan w:val="2"/>
            <w:tcBorders>
              <w:top w:val="nil"/>
              <w:left w:val="single" w:color="auto" w:sz="4" w:space="0"/>
              <w:bottom w:val="single" w:color="auto" w:sz="4" w:space="0"/>
              <w:right w:val="single" w:color="auto" w:sz="4" w:space="0"/>
            </w:tcBorders>
            <w:noWrap/>
            <w:vAlign w:val="center"/>
          </w:tcPr>
          <w:p w14:paraId="66A94D1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14:paraId="177FF0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因巡查、维护不到位，导致窨井盖丢失、损毁，造成人员伤亡和财产损失</w:t>
            </w:r>
          </w:p>
        </w:tc>
        <w:tc>
          <w:tcPr>
            <w:tcW w:w="2981" w:type="dxa"/>
            <w:tcBorders>
              <w:top w:val="nil"/>
              <w:left w:val="nil"/>
              <w:bottom w:val="single" w:color="auto" w:sz="4" w:space="0"/>
              <w:right w:val="single" w:color="auto" w:sz="4" w:space="0"/>
            </w:tcBorders>
            <w:noWrap w:val="0"/>
            <w:vAlign w:val="center"/>
          </w:tcPr>
          <w:p w14:paraId="6E4BC3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处罚条款：《条例》第五十五条第一款第（三）项，责令改正，给予警告；逾期不改正或者造成严重后果的，处10万元以上50万元以下罚款。</w:t>
            </w:r>
          </w:p>
        </w:tc>
        <w:tc>
          <w:tcPr>
            <w:tcW w:w="851" w:type="dxa"/>
            <w:tcBorders>
              <w:top w:val="nil"/>
              <w:left w:val="nil"/>
              <w:bottom w:val="single" w:color="auto" w:sz="4" w:space="0"/>
              <w:right w:val="single" w:color="auto" w:sz="4" w:space="0"/>
            </w:tcBorders>
            <w:noWrap w:val="0"/>
            <w:vAlign w:val="center"/>
          </w:tcPr>
          <w:p w14:paraId="63557BE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38E9E0C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EA46563">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限期改正，且无人员伤亡，给予警告。</w:t>
            </w:r>
          </w:p>
          <w:p w14:paraId="60F2B215">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（二）逾期不改正，但无人员伤亡，处以下罚款：1.财产损失＜5万，系数为0；2.5万≤财产损失＜10万，系数为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；3.10万≤财产损失＜15万，系数为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；4.15万≤财产损失＜20万，系数为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；5.20万≤财产损失，系数为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。6.存在基准2.1.3规定情形的，系数按照相关规定确定（基准2.1.3.5不适用）。</w:t>
            </w:r>
          </w:p>
          <w:p w14:paraId="64AB672C">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（三）有人员伤亡的，处以下罚款：1.有人员受伤，在（二）基础上，系数加2；2.有人员死亡，系数为4。3.存在基准2.1.3规定情形的，系数按照相关规定确定（基准2.1.3.5不适用）。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75462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01528E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D0C6B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c>
          <w:tcPr>
            <w:tcW w:w="1869" w:type="dxa"/>
            <w:tcBorders>
              <w:top w:val="nil"/>
              <w:left w:val="nil"/>
              <w:bottom w:val="single" w:color="auto" w:sz="4" w:space="0"/>
              <w:right w:val="single" w:color="auto" w:sz="4" w:space="0"/>
            </w:tcBorders>
            <w:noWrap w:val="0"/>
            <w:vAlign w:val="center"/>
          </w:tcPr>
          <w:p w14:paraId="4F9F6B3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C2311100</w:t>
            </w:r>
          </w:p>
        </w:tc>
      </w:tr>
      <w:tr w14:paraId="04E0F51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574" w:hRule="atLeast"/>
        </w:trPr>
        <w:tc>
          <w:tcPr>
            <w:tcW w:w="716" w:type="dxa"/>
            <w:gridSpan w:val="2"/>
            <w:tcBorders>
              <w:top w:val="nil"/>
              <w:left w:val="single" w:color="auto" w:sz="4" w:space="0"/>
              <w:bottom w:val="single" w:color="auto" w:sz="4" w:space="0"/>
              <w:right w:val="single" w:color="auto" w:sz="4" w:space="0"/>
            </w:tcBorders>
            <w:noWrap/>
            <w:vAlign w:val="center"/>
          </w:tcPr>
          <w:p w14:paraId="77A3580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4" w:type="dxa"/>
            <w:tcBorders>
              <w:top w:val="nil"/>
              <w:left w:val="nil"/>
              <w:bottom w:val="single" w:color="auto" w:sz="4" w:space="0"/>
              <w:right w:val="single" w:color="auto" w:sz="4" w:space="0"/>
            </w:tcBorders>
            <w:noWrap w:val="0"/>
            <w:vAlign w:val="center"/>
          </w:tcPr>
          <w:p w14:paraId="414461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城镇排水与污水处理安全事故或者突发事件发生后，未及时采取防护措施、组织事故抢修</w:t>
            </w:r>
          </w:p>
        </w:tc>
        <w:tc>
          <w:tcPr>
            <w:tcW w:w="2981" w:type="dxa"/>
            <w:tcBorders>
              <w:top w:val="nil"/>
              <w:left w:val="nil"/>
              <w:bottom w:val="single" w:color="auto" w:sz="4" w:space="0"/>
              <w:right w:val="single" w:color="auto" w:sz="4" w:space="0"/>
            </w:tcBorders>
            <w:noWrap w:val="0"/>
            <w:vAlign w:val="center"/>
          </w:tcPr>
          <w:p w14:paraId="6FD1B2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处罚条款：《条例》第五十五条第一款第（二）项，责令改正，给予警告；逾期不改正或者造成严重后果的，处10万元以上50万元以下罚款。</w:t>
            </w:r>
          </w:p>
        </w:tc>
        <w:tc>
          <w:tcPr>
            <w:tcW w:w="851" w:type="dxa"/>
            <w:tcBorders>
              <w:top w:val="nil"/>
              <w:left w:val="nil"/>
              <w:bottom w:val="single" w:color="auto" w:sz="4" w:space="0"/>
              <w:right w:val="single" w:color="auto" w:sz="4" w:space="0"/>
            </w:tcBorders>
            <w:noWrap w:val="0"/>
            <w:vAlign w:val="center"/>
          </w:tcPr>
          <w:p w14:paraId="6DFBE20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44C27A7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69170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，处以下罚款：1.逾期后改正时间＜2天，系数为0；2.2天≤逾期后改正时间＜</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2；6</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2.5；7</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8</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3；8</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8</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3.5；9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天≤逾期后改正时间，系数为</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82861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137319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因未及时采取防护措施、组织事故抢修，再次发生一般及以上安全事故的；2.造成城镇污水处理厂排放超标或污染物外溢且影响户数＞1000户；3.经执法部门处罚后，一年度内再次发生同类型违法行为。</w:t>
            </w:r>
          </w:p>
        </w:tc>
        <w:tc>
          <w:tcPr>
            <w:tcW w:w="1304" w:type="dxa"/>
            <w:gridSpan w:val="2"/>
            <w:tcBorders>
              <w:top w:val="nil"/>
              <w:left w:val="nil"/>
              <w:bottom w:val="single" w:color="auto" w:sz="4" w:space="0"/>
              <w:right w:val="single" w:color="auto" w:sz="4" w:space="0"/>
            </w:tcBorders>
            <w:noWrap w:val="0"/>
            <w:vAlign w:val="center"/>
          </w:tcPr>
          <w:p w14:paraId="1BF4AAD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FDC7DF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C2311000</w:t>
            </w:r>
          </w:p>
        </w:tc>
      </w:tr>
      <w:tr w14:paraId="005875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631" w:hRule="atLeast"/>
        </w:trPr>
        <w:tc>
          <w:tcPr>
            <w:tcW w:w="716" w:type="dxa"/>
            <w:gridSpan w:val="2"/>
            <w:vMerge w:val="restart"/>
            <w:tcBorders>
              <w:top w:val="single" w:color="auto" w:sz="4" w:space="0"/>
              <w:left w:val="single" w:color="auto" w:sz="4" w:space="0"/>
              <w:bottom w:val="single" w:color="auto" w:sz="4" w:space="0"/>
              <w:right w:val="single" w:color="auto" w:sz="4" w:space="0"/>
            </w:tcBorders>
            <w:noWrap/>
            <w:vAlign w:val="center"/>
          </w:tcPr>
          <w:p w14:paraId="06CB1C0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4" w:type="dxa"/>
            <w:vMerge w:val="restart"/>
            <w:tcBorders>
              <w:top w:val="single" w:color="auto" w:sz="4" w:space="0"/>
              <w:left w:val="single" w:color="auto" w:sz="4" w:space="0"/>
              <w:bottom w:val="single" w:color="auto" w:sz="4" w:space="0"/>
              <w:right w:val="single" w:color="auto" w:sz="4" w:space="0"/>
            </w:tcBorders>
            <w:noWrap w:val="0"/>
            <w:vAlign w:val="center"/>
          </w:tcPr>
          <w:p w14:paraId="2D06EB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从事爆破、钻探、打桩、顶进、挖掘、取土等可能影响城镇排水与污水处理设施安全的活动，未与施工单位、设施维护运营单位等共同制定设施保护方案，并采取相应的安全防护措施</w:t>
            </w:r>
          </w:p>
        </w:tc>
        <w:tc>
          <w:tcPr>
            <w:tcW w:w="2981" w:type="dxa"/>
            <w:vMerge w:val="restart"/>
            <w:tcBorders>
              <w:top w:val="single" w:color="auto" w:sz="4" w:space="0"/>
              <w:left w:val="single" w:color="auto" w:sz="4" w:space="0"/>
              <w:bottom w:val="single" w:color="auto" w:sz="4" w:space="0"/>
              <w:right w:val="single" w:color="auto" w:sz="4" w:space="0"/>
            </w:tcBorders>
            <w:noWrap w:val="0"/>
            <w:vAlign w:val="center"/>
          </w:tcPr>
          <w:p w14:paraId="02CE7A8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处罚条款：《条例》第五十七条第一款，责令改正，处2万元以上5万元以下罚款；造成严重后果的，处5万元以上10万元以下罚款。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32D6D3F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3C2771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single" w:color="auto" w:sz="4" w:space="0"/>
              <w:left w:val="single" w:color="auto" w:sz="4" w:space="0"/>
              <w:bottom w:val="single" w:color="auto" w:sz="4" w:space="0"/>
              <w:right w:val="single" w:color="auto" w:sz="4" w:space="0"/>
            </w:tcBorders>
            <w:noWrap w:val="0"/>
            <w:vAlign w:val="center"/>
          </w:tcPr>
          <w:p w14:paraId="3EFA91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未制定保护方案但有相应安全防护措施，系数为0；2.制定保护方案但未采取相应安全防护措施，系数为0.5；3.未制定保护方案且未采取相应安全防护措施，系数为1.5。4.存在基准2.1.3规定情形的，系数按照相关规定确定（基准2.1.3.5不适用）。罚款金额不得超过5万元。</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7485FA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vMerge w:val="restart"/>
            <w:tcBorders>
              <w:top w:val="single" w:color="auto" w:sz="4" w:space="0"/>
              <w:left w:val="single" w:color="auto" w:sz="4" w:space="0"/>
              <w:bottom w:val="single" w:color="auto" w:sz="4" w:space="0"/>
              <w:right w:val="single" w:color="auto" w:sz="4" w:space="0"/>
            </w:tcBorders>
            <w:noWrap w:val="0"/>
            <w:vAlign w:val="center"/>
          </w:tcPr>
          <w:p w14:paraId="6B614B6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1304" w:type="dxa"/>
            <w:gridSpan w:val="2"/>
            <w:vMerge w:val="restart"/>
            <w:tcBorders>
              <w:top w:val="single" w:color="auto" w:sz="4" w:space="0"/>
              <w:left w:val="single" w:color="auto" w:sz="4" w:space="0"/>
              <w:right w:val="single" w:color="auto" w:sz="4" w:space="0"/>
            </w:tcBorders>
            <w:noWrap w:val="0"/>
            <w:vAlign w:val="center"/>
          </w:tcPr>
          <w:p w14:paraId="191A423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single" w:color="auto" w:sz="4" w:space="0"/>
              <w:left w:val="single" w:color="auto" w:sz="4" w:space="0"/>
              <w:right w:val="single" w:color="auto" w:sz="4" w:space="0"/>
            </w:tcBorders>
            <w:noWrap w:val="0"/>
            <w:vAlign w:val="center"/>
          </w:tcPr>
          <w:p w14:paraId="174930D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C2311400</w:t>
            </w:r>
          </w:p>
        </w:tc>
      </w:tr>
      <w:tr w14:paraId="26A7E1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74" w:hRule="atLeast"/>
        </w:trPr>
        <w:tc>
          <w:tcPr>
            <w:tcW w:w="716"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0818190B">
            <w:pPr>
              <w:widowControl/>
              <w:jc w:val="center"/>
              <w:rPr>
                <w:rFonts w:hint="eastAsia" w:ascii="宋体" w:hAnsi="宋体" w:eastAsia="宋体" w:cs="宋体"/>
                <w:color w:val="auto"/>
                <w:kern w:val="0"/>
                <w:sz w:val="15"/>
                <w:szCs w:val="15"/>
                <w:highlight w:val="none"/>
              </w:rPr>
            </w:pPr>
            <w:bookmarkStart w:id="223" w:name="_Toc218468836"/>
          </w:p>
        </w:tc>
        <w:tc>
          <w:tcPr>
            <w:tcW w:w="1624" w:type="dxa"/>
            <w:vMerge w:val="continue"/>
            <w:tcBorders>
              <w:top w:val="single" w:color="auto" w:sz="4" w:space="0"/>
              <w:left w:val="nil"/>
              <w:bottom w:val="single" w:color="auto" w:sz="4" w:space="0"/>
              <w:right w:val="single" w:color="auto" w:sz="4" w:space="0"/>
            </w:tcBorders>
            <w:noWrap w:val="0"/>
            <w:vAlign w:val="center"/>
          </w:tcPr>
          <w:p w14:paraId="646EBB2D">
            <w:pPr>
              <w:widowControl/>
              <w:jc w:val="left"/>
              <w:rPr>
                <w:rFonts w:hint="eastAsia" w:ascii="宋体" w:hAnsi="宋体" w:eastAsia="宋体" w:cs="宋体"/>
                <w:color w:val="auto"/>
                <w:kern w:val="0"/>
                <w:sz w:val="15"/>
                <w:szCs w:val="15"/>
                <w:highlight w:val="none"/>
              </w:rPr>
            </w:pPr>
          </w:p>
        </w:tc>
        <w:tc>
          <w:tcPr>
            <w:tcW w:w="2981" w:type="dxa"/>
            <w:vMerge w:val="continue"/>
            <w:tcBorders>
              <w:top w:val="single" w:color="auto" w:sz="4" w:space="0"/>
              <w:left w:val="nil"/>
              <w:bottom w:val="single" w:color="auto" w:sz="4" w:space="0"/>
              <w:right w:val="single" w:color="auto" w:sz="4" w:space="0"/>
            </w:tcBorders>
            <w:noWrap w:val="0"/>
            <w:vAlign w:val="center"/>
          </w:tcPr>
          <w:p w14:paraId="47D660A9">
            <w:pPr>
              <w:widowControl/>
              <w:jc w:val="left"/>
              <w:rPr>
                <w:rFonts w:hint="eastAsia" w:ascii="宋体" w:hAnsi="宋体" w:eastAsia="宋体" w:cs="宋体"/>
                <w:color w:val="auto"/>
                <w:kern w:val="0"/>
                <w:sz w:val="15"/>
                <w:szCs w:val="15"/>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56BA884">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50000</w:t>
            </w:r>
          </w:p>
        </w:tc>
        <w:tc>
          <w:tcPr>
            <w:tcW w:w="840" w:type="dxa"/>
            <w:tcBorders>
              <w:top w:val="single" w:color="auto" w:sz="4" w:space="0"/>
              <w:left w:val="nil"/>
              <w:bottom w:val="single" w:color="auto" w:sz="4" w:space="0"/>
              <w:right w:val="single" w:color="auto" w:sz="4" w:space="0"/>
            </w:tcBorders>
            <w:noWrap w:val="0"/>
            <w:vAlign w:val="center"/>
          </w:tcPr>
          <w:p w14:paraId="3D081BBA">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2376" w:type="dxa"/>
            <w:tcBorders>
              <w:top w:val="single" w:color="auto" w:sz="4" w:space="0"/>
              <w:left w:val="nil"/>
              <w:bottom w:val="single" w:color="auto" w:sz="4" w:space="0"/>
              <w:right w:val="single" w:color="auto" w:sz="4" w:space="0"/>
            </w:tcBorders>
            <w:noWrap w:val="0"/>
            <w:vAlign w:val="center"/>
          </w:tcPr>
          <w:p w14:paraId="08E4FF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造成严重后果，处以下罚款：1.未制定保护方案但有相应安全防护措施，系数为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；2.制定保护方案但未采取相应安全防护措施，系数为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；3.未制定保护方案且未采取相应安全防护措施，系数为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。4.存在基准2.1.3规定情形的，系数按照相关规定确定（基准2.1.3.5不适用）。</w:t>
            </w:r>
          </w:p>
        </w:tc>
        <w:tc>
          <w:tcPr>
            <w:tcW w:w="1879" w:type="dxa"/>
            <w:gridSpan w:val="3"/>
            <w:tcBorders>
              <w:top w:val="single" w:color="auto" w:sz="4" w:space="0"/>
              <w:left w:val="nil"/>
              <w:bottom w:val="single" w:color="auto" w:sz="4" w:space="0"/>
              <w:right w:val="single" w:color="auto" w:sz="4" w:space="0"/>
            </w:tcBorders>
            <w:noWrap w:val="0"/>
            <w:vAlign w:val="center"/>
          </w:tcPr>
          <w:p w14:paraId="5EF412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0000×（1+情节系数）</w:t>
            </w:r>
          </w:p>
        </w:tc>
        <w:tc>
          <w:tcPr>
            <w:tcW w:w="2016" w:type="dxa"/>
            <w:vMerge w:val="continue"/>
            <w:tcBorders>
              <w:top w:val="single" w:color="auto" w:sz="4" w:space="0"/>
              <w:left w:val="nil"/>
              <w:bottom w:val="single" w:color="auto" w:sz="4" w:space="0"/>
              <w:right w:val="single" w:color="auto" w:sz="4" w:space="0"/>
            </w:tcBorders>
            <w:noWrap w:val="0"/>
            <w:vAlign w:val="center"/>
          </w:tcPr>
          <w:p w14:paraId="2704B72C">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left w:val="single" w:color="auto" w:sz="4" w:space="0"/>
              <w:bottom w:val="single" w:color="auto" w:sz="4" w:space="0"/>
              <w:right w:val="single" w:color="auto" w:sz="4" w:space="0"/>
            </w:tcBorders>
            <w:noWrap w:val="0"/>
            <w:vAlign w:val="center"/>
          </w:tcPr>
          <w:p w14:paraId="0B0D717C">
            <w:pPr>
              <w:widowControl/>
              <w:jc w:val="center"/>
              <w:rPr>
                <w:rFonts w:hint="eastAsia" w:ascii="宋体" w:hAnsi="宋体" w:eastAsia="宋体" w:cs="宋体"/>
                <w:color w:val="auto"/>
                <w:kern w:val="0"/>
                <w:sz w:val="15"/>
                <w:szCs w:val="15"/>
                <w:highlight w:val="none"/>
                <w:lang w:eastAsia="zh-CN"/>
              </w:rPr>
            </w:pPr>
          </w:p>
        </w:tc>
        <w:tc>
          <w:tcPr>
            <w:tcW w:w="1869" w:type="dxa"/>
            <w:vMerge w:val="continue"/>
            <w:tcBorders>
              <w:left w:val="single" w:color="auto" w:sz="4" w:space="0"/>
              <w:bottom w:val="single" w:color="auto" w:sz="4" w:space="0"/>
              <w:right w:val="single" w:color="auto" w:sz="4" w:space="0"/>
            </w:tcBorders>
            <w:noWrap w:val="0"/>
            <w:vAlign w:val="center"/>
          </w:tcPr>
          <w:p w14:paraId="5450C363">
            <w:pPr>
              <w:widowControl/>
              <w:jc w:val="center"/>
              <w:rPr>
                <w:rFonts w:hint="eastAsia" w:ascii="宋体" w:hAnsi="宋体" w:eastAsia="宋体" w:cs="宋体"/>
                <w:color w:val="auto"/>
                <w:kern w:val="0"/>
                <w:sz w:val="15"/>
                <w:szCs w:val="15"/>
                <w:highlight w:val="none"/>
                <w:lang w:eastAsia="zh"/>
              </w:rPr>
            </w:pPr>
          </w:p>
        </w:tc>
      </w:tr>
      <w:tr w14:paraId="3CFD8B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434" w:hRule="atLeast"/>
        </w:trPr>
        <w:tc>
          <w:tcPr>
            <w:tcW w:w="13994" w:type="dxa"/>
            <w:gridSpan w:val="12"/>
            <w:tcBorders>
              <w:top w:val="nil"/>
              <w:left w:val="single" w:color="auto" w:sz="4" w:space="0"/>
              <w:bottom w:val="single" w:color="auto" w:sz="4" w:space="0"/>
              <w:right w:val="single" w:color="auto" w:sz="4" w:space="0"/>
            </w:tcBorders>
            <w:noWrap/>
            <w:vAlign w:val="center"/>
          </w:tcPr>
          <w:p w14:paraId="342779E4">
            <w:pPr>
              <w:widowControl/>
              <w:jc w:val="center"/>
              <w:outlineLvl w:val="1"/>
              <w:rPr>
                <w:rFonts w:hint="eastAsia" w:ascii="宋体" w:hAnsi="宋体" w:eastAsia="宋体" w:cs="宋体"/>
                <w:color w:val="auto"/>
                <w:kern w:val="0"/>
                <w:szCs w:val="21"/>
                <w:highlight w:val="none"/>
              </w:rPr>
            </w:pPr>
            <w:bookmarkStart w:id="224" w:name="_Toc705604123"/>
            <w:r>
              <w:rPr>
                <w:rFonts w:hint="eastAsia" w:ascii="宋体" w:hAnsi="宋体" w:eastAsia="宋体" w:cs="宋体"/>
                <w:b/>
                <w:bCs/>
                <w:color w:val="auto"/>
                <w:kern w:val="0"/>
                <w:szCs w:val="21"/>
                <w:highlight w:val="none"/>
              </w:rPr>
              <w:t>《城镇污水排入排水管网许可管理办法》《城镇排水与污水处理条例》案由10项</w:t>
            </w:r>
            <w:bookmarkEnd w:id="223"/>
            <w:bookmarkEnd w:id="224"/>
          </w:p>
        </w:tc>
        <w:tc>
          <w:tcPr>
            <w:tcW w:w="2462" w:type="dxa"/>
            <w:gridSpan w:val="2"/>
            <w:tcBorders>
              <w:top w:val="nil"/>
              <w:left w:val="single" w:color="auto" w:sz="4" w:space="0"/>
              <w:bottom w:val="single" w:color="auto" w:sz="4" w:space="0"/>
              <w:right w:val="single" w:color="auto" w:sz="4" w:space="0"/>
            </w:tcBorders>
            <w:noWrap/>
            <w:vAlign w:val="center"/>
          </w:tcPr>
          <w:p w14:paraId="5850E91F">
            <w:pPr>
              <w:widowControl/>
              <w:jc w:val="center"/>
              <w:outlineLvl w:val="1"/>
              <w:rPr>
                <w:rFonts w:hint="eastAsia" w:ascii="宋体" w:hAnsi="宋体" w:eastAsia="宋体" w:cs="宋体"/>
                <w:b/>
                <w:bCs/>
                <w:color w:val="auto"/>
                <w:kern w:val="0"/>
                <w:szCs w:val="21"/>
                <w:highlight w:val="none"/>
              </w:rPr>
            </w:pPr>
          </w:p>
        </w:tc>
      </w:tr>
      <w:tr w14:paraId="3E25A0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3ED161E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14:paraId="15C75B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排水户擅自拆卸、移动、穿凿和接入城镇排水设施</w:t>
            </w:r>
          </w:p>
        </w:tc>
        <w:tc>
          <w:tcPr>
            <w:tcW w:w="2981" w:type="dxa"/>
            <w:vMerge w:val="restart"/>
            <w:tcBorders>
              <w:top w:val="nil"/>
              <w:left w:val="single" w:color="auto" w:sz="4" w:space="0"/>
              <w:bottom w:val="single" w:color="auto" w:sz="4" w:space="0"/>
              <w:right w:val="single" w:color="auto" w:sz="4" w:space="0"/>
            </w:tcBorders>
            <w:noWrap w:val="0"/>
            <w:vAlign w:val="center"/>
          </w:tcPr>
          <w:p w14:paraId="76B541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二条，责令停止违法行为，限期恢复原状或者采取其他补救措施，并给予警告；逾期不采取补救措施或者造成严重后果的，对单位处10万元以上30万元以下罚款，对个人处2万元以上10万元以下罚款。</w:t>
            </w:r>
          </w:p>
        </w:tc>
        <w:tc>
          <w:tcPr>
            <w:tcW w:w="851" w:type="dxa"/>
            <w:tcBorders>
              <w:top w:val="nil"/>
              <w:left w:val="nil"/>
              <w:bottom w:val="single" w:color="auto" w:sz="4" w:space="0"/>
              <w:right w:val="single" w:color="auto" w:sz="4" w:space="0"/>
            </w:tcBorders>
            <w:noWrap w:val="0"/>
            <w:vAlign w:val="center"/>
          </w:tcPr>
          <w:p w14:paraId="47AC2E8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14:paraId="4B64B4B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37EEF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1万元≤直接经济损失＜3万元，系数为0.2；直接经济损失每增加2万元（不足2万元，按2万元计），系数加0.2；19万元≤直接经济损失，系数为2。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06B79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1C8E00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存在以下情形之一的，可视为严重后果：1.发生一般及以上安全事故的；2.造成污染物外溢且影响户数＞1000户；3.经执法部门处罚后，一年度内再次发生同类型违法行为。</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0888A93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29B0013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C2308400</w:t>
            </w:r>
          </w:p>
        </w:tc>
      </w:tr>
      <w:tr w14:paraId="140547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0E2A2A23">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4C3E262C">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7FCCE81E">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55216F3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78ECC2A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51CCD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2.1万元≤直接经济损失＜5万元，系数为1；3.5万元≤直接经济损失＜10万元，系数为2；4.10万元≤直接经济损失＜20万元，系数为3；5.20万元≤直接经济损失，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7EE34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14:paraId="76E888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存在以下情形之一的，可视为严重后果：1.发生一般及以上安全事故的；2.造成污染物外溢且影响户数＞1000户；3.经执法部门处罚后，一年度内再次发生同类型违法行为。</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272CC61C">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64E6E0D2">
            <w:pPr>
              <w:widowControl/>
              <w:jc w:val="left"/>
              <w:rPr>
                <w:rFonts w:hint="eastAsia" w:ascii="宋体" w:hAnsi="宋体" w:eastAsia="宋体" w:cs="宋体"/>
                <w:color w:val="auto"/>
                <w:kern w:val="0"/>
                <w:sz w:val="15"/>
                <w:szCs w:val="15"/>
                <w:highlight w:val="none"/>
                <w:lang w:eastAsia="zh"/>
              </w:rPr>
            </w:pPr>
          </w:p>
        </w:tc>
      </w:tr>
      <w:tr w14:paraId="7B0496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3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156C448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14:paraId="41D4EF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未按照有关规定将污水排入城镇排水设施</w:t>
            </w:r>
          </w:p>
        </w:tc>
        <w:tc>
          <w:tcPr>
            <w:tcW w:w="2981" w:type="dxa"/>
            <w:vMerge w:val="restart"/>
            <w:tcBorders>
              <w:top w:val="nil"/>
              <w:left w:val="single" w:color="auto" w:sz="4" w:space="0"/>
              <w:bottom w:val="single" w:color="auto" w:sz="4" w:space="0"/>
              <w:right w:val="single" w:color="auto" w:sz="4" w:space="0"/>
            </w:tcBorders>
            <w:noWrap w:val="0"/>
            <w:vAlign w:val="center"/>
          </w:tcPr>
          <w:p w14:paraId="5E3CDD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处罚条款：《办法》第二十六条，责令改正，给予警告；逾期不改正或者造成严重后果的，对单位处10万元以上20万元以下罚款；对个人处2万元以上10万元以下罚款。</w:t>
            </w:r>
          </w:p>
        </w:tc>
        <w:tc>
          <w:tcPr>
            <w:tcW w:w="851" w:type="dxa"/>
            <w:tcBorders>
              <w:top w:val="nil"/>
              <w:left w:val="nil"/>
              <w:bottom w:val="single" w:color="auto" w:sz="4" w:space="0"/>
              <w:right w:val="single" w:color="auto" w:sz="4" w:space="0"/>
            </w:tcBorders>
            <w:noWrap w:val="0"/>
            <w:vAlign w:val="center"/>
          </w:tcPr>
          <w:p w14:paraId="19CDA58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14:paraId="2DEED26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864941B">
            <w:pPr>
              <w:widowControl/>
              <w:numPr>
                <w:ilvl w:val="0"/>
                <w:numId w:val="8"/>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且未造成严重后果，给予警告。（二）逾期不改正，但未造成严重后果，处以下罚款：1.排入点污水水质超标项数=1项，系数为0；2.排入点污水水质超标项数=2项，系数为0.2；3.排入点污水水质超标项数=3项，系数为0.4；4.排入点污水水质超标项数=4项，系数为0.6；5.排入点污水水质超标项数=5项，系数为0.8；6.排入点污水水质超标项数≥6项，系数为1。7.存在基准2.1.3规定情形的，系数按照相关规定确定（基准2.1.3.5不适用）。</w:t>
            </w:r>
          </w:p>
          <w:p w14:paraId="2BE9A06B">
            <w:pPr>
              <w:widowControl/>
              <w:numPr>
                <w:ilvl w:val="0"/>
                <w:numId w:val="0"/>
              </w:numPr>
              <w:jc w:val="left"/>
              <w:rPr>
                <w:rFonts w:hint="eastAsia" w:ascii="宋体" w:hAnsi="宋体" w:eastAsia="宋体" w:cs="宋体"/>
                <w:strike/>
                <w:dstrike w:val="0"/>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eastAsia="zh-CN"/>
              </w:rPr>
              <w:t>（三）造成严重后果，处以下罚款：1.4项＜排入点污水水质超标项数且5倍＜单项水质超标倍数≤6倍，系数为</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lang w:eastAsia="zh-CN"/>
              </w:rPr>
              <w:t>；2.4项＜排入点污水水质超标项数且6倍＜单项水质超标倍数≤7倍，系数为0.</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strike w:val="0"/>
                <w:dstrike w:val="0"/>
                <w:color w:val="auto"/>
                <w:kern w:val="0"/>
                <w:sz w:val="15"/>
                <w:szCs w:val="15"/>
                <w:highlight w:val="none"/>
                <w:lang w:eastAsia="zh-CN"/>
              </w:rPr>
              <w:t>；3.4项＜排入点污水水质超标项数且7倍＜单项水质超标倍数≤8倍，系数为</w:t>
            </w:r>
            <w:r>
              <w:rPr>
                <w:rFonts w:hint="eastAsia" w:ascii="宋体" w:hAnsi="宋体" w:eastAsia="宋体" w:cs="宋体"/>
                <w:strike w:val="0"/>
                <w:dstrike w:val="0"/>
                <w:color w:val="auto"/>
                <w:kern w:val="0"/>
                <w:sz w:val="15"/>
                <w:szCs w:val="15"/>
                <w:highlight w:val="none"/>
                <w:lang w:val="en-US" w:eastAsia="zh-CN"/>
              </w:rPr>
              <w:t>0.4</w:t>
            </w:r>
            <w:r>
              <w:rPr>
                <w:rFonts w:hint="eastAsia" w:ascii="宋体" w:hAnsi="宋体" w:eastAsia="宋体" w:cs="宋体"/>
                <w:strike w:val="0"/>
                <w:dstrike w:val="0"/>
                <w:color w:val="auto"/>
                <w:kern w:val="0"/>
                <w:sz w:val="15"/>
                <w:szCs w:val="15"/>
                <w:highlight w:val="none"/>
                <w:lang w:eastAsia="zh-CN"/>
              </w:rPr>
              <w:t>；4.4项＜排入点污水水质超标项数且8倍＜单项水质超标倍数≤9倍，系数为0.</w:t>
            </w:r>
            <w:r>
              <w:rPr>
                <w:rFonts w:hint="eastAsia" w:ascii="宋体" w:hAnsi="宋体" w:eastAsia="宋体" w:cs="宋体"/>
                <w:strike w:val="0"/>
                <w:dstrike w:val="0"/>
                <w:color w:val="auto"/>
                <w:kern w:val="0"/>
                <w:sz w:val="15"/>
                <w:szCs w:val="15"/>
                <w:highlight w:val="none"/>
                <w:lang w:val="en-US" w:eastAsia="zh-CN"/>
              </w:rPr>
              <w:t>6</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5</w:t>
            </w:r>
            <w:r>
              <w:rPr>
                <w:rFonts w:hint="eastAsia" w:ascii="宋体" w:hAnsi="宋体" w:eastAsia="宋体" w:cs="宋体"/>
                <w:strike w:val="0"/>
                <w:dstrike w:val="0"/>
                <w:color w:val="auto"/>
                <w:kern w:val="0"/>
                <w:sz w:val="15"/>
                <w:szCs w:val="15"/>
                <w:highlight w:val="none"/>
                <w:lang w:eastAsia="zh-CN"/>
              </w:rPr>
              <w:t>.4项＜排入点污水水质超标项数且</w:t>
            </w:r>
            <w:r>
              <w:rPr>
                <w:rFonts w:hint="eastAsia" w:ascii="宋体" w:hAnsi="宋体" w:eastAsia="宋体" w:cs="宋体"/>
                <w:strike w:val="0"/>
                <w:dstrike w:val="0"/>
                <w:color w:val="auto"/>
                <w:kern w:val="0"/>
                <w:sz w:val="15"/>
                <w:szCs w:val="15"/>
                <w:highlight w:val="none"/>
                <w:lang w:val="en-US" w:eastAsia="zh-CN"/>
              </w:rPr>
              <w:t>9</w:t>
            </w:r>
            <w:r>
              <w:rPr>
                <w:rFonts w:hint="eastAsia" w:ascii="宋体" w:hAnsi="宋体" w:eastAsia="宋体" w:cs="宋体"/>
                <w:strike w:val="0"/>
                <w:dstrike w:val="0"/>
                <w:color w:val="auto"/>
                <w:kern w:val="0"/>
                <w:sz w:val="15"/>
                <w:szCs w:val="15"/>
                <w:highlight w:val="none"/>
                <w:lang w:eastAsia="zh-CN"/>
              </w:rPr>
              <w:t>倍＜单项水质超标倍数≤</w:t>
            </w:r>
            <w:r>
              <w:rPr>
                <w:rFonts w:hint="eastAsia" w:ascii="宋体" w:hAnsi="宋体" w:eastAsia="宋体" w:cs="宋体"/>
                <w:strike w:val="0"/>
                <w:dstrike w:val="0"/>
                <w:color w:val="auto"/>
                <w:kern w:val="0"/>
                <w:sz w:val="15"/>
                <w:szCs w:val="15"/>
                <w:highlight w:val="none"/>
                <w:lang w:val="en-US" w:eastAsia="zh-CN"/>
              </w:rPr>
              <w:t>10</w:t>
            </w:r>
            <w:r>
              <w:rPr>
                <w:rFonts w:hint="eastAsia" w:ascii="宋体" w:hAnsi="宋体" w:eastAsia="宋体" w:cs="宋体"/>
                <w:strike w:val="0"/>
                <w:dstrike w:val="0"/>
                <w:color w:val="auto"/>
                <w:kern w:val="0"/>
                <w:sz w:val="15"/>
                <w:szCs w:val="15"/>
                <w:highlight w:val="none"/>
                <w:lang w:eastAsia="zh-CN"/>
              </w:rPr>
              <w:t>倍，系数为0.</w:t>
            </w:r>
            <w:r>
              <w:rPr>
                <w:rFonts w:hint="eastAsia" w:ascii="宋体" w:hAnsi="宋体" w:eastAsia="宋体" w:cs="宋体"/>
                <w:strike w:val="0"/>
                <w:dstrike w:val="0"/>
                <w:color w:val="auto"/>
                <w:kern w:val="0"/>
                <w:sz w:val="15"/>
                <w:szCs w:val="15"/>
                <w:highlight w:val="none"/>
                <w:lang w:val="en-US" w:eastAsia="zh-CN"/>
              </w:rPr>
              <w:t>8</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6</w:t>
            </w:r>
            <w:r>
              <w:rPr>
                <w:rFonts w:hint="eastAsia" w:ascii="宋体" w:hAnsi="宋体" w:eastAsia="宋体" w:cs="宋体"/>
                <w:strike w:val="0"/>
                <w:dstrike w:val="0"/>
                <w:color w:val="auto"/>
                <w:kern w:val="0"/>
                <w:sz w:val="15"/>
                <w:szCs w:val="15"/>
                <w:highlight w:val="none"/>
                <w:lang w:eastAsia="zh-CN"/>
              </w:rPr>
              <w:t>.4项＜排入点污水水质超标项数且单项水质超标倍数＞</w:t>
            </w:r>
            <w:r>
              <w:rPr>
                <w:rFonts w:hint="eastAsia" w:ascii="宋体" w:hAnsi="宋体" w:eastAsia="宋体" w:cs="宋体"/>
                <w:strike w:val="0"/>
                <w:dstrike w:val="0"/>
                <w:color w:val="auto"/>
                <w:kern w:val="0"/>
                <w:sz w:val="15"/>
                <w:szCs w:val="15"/>
                <w:highlight w:val="none"/>
                <w:lang w:val="en-US" w:eastAsia="zh-CN"/>
              </w:rPr>
              <w:t>10</w:t>
            </w:r>
            <w:r>
              <w:rPr>
                <w:rFonts w:hint="eastAsia" w:ascii="宋体" w:hAnsi="宋体" w:eastAsia="宋体" w:cs="宋体"/>
                <w:strike w:val="0"/>
                <w:dstrike w:val="0"/>
                <w:color w:val="auto"/>
                <w:kern w:val="0"/>
                <w:sz w:val="15"/>
                <w:szCs w:val="15"/>
                <w:highlight w:val="none"/>
                <w:lang w:eastAsia="zh-CN"/>
              </w:rPr>
              <w:t>倍，系数为1。</w:t>
            </w:r>
            <w:r>
              <w:rPr>
                <w:rFonts w:hint="eastAsia" w:ascii="宋体" w:hAnsi="宋体" w:eastAsia="宋体" w:cs="宋体"/>
                <w:strike w:val="0"/>
                <w:dstrike w:val="0"/>
                <w:color w:val="auto"/>
                <w:kern w:val="0"/>
                <w:sz w:val="15"/>
                <w:szCs w:val="15"/>
                <w:highlight w:val="none"/>
                <w:lang w:val="en-US" w:eastAsia="zh-CN"/>
              </w:rPr>
              <w:t>7.</w:t>
            </w:r>
            <w:r>
              <w:rPr>
                <w:rFonts w:hint="eastAsia" w:ascii="宋体" w:hAnsi="宋体" w:eastAsia="宋体" w:cs="宋体"/>
                <w:strike w:val="0"/>
                <w:dstrike w:val="0"/>
                <w:color w:val="auto"/>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D9012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39E1C926">
            <w:pPr>
              <w:widowControl/>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存在以下情形之一的，可视为严重后果：1.排入点污水水质超标项数＞4项且有单项水质超标倍数＞5倍的</w:t>
            </w:r>
            <w:r>
              <w:rPr>
                <w:rFonts w:hint="eastAsia" w:ascii="宋体" w:hAnsi="宋体" w:eastAsia="宋体" w:cs="宋体"/>
                <w:color w:val="auto"/>
                <w:kern w:val="0"/>
                <w:sz w:val="15"/>
                <w:szCs w:val="15"/>
                <w:highlight w:val="none"/>
                <w:lang w:eastAsia="zh-CN"/>
              </w:rPr>
              <w:t>。</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3B3653D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single" w:color="auto" w:sz="4" w:space="0"/>
              <w:bottom w:val="single" w:color="auto" w:sz="4" w:space="0"/>
              <w:right w:val="single" w:color="auto" w:sz="4" w:space="0"/>
            </w:tcBorders>
            <w:noWrap w:val="0"/>
            <w:vAlign w:val="center"/>
          </w:tcPr>
          <w:p w14:paraId="2748A25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C2309200</w:t>
            </w:r>
          </w:p>
        </w:tc>
      </w:tr>
      <w:tr w14:paraId="7FE63E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4152"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76AD05EB">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21AA11B6">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2F5FEF7E">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1C025EA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7BDF7F6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2953233">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且未造成严重后果，给予警告。（二）逾期不改正，但未造成严重后果，处以下罚款：1.排入点污水水质超标项数＜2项，系数为0；2.2项≤排入点污水水质超标项数＜4项，系数为2；3.4项≤排入点污水水质超标项数，系数为4。4.存在基准2.1.3规定情形的，系数按照相关规定确定（基准2.1.3.5不适用）。</w:t>
            </w:r>
          </w:p>
          <w:p w14:paraId="7534E5E4">
            <w:pPr>
              <w:widowControl/>
              <w:numPr>
                <w:ilvl w:val="0"/>
                <w:numId w:val="0"/>
              </w:numPr>
              <w:jc w:val="lef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eastAsia="zh-CN"/>
              </w:rPr>
              <w:t>（三）造成严重后果，处以下罚款：1.4项＜排入点污水水质超标项数且5倍＜单项水质超标倍数≤6倍，系数为</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lang w:eastAsia="zh-CN"/>
              </w:rPr>
              <w:t>；2.4项＜排入点污水水质超标项数且6倍＜单项水质超标倍数≤7倍，系数为</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strike w:val="0"/>
                <w:dstrike w:val="0"/>
                <w:color w:val="auto"/>
                <w:kern w:val="0"/>
                <w:sz w:val="15"/>
                <w:szCs w:val="15"/>
                <w:highlight w:val="none"/>
                <w:lang w:eastAsia="zh-CN"/>
              </w:rPr>
              <w:t>；3.4项＜排入点污水水质超标项数且7倍＜单项水质超标倍数≤8倍，系数为</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strike w:val="0"/>
                <w:dstrike w:val="0"/>
                <w:color w:val="auto"/>
                <w:kern w:val="0"/>
                <w:sz w:val="15"/>
                <w:szCs w:val="15"/>
                <w:highlight w:val="none"/>
                <w:lang w:eastAsia="zh-CN"/>
              </w:rPr>
              <w:t>；4.4项＜排入点污水水质超标项数且8倍＜单项水质超标倍数≤9倍，系数为</w:t>
            </w:r>
            <w:r>
              <w:rPr>
                <w:rFonts w:hint="eastAsia" w:ascii="宋体" w:hAnsi="宋体" w:eastAsia="宋体" w:cs="宋体"/>
                <w:strike w:val="0"/>
                <w:dstrike w:val="0"/>
                <w:color w:val="auto"/>
                <w:kern w:val="0"/>
                <w:sz w:val="15"/>
                <w:szCs w:val="15"/>
                <w:highlight w:val="none"/>
                <w:lang w:val="en-US" w:eastAsia="zh-CN"/>
              </w:rPr>
              <w:t>3</w:t>
            </w:r>
            <w:r>
              <w:rPr>
                <w:rFonts w:hint="eastAsia" w:ascii="宋体" w:hAnsi="宋体" w:eastAsia="宋体" w:cs="宋体"/>
                <w:strike w:val="0"/>
                <w:dstrike w:val="0"/>
                <w:color w:val="auto"/>
                <w:kern w:val="0"/>
                <w:sz w:val="15"/>
                <w:szCs w:val="15"/>
                <w:highlight w:val="none"/>
                <w:lang w:eastAsia="zh-CN"/>
              </w:rPr>
              <w:t>；5.4项＜排入点污水水质超标项数且单项水质超标倍数＞9倍，系数为</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eastAsia="宋体" w:cs="宋体"/>
                <w:strike w:val="0"/>
                <w:dstrike w:val="0"/>
                <w:color w:val="auto"/>
                <w:kern w:val="0"/>
                <w:sz w:val="15"/>
                <w:szCs w:val="15"/>
                <w:highlight w:val="none"/>
                <w:lang w:eastAsia="zh-CN"/>
              </w:rPr>
              <w:t>。6.存在基准2.1.3规定情形的，系数按照相关规定确定（基准2.1.3.5不适用）。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E0FBF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10A691B0">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4FE66C40">
            <w:pPr>
              <w:widowControl/>
              <w:jc w:val="left"/>
              <w:rPr>
                <w:rFonts w:hint="eastAsia" w:ascii="宋体" w:hAnsi="宋体" w:eastAsia="宋体" w:cs="宋体"/>
                <w:color w:val="auto"/>
                <w:kern w:val="0"/>
                <w:sz w:val="15"/>
                <w:szCs w:val="15"/>
                <w:highlight w:val="none"/>
              </w:rPr>
            </w:pPr>
          </w:p>
        </w:tc>
        <w:tc>
          <w:tcPr>
            <w:tcW w:w="1869" w:type="dxa"/>
            <w:tcBorders>
              <w:top w:val="nil"/>
              <w:left w:val="single" w:color="auto" w:sz="4" w:space="0"/>
              <w:bottom w:val="single" w:color="auto" w:sz="4" w:space="0"/>
              <w:right w:val="single" w:color="auto" w:sz="4" w:space="0"/>
            </w:tcBorders>
            <w:noWrap w:val="0"/>
            <w:vAlign w:val="center"/>
          </w:tcPr>
          <w:p w14:paraId="21FC8C0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C2309200</w:t>
            </w:r>
          </w:p>
        </w:tc>
      </w:tr>
      <w:tr w14:paraId="5ADC078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0" w:hRule="atLeast"/>
        </w:trPr>
        <w:tc>
          <w:tcPr>
            <w:tcW w:w="716" w:type="dxa"/>
            <w:gridSpan w:val="2"/>
            <w:vMerge w:val="restart"/>
            <w:tcBorders>
              <w:top w:val="single" w:color="auto" w:sz="4" w:space="0"/>
              <w:left w:val="single" w:color="auto" w:sz="4" w:space="0"/>
              <w:bottom w:val="single" w:color="auto" w:sz="4" w:space="0"/>
              <w:right w:val="single" w:color="auto" w:sz="4" w:space="0"/>
            </w:tcBorders>
            <w:noWrap/>
            <w:vAlign w:val="center"/>
          </w:tcPr>
          <w:p w14:paraId="57DDAB8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vMerge w:val="restart"/>
            <w:tcBorders>
              <w:top w:val="single" w:color="auto" w:sz="4" w:space="0"/>
              <w:left w:val="single" w:color="auto" w:sz="4" w:space="0"/>
              <w:bottom w:val="single" w:color="auto" w:sz="4" w:space="0"/>
              <w:right w:val="single" w:color="auto" w:sz="4" w:space="0"/>
            </w:tcBorders>
            <w:noWrap w:val="0"/>
            <w:vAlign w:val="center"/>
          </w:tcPr>
          <w:p w14:paraId="094E09B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排水户未取得排水许可证向城镇排水设施排放污水</w:t>
            </w:r>
          </w:p>
        </w:tc>
        <w:tc>
          <w:tcPr>
            <w:tcW w:w="2981" w:type="dxa"/>
            <w:vMerge w:val="restart"/>
            <w:tcBorders>
              <w:top w:val="single" w:color="auto" w:sz="4" w:space="0"/>
              <w:left w:val="single" w:color="auto" w:sz="4" w:space="0"/>
              <w:bottom w:val="single" w:color="auto" w:sz="4" w:space="0"/>
              <w:right w:val="single" w:color="auto" w:sz="4" w:space="0"/>
            </w:tcBorders>
            <w:noWrap w:val="0"/>
            <w:vAlign w:val="center"/>
          </w:tcPr>
          <w:p w14:paraId="383B167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违反条款：《办法》第四条第一款；《条例》第二十一条第一款；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七条，责令停止违法行为，限期采取治理措施，补办排水许可证，可以处50万元以下罚款；对列入重点排污单位名录的排水户，可以处30万元以上50万元以下罚款；《条例》第五十条第一款，责令停止违法行为，限期采取治理措施，补办污水排入排水管网许可证，可以处50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E14C7A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B29A4F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single" w:color="auto" w:sz="4" w:space="0"/>
              <w:left w:val="single" w:color="auto" w:sz="4" w:space="0"/>
              <w:bottom w:val="single" w:color="auto" w:sz="4" w:space="0"/>
              <w:right w:val="single" w:color="auto" w:sz="4" w:space="0"/>
            </w:tcBorders>
            <w:noWrap w:val="0"/>
            <w:vAlign w:val="center"/>
          </w:tcPr>
          <w:p w14:paraId="247904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在重点排污名录，处以下罚款：1.无证排水持续时间＜30天，系数为0；2.30天≤无证排水持续时间＜60天，系数为2；3.60天≤无证排水持续时间＜90天，系数为4；4.90天≤无证排水持续时间＜120天，系数为6；5.120天≤无证排水持续时间＜150天，系数为8；6.150天≤无证排水持续时间，系数为9。7.存在基准2.1.3规定情形的，系数按照相关规定确定（基准2.1.3.5不适用）。</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35319E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single" w:color="auto" w:sz="4" w:space="0"/>
              <w:left w:val="single" w:color="auto" w:sz="4" w:space="0"/>
              <w:bottom w:val="single" w:color="auto" w:sz="4" w:space="0"/>
              <w:right w:val="single" w:color="auto" w:sz="4" w:space="0"/>
            </w:tcBorders>
            <w:noWrap w:val="0"/>
            <w:vAlign w:val="center"/>
          </w:tcPr>
          <w:p w14:paraId="7298EB2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E8DDAF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single" w:color="auto" w:sz="4" w:space="0"/>
              <w:left w:val="single" w:color="auto" w:sz="4" w:space="0"/>
              <w:right w:val="single" w:color="auto" w:sz="4" w:space="0"/>
            </w:tcBorders>
            <w:noWrap w:val="0"/>
            <w:vAlign w:val="center"/>
          </w:tcPr>
          <w:p w14:paraId="39B0EDF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C2309300</w:t>
            </w:r>
          </w:p>
        </w:tc>
      </w:tr>
      <w:tr w14:paraId="5ABA4A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470" w:hRule="atLeast"/>
        </w:trPr>
        <w:tc>
          <w:tcPr>
            <w:tcW w:w="716"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37B2B27B">
            <w:pPr>
              <w:widowControl/>
              <w:jc w:val="center"/>
              <w:rPr>
                <w:rFonts w:hint="eastAsia" w:ascii="宋体" w:hAnsi="宋体" w:eastAsia="宋体" w:cs="宋体"/>
                <w:color w:val="auto"/>
                <w:kern w:val="0"/>
                <w:sz w:val="15"/>
                <w:szCs w:val="15"/>
                <w:highlight w:val="none"/>
              </w:rPr>
            </w:pPr>
          </w:p>
        </w:tc>
        <w:tc>
          <w:tcPr>
            <w:tcW w:w="1624" w:type="dxa"/>
            <w:vMerge w:val="continue"/>
            <w:tcBorders>
              <w:top w:val="single" w:color="auto" w:sz="4" w:space="0"/>
              <w:left w:val="nil"/>
              <w:bottom w:val="single" w:color="auto" w:sz="4" w:space="0"/>
              <w:right w:val="single" w:color="auto" w:sz="4" w:space="0"/>
            </w:tcBorders>
            <w:noWrap w:val="0"/>
            <w:vAlign w:val="center"/>
          </w:tcPr>
          <w:p w14:paraId="46697186">
            <w:pPr>
              <w:widowControl/>
              <w:jc w:val="left"/>
              <w:rPr>
                <w:rFonts w:hint="eastAsia" w:ascii="宋体" w:hAnsi="宋体" w:eastAsia="宋体" w:cs="宋体"/>
                <w:color w:val="auto"/>
                <w:kern w:val="0"/>
                <w:sz w:val="15"/>
                <w:szCs w:val="15"/>
                <w:highlight w:val="none"/>
              </w:rPr>
            </w:pPr>
          </w:p>
        </w:tc>
        <w:tc>
          <w:tcPr>
            <w:tcW w:w="2981" w:type="dxa"/>
            <w:vMerge w:val="continue"/>
            <w:tcBorders>
              <w:top w:val="single" w:color="auto" w:sz="4" w:space="0"/>
              <w:left w:val="nil"/>
              <w:bottom w:val="single" w:color="auto" w:sz="4" w:space="0"/>
              <w:right w:val="single" w:color="auto" w:sz="4" w:space="0"/>
            </w:tcBorders>
            <w:noWrap w:val="0"/>
            <w:vAlign w:val="center"/>
          </w:tcPr>
          <w:p w14:paraId="341F8BFC">
            <w:pPr>
              <w:widowControl/>
              <w:jc w:val="left"/>
              <w:rPr>
                <w:rFonts w:hint="eastAsia" w:ascii="宋体" w:hAnsi="宋体" w:eastAsia="宋体" w:cs="宋体"/>
                <w:color w:val="auto"/>
                <w:kern w:val="0"/>
                <w:sz w:val="15"/>
                <w:szCs w:val="15"/>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43CD237">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300000</w:t>
            </w:r>
          </w:p>
        </w:tc>
        <w:tc>
          <w:tcPr>
            <w:tcW w:w="840" w:type="dxa"/>
            <w:tcBorders>
              <w:top w:val="single" w:color="auto" w:sz="4" w:space="0"/>
              <w:left w:val="nil"/>
              <w:bottom w:val="single" w:color="auto" w:sz="4" w:space="0"/>
              <w:right w:val="single" w:color="auto" w:sz="4" w:space="0"/>
            </w:tcBorders>
            <w:noWrap w:val="0"/>
            <w:vAlign w:val="center"/>
          </w:tcPr>
          <w:p w14:paraId="471BB767">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2376" w:type="dxa"/>
            <w:tcBorders>
              <w:top w:val="single" w:color="auto" w:sz="4" w:space="0"/>
              <w:left w:val="nil"/>
              <w:bottom w:val="single" w:color="auto" w:sz="4" w:space="0"/>
              <w:right w:val="single" w:color="auto" w:sz="4" w:space="0"/>
            </w:tcBorders>
            <w:noWrap w:val="0"/>
            <w:vAlign w:val="center"/>
          </w:tcPr>
          <w:p w14:paraId="31D4F9B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在重点排污名录，处以下罚款：1.无证排水持续时间＜30天，系数为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；30天≤无证排水持续时间＜45天，系数为</w:t>
            </w:r>
            <w:r>
              <w:rPr>
                <w:rFonts w:hint="eastAsia" w:ascii="宋体" w:hAnsi="宋体" w:eastAsia="宋体" w:cs="宋体"/>
                <w:color w:val="auto"/>
                <w:kern w:val="0"/>
                <w:sz w:val="15"/>
                <w:szCs w:val="15"/>
                <w:highlight w:val="none"/>
                <w:lang w:val="en-US" w:eastAsia="zh-CN"/>
              </w:rPr>
              <w:t>0.1</w:t>
            </w:r>
            <w:r>
              <w:rPr>
                <w:rFonts w:hint="eastAsia" w:ascii="宋体" w:hAnsi="宋体" w:eastAsia="宋体" w:cs="宋体"/>
                <w:color w:val="auto"/>
                <w:kern w:val="0"/>
                <w:sz w:val="15"/>
                <w:szCs w:val="15"/>
                <w:highlight w:val="none"/>
              </w:rPr>
              <w:t>；无证排水持续时间每增加15天（不足15天，按15天计），系数加0.</w:t>
            </w:r>
            <w:r>
              <w:rPr>
                <w:rFonts w:hint="eastAsia" w:ascii="宋体" w:hAnsi="宋体" w:eastAsia="宋体" w:cs="宋体"/>
                <w:color w:val="auto"/>
                <w:kern w:val="0"/>
                <w:sz w:val="15"/>
                <w:szCs w:val="15"/>
                <w:highlight w:val="none"/>
                <w:lang w:val="en-US" w:eastAsia="zh-CN"/>
              </w:rPr>
              <w:t>1，罚款金额不超过50万元</w:t>
            </w:r>
            <w:r>
              <w:rPr>
                <w:rFonts w:hint="eastAsia" w:ascii="宋体" w:hAnsi="宋体" w:eastAsia="宋体" w:cs="宋体"/>
                <w:color w:val="auto"/>
                <w:kern w:val="0"/>
                <w:sz w:val="15"/>
                <w:szCs w:val="15"/>
                <w:highlight w:val="none"/>
              </w:rPr>
              <w:t>。2.存在基准2.1.3规定情形的，系数按照相关规定确定（基准2.1.3.5不适用）。</w:t>
            </w:r>
          </w:p>
        </w:tc>
        <w:tc>
          <w:tcPr>
            <w:tcW w:w="1879" w:type="dxa"/>
            <w:gridSpan w:val="3"/>
            <w:tcBorders>
              <w:top w:val="single" w:color="auto" w:sz="4" w:space="0"/>
              <w:left w:val="nil"/>
              <w:bottom w:val="single" w:color="auto" w:sz="4" w:space="0"/>
              <w:right w:val="single" w:color="auto" w:sz="4" w:space="0"/>
            </w:tcBorders>
            <w:noWrap w:val="0"/>
            <w:vAlign w:val="center"/>
          </w:tcPr>
          <w:p w14:paraId="20BB62D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30</w:t>
            </w:r>
            <w:r>
              <w:rPr>
                <w:rFonts w:hint="eastAsia" w:ascii="宋体" w:hAnsi="宋体" w:eastAsia="宋体" w:cs="宋体"/>
                <w:color w:val="auto"/>
                <w:kern w:val="0"/>
                <w:sz w:val="15"/>
                <w:szCs w:val="15"/>
                <w:highlight w:val="none"/>
              </w:rPr>
              <w:t>0000×（1+情节系数）</w:t>
            </w:r>
          </w:p>
        </w:tc>
        <w:tc>
          <w:tcPr>
            <w:tcW w:w="2016" w:type="dxa"/>
            <w:tcBorders>
              <w:top w:val="single" w:color="auto" w:sz="4" w:space="0"/>
              <w:left w:val="nil"/>
              <w:bottom w:val="single" w:color="auto" w:sz="4" w:space="0"/>
              <w:right w:val="single" w:color="auto" w:sz="4" w:space="0"/>
            </w:tcBorders>
            <w:noWrap w:val="0"/>
            <w:vAlign w:val="center"/>
          </w:tcPr>
          <w:p w14:paraId="3E12CE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重点排污名录以相关主管部门官方公布为准。</w:t>
            </w:r>
            <w:r>
              <w:rPr>
                <w:rFonts w:hint="eastAsia" w:ascii="宋体" w:hAnsi="宋体" w:eastAsia="宋体" w:cs="宋体"/>
                <w:color w:val="auto"/>
                <w:kern w:val="0"/>
                <w:sz w:val="15"/>
                <w:szCs w:val="15"/>
                <w:highlight w:val="none"/>
              </w:rPr>
              <w:br w:type="textWrapping"/>
            </w:r>
          </w:p>
        </w:tc>
        <w:tc>
          <w:tcPr>
            <w:tcW w:w="1304" w:type="dxa"/>
            <w:gridSpan w:val="2"/>
            <w:vMerge w:val="continue"/>
            <w:tcBorders>
              <w:top w:val="single" w:color="auto" w:sz="4" w:space="0"/>
              <w:left w:val="nil"/>
              <w:bottom w:val="single" w:color="auto" w:sz="4" w:space="0"/>
              <w:right w:val="single" w:color="auto" w:sz="4" w:space="0"/>
            </w:tcBorders>
            <w:noWrap w:val="0"/>
            <w:vAlign w:val="center"/>
          </w:tcPr>
          <w:p w14:paraId="7298A721">
            <w:pPr>
              <w:widowControl/>
              <w:jc w:val="center"/>
              <w:rPr>
                <w:rFonts w:hint="eastAsia" w:ascii="宋体" w:hAnsi="宋体" w:eastAsia="宋体" w:cs="宋体"/>
                <w:color w:val="auto"/>
                <w:kern w:val="0"/>
                <w:sz w:val="15"/>
                <w:szCs w:val="15"/>
                <w:highlight w:val="none"/>
                <w:lang w:eastAsia="zh-CN"/>
              </w:rPr>
            </w:pPr>
          </w:p>
        </w:tc>
        <w:tc>
          <w:tcPr>
            <w:tcW w:w="1869" w:type="dxa"/>
            <w:vMerge w:val="continue"/>
            <w:tcBorders>
              <w:left w:val="single" w:color="auto" w:sz="4" w:space="0"/>
              <w:bottom w:val="single" w:color="auto" w:sz="4" w:space="0"/>
              <w:right w:val="single" w:color="auto" w:sz="4" w:space="0"/>
            </w:tcBorders>
            <w:noWrap w:val="0"/>
            <w:vAlign w:val="center"/>
          </w:tcPr>
          <w:p w14:paraId="4F708B34">
            <w:pPr>
              <w:widowControl/>
              <w:jc w:val="center"/>
              <w:rPr>
                <w:rFonts w:hint="eastAsia" w:ascii="宋体" w:hAnsi="宋体" w:eastAsia="宋体" w:cs="宋体"/>
                <w:color w:val="auto"/>
                <w:kern w:val="0"/>
                <w:sz w:val="15"/>
                <w:szCs w:val="15"/>
                <w:highlight w:val="none"/>
                <w:lang w:eastAsia="zh"/>
              </w:rPr>
            </w:pPr>
          </w:p>
        </w:tc>
      </w:tr>
      <w:tr w14:paraId="3E82F7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8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2929131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vMerge w:val="restart"/>
            <w:tcBorders>
              <w:top w:val="nil"/>
              <w:left w:val="single" w:color="auto" w:sz="4" w:space="0"/>
              <w:bottom w:val="single" w:color="auto" w:sz="4" w:space="0"/>
              <w:right w:val="single" w:color="auto" w:sz="4" w:space="0"/>
            </w:tcBorders>
            <w:noWrap w:val="0"/>
            <w:vAlign w:val="center"/>
          </w:tcPr>
          <w:p w14:paraId="0AC248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排水户不按照排水许可证的要求排放污水</w:t>
            </w:r>
          </w:p>
        </w:tc>
        <w:tc>
          <w:tcPr>
            <w:tcW w:w="2981" w:type="dxa"/>
            <w:vMerge w:val="restart"/>
            <w:tcBorders>
              <w:top w:val="nil"/>
              <w:left w:val="single" w:color="auto" w:sz="4" w:space="0"/>
              <w:bottom w:val="single" w:color="auto" w:sz="4" w:space="0"/>
              <w:right w:val="single" w:color="auto" w:sz="4" w:space="0"/>
            </w:tcBorders>
            <w:noWrap w:val="0"/>
            <w:vAlign w:val="center"/>
          </w:tcPr>
          <w:p w14:paraId="79B0DB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违反条款：《办法》第十三条；《条例》第二十一条第二款；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八条，责令停止违法行为，限期改正，可以处5万元以下罚款；造成严重后果的，吊销排水许可证，并处5万元以上50万元以下罚款，对列入重点排污单位名录的排水户，处30万元以上50万元以下罚款；《条例》第五十条第二款，责令停止违法行为，限期改正，可以处5万元以下罚款；造成严重后果的，吊销污水排入排水管网许可证，并处5万元以上50万元以下罚款。</w:t>
            </w:r>
          </w:p>
        </w:tc>
        <w:tc>
          <w:tcPr>
            <w:tcW w:w="851" w:type="dxa"/>
            <w:tcBorders>
              <w:top w:val="nil"/>
              <w:left w:val="nil"/>
              <w:bottom w:val="single" w:color="auto" w:sz="4" w:space="0"/>
              <w:right w:val="single" w:color="auto" w:sz="4" w:space="0"/>
            </w:tcBorders>
            <w:noWrap w:val="0"/>
            <w:vAlign w:val="center"/>
          </w:tcPr>
          <w:p w14:paraId="6E421F4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310C32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47FA68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的：1.日用水量＜200立方米，系数为0；200立方米≤日用水量，系数为1。2.超标项数=1项，系数为0；超标项数=2项，系数为1；超标项数=3项，系数为2；超标项数=4项，系数为3；超标项数=5项，系数为4；超标项数≥6项，系数为5。3.超标倍数＜1倍，系数为0；1倍≤超标倍数＜2倍，系数为1；2倍≤超标倍数＜3倍，系数为2；3倍≤超标倍数＜4倍，系数为3；4倍≤超标倍数，系数为4。4.排水口数量超出许可要求、排水口位置不在许可范围、排水量超出许可范围，符合1项的，系数为0，每增加1项，系数加1。超标倍数取单项超标倍数最高值、同一排水项目多个排水口相同超标项项数不累加。5.存在基准2.1.3规定情形的，系数按照相关规定确定（基准2.1.3.5不适用）。罚款金额不得超过5万元。</w:t>
            </w:r>
          </w:p>
        </w:tc>
        <w:tc>
          <w:tcPr>
            <w:tcW w:w="1879" w:type="dxa"/>
            <w:gridSpan w:val="3"/>
            <w:tcBorders>
              <w:top w:val="nil"/>
              <w:left w:val="nil"/>
              <w:bottom w:val="single" w:color="auto" w:sz="4" w:space="0"/>
              <w:right w:val="single" w:color="auto" w:sz="4" w:space="0"/>
            </w:tcBorders>
            <w:noWrap w:val="0"/>
            <w:vAlign w:val="center"/>
          </w:tcPr>
          <w:p w14:paraId="2E6EE26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25E57A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（一）存在以下情形之一的，可视为造成严重后果：1.粪大肠菌群超标倍数＞100、石油类超标倍数＞2、PH值＜5或PH值＞11、</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检测项存在超过5倍的单项指标，以上四类情形满足两类及以上；2.一年度内三次发生同地点同类型违法行为。拟作出吊销排水许可证的，在作出处罚决定前，要邀请行业主管部门共同会商。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2706402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067038B6">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C2309500</w:t>
            </w:r>
          </w:p>
        </w:tc>
      </w:tr>
      <w:tr w14:paraId="1C4BB5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60CBA127">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27C34588">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1F192FCE">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1943257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447F8E4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09CCDE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1.日用水量＜200立方米，系数为0；200立方米≤日用水量，系数为1。2.超标项数=1项，系数为0；超标项数=2项，系数为1；超标项数=3项，系数为2；超标项数=4项，系数为3；超标项数=5项，系数为4；超标项数≥6项，系数为5。3.排放污染物项目超出许可要求、排水口数量超出许可要求、排水口位置不在许可范围、排水量超出许可范围，符合1项的，系数为0，每增加1项，系数加1。4.列入重点排污单位名录的排水户，系数为5。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E01DF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57336AF2">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30FF8AA0">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3F6A1850">
            <w:pPr>
              <w:widowControl/>
              <w:jc w:val="left"/>
              <w:rPr>
                <w:rFonts w:hint="eastAsia" w:ascii="宋体" w:hAnsi="宋体" w:eastAsia="宋体" w:cs="宋体"/>
                <w:color w:val="auto"/>
                <w:kern w:val="0"/>
                <w:sz w:val="15"/>
                <w:szCs w:val="15"/>
                <w:highlight w:val="none"/>
                <w:lang w:eastAsia="zh"/>
              </w:rPr>
            </w:pPr>
          </w:p>
        </w:tc>
      </w:tr>
      <w:tr w14:paraId="070600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7051044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vMerge w:val="restart"/>
            <w:tcBorders>
              <w:top w:val="nil"/>
              <w:left w:val="single" w:color="auto" w:sz="4" w:space="0"/>
              <w:bottom w:val="single" w:color="auto" w:sz="4" w:space="0"/>
              <w:right w:val="single" w:color="auto" w:sz="4" w:space="0"/>
            </w:tcBorders>
            <w:noWrap w:val="0"/>
            <w:vAlign w:val="center"/>
          </w:tcPr>
          <w:p w14:paraId="14A91E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从事危及城镇排水与污水处理设施安全的活动</w:t>
            </w:r>
          </w:p>
        </w:tc>
        <w:tc>
          <w:tcPr>
            <w:tcW w:w="2981" w:type="dxa"/>
            <w:vMerge w:val="restart"/>
            <w:tcBorders>
              <w:top w:val="nil"/>
              <w:left w:val="single" w:color="auto" w:sz="4" w:space="0"/>
              <w:bottom w:val="single" w:color="auto" w:sz="4" w:space="0"/>
              <w:right w:val="single" w:color="auto" w:sz="4" w:space="0"/>
            </w:tcBorders>
            <w:noWrap w:val="0"/>
            <w:vAlign w:val="center"/>
          </w:tcPr>
          <w:p w14:paraId="6376A2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违反条款：《办法》第十四条；《条例》第四十二条；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二条，责令停止违法行为，限期恢复原状或者采取其他补救措施，并给予警告；逾期不采取补救措施或者造成严重后果的，对单位处10万元以上30万元以下罚款，对个人处2万元以上10万元以下罚款；《条例》第五十六条，责令停止违法行为，限期恢复原状或者采取其他补救措施，给予警告；逾期不采取补救措施或者造成严重后果的，对单位处10万元以上30万元以下罚款，对个人处2万元以上10万元以下罚款。</w:t>
            </w:r>
          </w:p>
        </w:tc>
        <w:tc>
          <w:tcPr>
            <w:tcW w:w="851" w:type="dxa"/>
            <w:tcBorders>
              <w:top w:val="nil"/>
              <w:left w:val="nil"/>
              <w:bottom w:val="single" w:color="auto" w:sz="4" w:space="0"/>
              <w:right w:val="single" w:color="auto" w:sz="4" w:space="0"/>
            </w:tcBorders>
            <w:noWrap w:val="0"/>
            <w:vAlign w:val="center"/>
          </w:tcPr>
          <w:p w14:paraId="7E1445B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14:paraId="074C719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90AC2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1万元≤直接经济损失＜3万元，系数为0.2；直接经济损失每增加2万元（不足2万元，按2万元计），系数加0.2；19万元≤直接经济损失，系数为2。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D45C4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77FDF9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（一）存在以下情形之一的，可视为严重后果：1.发生一般及以上安全事故的；2.造成城镇污水处理厂排放超标或污染物外溢且影响户数＞1000户；3.经执法部门处罚后，一年度内再次发生同类型违法行为。</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（二）当事人为排水户时，优先适用《城镇污水排入排水管网许可管理办法》；当事人为非排水户时，适用《城镇排水与污水处理条例》。</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0B7DBAB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33F7C7D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C2349600</w:t>
            </w:r>
          </w:p>
        </w:tc>
      </w:tr>
      <w:tr w14:paraId="04C170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017A72FC">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46645E21">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309A0C53">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0497637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0ACDDCB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962760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2.1万元≤直接经济损失＜5万元，系数为1；3.5万元≤直接经济损失＜10万元，系数为2；4.10万元≤直接经济损失＜20万元，系数为3；5.20万元≤直接经济损失，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B14167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3AA6A9E6">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177B4CCB">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7C4F8ED0">
            <w:pPr>
              <w:widowControl/>
              <w:jc w:val="left"/>
              <w:rPr>
                <w:rFonts w:hint="eastAsia" w:ascii="宋体" w:hAnsi="宋体" w:eastAsia="宋体" w:cs="宋体"/>
                <w:color w:val="auto"/>
                <w:kern w:val="0"/>
                <w:sz w:val="15"/>
                <w:szCs w:val="15"/>
                <w:highlight w:val="none"/>
                <w:lang w:eastAsia="zh"/>
              </w:rPr>
            </w:pPr>
          </w:p>
        </w:tc>
      </w:tr>
      <w:tr w14:paraId="1D89E5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1C5A9E3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14:paraId="532BC1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排水户名称、法定代表人等其他事项变更未按规定办理变更手续</w:t>
            </w:r>
          </w:p>
        </w:tc>
        <w:tc>
          <w:tcPr>
            <w:tcW w:w="2981" w:type="dxa"/>
            <w:tcBorders>
              <w:top w:val="nil"/>
              <w:left w:val="nil"/>
              <w:bottom w:val="single" w:color="auto" w:sz="4" w:space="0"/>
              <w:right w:val="single" w:color="auto" w:sz="4" w:space="0"/>
            </w:tcBorders>
            <w:noWrap w:val="0"/>
            <w:vAlign w:val="center"/>
          </w:tcPr>
          <w:p w14:paraId="1CDA50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处罚条款：《办法》第二十九条，责令改正，可以处1万元以下罚款。</w:t>
            </w:r>
          </w:p>
        </w:tc>
        <w:tc>
          <w:tcPr>
            <w:tcW w:w="851" w:type="dxa"/>
            <w:tcBorders>
              <w:top w:val="nil"/>
              <w:left w:val="nil"/>
              <w:bottom w:val="single" w:color="auto" w:sz="4" w:space="0"/>
              <w:right w:val="single" w:color="auto" w:sz="4" w:space="0"/>
            </w:tcBorders>
            <w:noWrap w:val="0"/>
            <w:vAlign w:val="center"/>
          </w:tcPr>
          <w:p w14:paraId="005C43A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12E2968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5D1DD5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15天，系数为0；2.15天≤违法行为持续时间＜30天，系数为2；3.30天≤违法行为持续时间＜45天，系数为4；4.45天≤违法行为持续时间＜60天，系数为6；5.60天≤违法行为持续时间，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84D97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14:paraId="3EF916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00C2353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83A173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C2309400</w:t>
            </w:r>
          </w:p>
        </w:tc>
      </w:tr>
      <w:tr w14:paraId="605EA0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2E5934A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14:paraId="657FA8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排水户因发生事故或者其他突发事件，排放的污水可能危及城镇排水与污水处理设施安全运行，没有立即暂停排放，未采取措施消除危害，或者并未按规定及时向城镇排水主管部门等有关部门报告</w:t>
            </w:r>
          </w:p>
        </w:tc>
        <w:tc>
          <w:tcPr>
            <w:tcW w:w="2981" w:type="dxa"/>
            <w:tcBorders>
              <w:top w:val="nil"/>
              <w:left w:val="nil"/>
              <w:bottom w:val="single" w:color="auto" w:sz="4" w:space="0"/>
              <w:right w:val="single" w:color="auto" w:sz="4" w:space="0"/>
            </w:tcBorders>
            <w:noWrap w:val="0"/>
            <w:vAlign w:val="center"/>
          </w:tcPr>
          <w:p w14:paraId="3F76F5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处罚条款：《办法》第三十一条，可以处3万元以下罚款。</w:t>
            </w:r>
          </w:p>
        </w:tc>
        <w:tc>
          <w:tcPr>
            <w:tcW w:w="851" w:type="dxa"/>
            <w:tcBorders>
              <w:top w:val="nil"/>
              <w:left w:val="nil"/>
              <w:bottom w:val="single" w:color="auto" w:sz="4" w:space="0"/>
              <w:right w:val="single" w:color="auto" w:sz="4" w:space="0"/>
            </w:tcBorders>
            <w:noWrap w:val="0"/>
            <w:vAlign w:val="center"/>
          </w:tcPr>
          <w:p w14:paraId="618D9B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12FA5AF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4448A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5天≤违法行为持续时间＜10天，系数为2；10天≤违法行为持续时间＜15天，系数为4；15天≤违法行为持续时间＜20天，系数为6；20天≤违法行为持续时间或造成严重后果的，系数为9。2.同时构成没有立即暂停排放，未采取措施消除危害，或者并未按规定报告两种情形的，系数为2。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8D447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14:paraId="7B25D3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75E48C2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2BD1F8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C2311600</w:t>
            </w:r>
          </w:p>
        </w:tc>
      </w:tr>
      <w:tr w14:paraId="4ADBC9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732F6BA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14:paraId="41AFDC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重点排水户未按照本办法规定建立档案管理制度，或者档案记录保存期限少于5年</w:t>
            </w:r>
          </w:p>
        </w:tc>
        <w:tc>
          <w:tcPr>
            <w:tcW w:w="2981" w:type="dxa"/>
            <w:tcBorders>
              <w:top w:val="nil"/>
              <w:left w:val="nil"/>
              <w:bottom w:val="single" w:color="auto" w:sz="4" w:space="0"/>
              <w:right w:val="single" w:color="auto" w:sz="4" w:space="0"/>
            </w:tcBorders>
            <w:noWrap w:val="0"/>
            <w:vAlign w:val="center"/>
          </w:tcPr>
          <w:p w14:paraId="2573F28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处罚条款：《办法》第三十三条，责令改正，可以处3万元以下罚款。</w:t>
            </w:r>
          </w:p>
        </w:tc>
        <w:tc>
          <w:tcPr>
            <w:tcW w:w="851" w:type="dxa"/>
            <w:tcBorders>
              <w:top w:val="nil"/>
              <w:left w:val="nil"/>
              <w:bottom w:val="single" w:color="auto" w:sz="4" w:space="0"/>
              <w:right w:val="single" w:color="auto" w:sz="4" w:space="0"/>
            </w:tcBorders>
            <w:noWrap w:val="0"/>
            <w:vAlign w:val="center"/>
          </w:tcPr>
          <w:p w14:paraId="65D3FFC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51D15FB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9E193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1.4年≤档案记录保存期限＜5年，系数为0；  3年≤档案记录保存期限＜4年，系数为1；  2年≤档案记录保存期限＜3年，系数为2；  1年≤档案记录保存期限＜2年，系数为3；  档案记录保存期限＜1年，系数为4。2.未按照规定建立档案管理制度，系数为5。3.存在基准2.1.3规定情形的，系数按照相关规定确定（基准2.1.3.5不适用）。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2B833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14:paraId="1D664B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577CB92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BA1838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C2359500</w:t>
            </w:r>
          </w:p>
        </w:tc>
      </w:tr>
      <w:tr w14:paraId="1D0D4F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60F98F2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14:paraId="1FCF6F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排水户拒不接受水质、水量监测或者妨碍、阻挠城镇排水主管部门依法监督检查</w:t>
            </w:r>
          </w:p>
        </w:tc>
        <w:tc>
          <w:tcPr>
            <w:tcW w:w="2981" w:type="dxa"/>
            <w:tcBorders>
              <w:top w:val="nil"/>
              <w:left w:val="nil"/>
              <w:bottom w:val="single" w:color="auto" w:sz="4" w:space="0"/>
              <w:right w:val="single" w:color="auto" w:sz="4" w:space="0"/>
            </w:tcBorders>
            <w:noWrap w:val="0"/>
            <w:vAlign w:val="center"/>
          </w:tcPr>
          <w:p w14:paraId="092A10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处罚条款：《办法》第三十四条，给予警告；情节严重的，处3万元以下罚款。</w:t>
            </w:r>
          </w:p>
        </w:tc>
        <w:tc>
          <w:tcPr>
            <w:tcW w:w="851" w:type="dxa"/>
            <w:tcBorders>
              <w:top w:val="nil"/>
              <w:left w:val="nil"/>
              <w:bottom w:val="single" w:color="auto" w:sz="4" w:space="0"/>
              <w:right w:val="single" w:color="auto" w:sz="4" w:space="0"/>
            </w:tcBorders>
            <w:noWrap w:val="0"/>
            <w:vAlign w:val="center"/>
          </w:tcPr>
          <w:p w14:paraId="7EA439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45B6017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85AFF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日用水量＜100立方米，系数为0；2.100立方米≤日用水量＜200立方米，系数为2；3.200立方米≤日用水量＜300立方米，系数为4；4.300立方米≤日用水量＜400立方米，系数为6；5.400立方米≤日用水量，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35E49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14:paraId="237AA4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（一）逾期不改正的，视为情节严重。</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0FC6C53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3F1E23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000000"/>
                <w:kern w:val="0"/>
                <w:sz w:val="15"/>
                <w:szCs w:val="15"/>
                <w:highlight w:val="none"/>
                <w:lang w:val="en-US" w:eastAsia="zh-CN" w:bidi="ar"/>
              </w:rPr>
              <w:t>C2311700</w:t>
            </w:r>
          </w:p>
        </w:tc>
      </w:tr>
      <w:tr w14:paraId="1D0780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39C1E05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14:paraId="6D4835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排水户以欺骗、贿赂等不正当手段取得排水许可</w:t>
            </w:r>
          </w:p>
        </w:tc>
        <w:tc>
          <w:tcPr>
            <w:tcW w:w="2981" w:type="dxa"/>
            <w:tcBorders>
              <w:top w:val="nil"/>
              <w:left w:val="nil"/>
              <w:bottom w:val="single" w:color="auto" w:sz="4" w:space="0"/>
              <w:right w:val="single" w:color="auto" w:sz="4" w:space="0"/>
            </w:tcBorders>
            <w:noWrap w:val="0"/>
            <w:vAlign w:val="center"/>
          </w:tcPr>
          <w:p w14:paraId="17358C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处罚条款：《办法》第三十条，可以处3万元以下罚款。</w:t>
            </w:r>
          </w:p>
        </w:tc>
        <w:tc>
          <w:tcPr>
            <w:tcW w:w="851" w:type="dxa"/>
            <w:tcBorders>
              <w:top w:val="nil"/>
              <w:left w:val="nil"/>
              <w:bottom w:val="single" w:color="auto" w:sz="4" w:space="0"/>
              <w:right w:val="single" w:color="auto" w:sz="4" w:space="0"/>
            </w:tcBorders>
            <w:noWrap w:val="0"/>
            <w:vAlign w:val="center"/>
          </w:tcPr>
          <w:p w14:paraId="1583D01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1B4BD76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EEFB65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系数为0；2.100立方米≤日用水量＜200立方米，系数为2；3.200立方米≤日用水量＜300立方米，系数为4；4.300立方米≤日用水量＜400立方米，系数为6；5.400立方米≤日用水量，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A195A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14:paraId="098A0E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4B3969E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79FB8C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C2311500</w:t>
            </w:r>
          </w:p>
        </w:tc>
      </w:tr>
      <w:tr w14:paraId="7717F5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83" w:hRule="atLeast"/>
        </w:trPr>
        <w:tc>
          <w:tcPr>
            <w:tcW w:w="13994" w:type="dxa"/>
            <w:gridSpan w:val="12"/>
            <w:tcBorders>
              <w:top w:val="nil"/>
              <w:left w:val="single" w:color="auto" w:sz="4" w:space="0"/>
              <w:bottom w:val="single" w:color="auto" w:sz="4" w:space="0"/>
              <w:right w:val="single" w:color="auto" w:sz="4" w:space="0"/>
            </w:tcBorders>
            <w:noWrap/>
            <w:vAlign w:val="center"/>
          </w:tcPr>
          <w:p w14:paraId="411720DA">
            <w:pPr>
              <w:widowControl/>
              <w:jc w:val="center"/>
              <w:outlineLvl w:val="1"/>
              <w:rPr>
                <w:rFonts w:hint="eastAsia" w:ascii="宋体" w:hAnsi="宋体" w:eastAsia="宋体" w:cs="宋体"/>
                <w:color w:val="auto"/>
                <w:kern w:val="0"/>
                <w:szCs w:val="21"/>
                <w:highlight w:val="none"/>
              </w:rPr>
            </w:pPr>
            <w:bookmarkStart w:id="225" w:name="_Toc1091947490"/>
            <w:bookmarkStart w:id="226" w:name="_Toc218468837"/>
            <w:r>
              <w:rPr>
                <w:rFonts w:hint="eastAsia" w:ascii="宋体" w:hAnsi="宋体" w:eastAsia="宋体" w:cs="宋体"/>
                <w:b/>
                <w:bCs/>
                <w:color w:val="auto"/>
                <w:kern w:val="0"/>
                <w:szCs w:val="21"/>
                <w:highlight w:val="none"/>
              </w:rPr>
              <w:t>《北京市水污染防治条例》案由1项</w:t>
            </w:r>
            <w:bookmarkEnd w:id="225"/>
            <w:bookmarkEnd w:id="226"/>
          </w:p>
        </w:tc>
        <w:tc>
          <w:tcPr>
            <w:tcW w:w="2462" w:type="dxa"/>
            <w:gridSpan w:val="2"/>
            <w:tcBorders>
              <w:top w:val="nil"/>
              <w:left w:val="single" w:color="auto" w:sz="4" w:space="0"/>
              <w:bottom w:val="single" w:color="auto" w:sz="4" w:space="0"/>
              <w:right w:val="single" w:color="auto" w:sz="4" w:space="0"/>
            </w:tcBorders>
            <w:noWrap/>
            <w:vAlign w:val="center"/>
          </w:tcPr>
          <w:p w14:paraId="0A51094D">
            <w:pPr>
              <w:widowControl/>
              <w:jc w:val="center"/>
              <w:outlineLvl w:val="1"/>
              <w:rPr>
                <w:rFonts w:hint="eastAsia" w:ascii="宋体" w:hAnsi="宋体" w:eastAsia="宋体" w:cs="宋体"/>
                <w:b/>
                <w:bCs/>
                <w:color w:val="auto"/>
                <w:kern w:val="0"/>
                <w:szCs w:val="21"/>
                <w:highlight w:val="none"/>
              </w:rPr>
            </w:pPr>
          </w:p>
        </w:tc>
      </w:tr>
      <w:tr w14:paraId="7E12F6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69D5F2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14:paraId="3F482E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向雨水收集口、雨水管道排放或者倾倒污水、污物和垃圾等废弃物</w:t>
            </w:r>
          </w:p>
        </w:tc>
        <w:tc>
          <w:tcPr>
            <w:tcW w:w="2981" w:type="dxa"/>
            <w:vMerge w:val="restart"/>
            <w:tcBorders>
              <w:top w:val="nil"/>
              <w:left w:val="single" w:color="auto" w:sz="4" w:space="0"/>
              <w:bottom w:val="single" w:color="auto" w:sz="4" w:space="0"/>
              <w:right w:val="single" w:color="auto" w:sz="4" w:space="0"/>
            </w:tcBorders>
            <w:noWrap w:val="0"/>
            <w:vAlign w:val="center"/>
          </w:tcPr>
          <w:p w14:paraId="573A31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处罚条款：第八十六条，责令停止违法行为，对个人处一千元以上一万元以下的罚款；对单位处一万元以上十万元以下的罚款。</w:t>
            </w:r>
          </w:p>
        </w:tc>
        <w:tc>
          <w:tcPr>
            <w:tcW w:w="851" w:type="dxa"/>
            <w:tcBorders>
              <w:top w:val="nil"/>
              <w:left w:val="nil"/>
              <w:bottom w:val="single" w:color="auto" w:sz="4" w:space="0"/>
              <w:right w:val="single" w:color="auto" w:sz="4" w:space="0"/>
            </w:tcBorders>
            <w:noWrap w:val="0"/>
            <w:vAlign w:val="center"/>
          </w:tcPr>
          <w:p w14:paraId="0D3C666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5D03012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vMerge w:val="restart"/>
            <w:tcBorders>
              <w:top w:val="nil"/>
              <w:left w:val="single" w:color="auto" w:sz="4" w:space="0"/>
              <w:bottom w:val="single" w:color="auto" w:sz="4" w:space="0"/>
              <w:right w:val="single" w:color="auto" w:sz="4" w:space="0"/>
            </w:tcBorders>
            <w:noWrap w:val="0"/>
            <w:vAlign w:val="center"/>
          </w:tcPr>
          <w:p w14:paraId="66DB76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倾倒少量生活污水，系数为0-2；2.排放或者倾倒污水、污物和垃圾等废弃物，系数为2-5；3.排放或者倾倒污水、污物和垃圾等废弃物，情节严重的，系数为5-9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75A06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1725509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6AD9653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c>
          <w:tcPr>
            <w:tcW w:w="1869" w:type="dxa"/>
            <w:vMerge w:val="restart"/>
            <w:tcBorders>
              <w:top w:val="nil"/>
              <w:left w:val="single" w:color="auto" w:sz="4" w:space="0"/>
              <w:right w:val="single" w:color="auto" w:sz="4" w:space="0"/>
            </w:tcBorders>
            <w:noWrap w:val="0"/>
            <w:vAlign w:val="center"/>
          </w:tcPr>
          <w:p w14:paraId="6E7E5D0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C2309800</w:t>
            </w:r>
          </w:p>
        </w:tc>
      </w:tr>
      <w:tr w14:paraId="502934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00A187AE">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302759BE">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59E6C645">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2B7B8E1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3D830DE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vMerge w:val="continue"/>
            <w:tcBorders>
              <w:top w:val="nil"/>
              <w:left w:val="single" w:color="auto" w:sz="4" w:space="0"/>
              <w:bottom w:val="single" w:color="auto" w:sz="4" w:space="0"/>
              <w:right w:val="single" w:color="auto" w:sz="4" w:space="0"/>
            </w:tcBorders>
            <w:noWrap w:val="0"/>
            <w:vAlign w:val="center"/>
          </w:tcPr>
          <w:p w14:paraId="42E4129A">
            <w:pPr>
              <w:widowControl/>
              <w:jc w:val="left"/>
              <w:rPr>
                <w:rFonts w:hint="eastAsia" w:ascii="宋体" w:hAnsi="宋体" w:eastAsia="宋体" w:cs="宋体"/>
                <w:color w:val="auto"/>
                <w:kern w:val="0"/>
                <w:sz w:val="15"/>
                <w:szCs w:val="15"/>
                <w:highlight w:val="none"/>
              </w:rPr>
            </w:pPr>
          </w:p>
        </w:tc>
        <w:tc>
          <w:tcPr>
            <w:tcW w:w="1879" w:type="dxa"/>
            <w:gridSpan w:val="3"/>
            <w:tcBorders>
              <w:top w:val="nil"/>
              <w:left w:val="nil"/>
              <w:bottom w:val="single" w:color="auto" w:sz="4" w:space="0"/>
              <w:right w:val="single" w:color="auto" w:sz="4" w:space="0"/>
            </w:tcBorders>
            <w:noWrap w:val="0"/>
            <w:vAlign w:val="center"/>
          </w:tcPr>
          <w:p w14:paraId="2D8D64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29D9D98C">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4182ECF3">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19134009">
            <w:pPr>
              <w:widowControl/>
              <w:jc w:val="left"/>
              <w:rPr>
                <w:rFonts w:hint="eastAsia" w:ascii="宋体" w:hAnsi="宋体" w:eastAsia="宋体" w:cs="宋体"/>
                <w:color w:val="auto"/>
                <w:kern w:val="0"/>
                <w:sz w:val="15"/>
                <w:szCs w:val="15"/>
                <w:highlight w:val="none"/>
              </w:rPr>
            </w:pPr>
          </w:p>
        </w:tc>
      </w:tr>
      <w:tr w14:paraId="743DA7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83" w:hRule="atLeast"/>
        </w:trPr>
        <w:tc>
          <w:tcPr>
            <w:tcW w:w="13994" w:type="dxa"/>
            <w:gridSpan w:val="12"/>
            <w:tcBorders>
              <w:top w:val="nil"/>
              <w:left w:val="single" w:color="auto" w:sz="4" w:space="0"/>
              <w:bottom w:val="single" w:color="auto" w:sz="4" w:space="0"/>
              <w:right w:val="single" w:color="auto" w:sz="4" w:space="0"/>
            </w:tcBorders>
            <w:noWrap w:val="0"/>
            <w:vAlign w:val="center"/>
          </w:tcPr>
          <w:p w14:paraId="5FF0E0AE">
            <w:pPr>
              <w:widowControl/>
              <w:jc w:val="center"/>
              <w:outlineLvl w:val="1"/>
              <w:rPr>
                <w:rFonts w:hint="eastAsia" w:ascii="宋体" w:hAnsi="宋体" w:eastAsia="宋体" w:cs="宋体"/>
                <w:color w:val="auto"/>
                <w:kern w:val="0"/>
                <w:sz w:val="15"/>
                <w:szCs w:val="15"/>
                <w:highlight w:val="none"/>
              </w:rPr>
            </w:pPr>
            <w:bookmarkStart w:id="227" w:name="_Toc1931537284"/>
            <w:bookmarkStart w:id="228" w:name="_Toc218468838"/>
            <w:r>
              <w:rPr>
                <w:rFonts w:hint="eastAsia" w:ascii="宋体" w:hAnsi="宋体" w:eastAsia="宋体" w:cs="宋体"/>
                <w:b/>
                <w:bCs/>
                <w:color w:val="auto"/>
                <w:kern w:val="0"/>
                <w:szCs w:val="21"/>
                <w:highlight w:val="none"/>
              </w:rPr>
              <w:t>《北京市排水和再生水管理办法》案由9项</w:t>
            </w:r>
            <w:bookmarkEnd w:id="227"/>
            <w:bookmarkEnd w:id="228"/>
          </w:p>
        </w:tc>
        <w:tc>
          <w:tcPr>
            <w:tcW w:w="2462" w:type="dxa"/>
            <w:gridSpan w:val="2"/>
            <w:tcBorders>
              <w:top w:val="nil"/>
              <w:left w:val="single" w:color="auto" w:sz="4" w:space="0"/>
              <w:bottom w:val="single" w:color="auto" w:sz="4" w:space="0"/>
              <w:right w:val="single" w:color="auto" w:sz="4" w:space="0"/>
            </w:tcBorders>
            <w:noWrap w:val="0"/>
            <w:vAlign w:val="center"/>
          </w:tcPr>
          <w:p w14:paraId="2416F5D4">
            <w:pPr>
              <w:widowControl/>
              <w:jc w:val="center"/>
              <w:outlineLvl w:val="1"/>
              <w:rPr>
                <w:rFonts w:hint="eastAsia" w:ascii="宋体" w:hAnsi="宋体" w:eastAsia="宋体" w:cs="宋体"/>
                <w:b/>
                <w:bCs/>
                <w:color w:val="auto"/>
                <w:kern w:val="0"/>
                <w:szCs w:val="21"/>
                <w:highlight w:val="none"/>
              </w:rPr>
            </w:pPr>
          </w:p>
        </w:tc>
      </w:tr>
      <w:tr w14:paraId="7CF306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4CE957C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51F2B1B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餐饮服务排水户未设置隔油设施或者隔油设施不能正常使用</w:t>
            </w:r>
          </w:p>
        </w:tc>
        <w:tc>
          <w:tcPr>
            <w:tcW w:w="2981" w:type="dxa"/>
            <w:tcBorders>
              <w:top w:val="nil"/>
              <w:left w:val="nil"/>
              <w:bottom w:val="single" w:color="auto" w:sz="4" w:space="0"/>
              <w:right w:val="single" w:color="auto" w:sz="4" w:space="0"/>
            </w:tcBorders>
            <w:noWrap w:val="0"/>
            <w:vAlign w:val="center"/>
          </w:tcPr>
          <w:p w14:paraId="25AB2E9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处罚条款：第三十六条，责令限期改正；逾期不改正，处1000元以上5000元以下罚款。</w:t>
            </w:r>
          </w:p>
        </w:tc>
        <w:tc>
          <w:tcPr>
            <w:tcW w:w="851" w:type="dxa"/>
            <w:tcBorders>
              <w:top w:val="nil"/>
              <w:left w:val="nil"/>
              <w:bottom w:val="single" w:color="auto" w:sz="4" w:space="0"/>
              <w:right w:val="single" w:color="auto" w:sz="4" w:space="0"/>
            </w:tcBorders>
            <w:noWrap w:val="0"/>
            <w:vAlign w:val="center"/>
          </w:tcPr>
          <w:p w14:paraId="7FEF174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448F298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6AFC6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1.餐饮建筑面积＜150平方米，系数为0；2.150平方米≤餐饮建筑面积＜500平方米，系数为2；3.500平方米≤餐饮建筑面积，系数为4。4.存在基准2.1.3规定情形的，系数按照相关规定确定（基准2.1.3.5不适用）。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43717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14:paraId="62BCC92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268FCE4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BE28E3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C2308000</w:t>
            </w:r>
          </w:p>
        </w:tc>
      </w:tr>
      <w:tr w14:paraId="215CD3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68315D2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061814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再生水水质、水压不符合标准</w:t>
            </w:r>
          </w:p>
        </w:tc>
        <w:tc>
          <w:tcPr>
            <w:tcW w:w="2981" w:type="dxa"/>
            <w:tcBorders>
              <w:top w:val="nil"/>
              <w:left w:val="nil"/>
              <w:bottom w:val="single" w:color="auto" w:sz="4" w:space="0"/>
              <w:right w:val="single" w:color="auto" w:sz="4" w:space="0"/>
            </w:tcBorders>
            <w:noWrap w:val="0"/>
            <w:vAlign w:val="center"/>
          </w:tcPr>
          <w:p w14:paraId="140AA5D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处罚条款：第三十七条第一款第（二）项，给予警告，责令限期改正，并可处1万元以上3万元以下罚款。</w:t>
            </w:r>
          </w:p>
        </w:tc>
        <w:tc>
          <w:tcPr>
            <w:tcW w:w="851" w:type="dxa"/>
            <w:tcBorders>
              <w:top w:val="nil"/>
              <w:left w:val="nil"/>
              <w:bottom w:val="single" w:color="auto" w:sz="4" w:space="0"/>
              <w:right w:val="single" w:color="auto" w:sz="4" w:space="0"/>
            </w:tcBorders>
            <w:noWrap w:val="0"/>
            <w:vAlign w:val="center"/>
          </w:tcPr>
          <w:p w14:paraId="47D37FF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92375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3BAE9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水质超标项数＜5项或实际水压与标准值偏差＜25%，系数为0；2.5项≤水质超标项数＜8项或25%≤实际水压与标准值偏差＜50%，系数为1；3.8项≤水质超标项数或50%≤实际水压与标准值偏差，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ABB9F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4F5C04C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A4EA0B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4F91E7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C2308200</w:t>
            </w:r>
          </w:p>
        </w:tc>
      </w:tr>
      <w:tr w14:paraId="08D3298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4FCD1E0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03808A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排水和再生水设施运营单位伪造、篡改、瞒报进出水水质、水量等数据</w:t>
            </w:r>
          </w:p>
        </w:tc>
        <w:tc>
          <w:tcPr>
            <w:tcW w:w="2981" w:type="dxa"/>
            <w:tcBorders>
              <w:top w:val="nil"/>
              <w:left w:val="nil"/>
              <w:bottom w:val="single" w:color="auto" w:sz="4" w:space="0"/>
              <w:right w:val="single" w:color="auto" w:sz="4" w:space="0"/>
            </w:tcBorders>
            <w:noWrap w:val="0"/>
            <w:vAlign w:val="center"/>
          </w:tcPr>
          <w:p w14:paraId="1EB60C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处罚条款：第三十七条第一款第（三）项，给予警告，责令限期改正，并可处1万元以上3万元以下罚款。</w:t>
            </w:r>
          </w:p>
        </w:tc>
        <w:tc>
          <w:tcPr>
            <w:tcW w:w="851" w:type="dxa"/>
            <w:tcBorders>
              <w:top w:val="nil"/>
              <w:left w:val="nil"/>
              <w:bottom w:val="single" w:color="auto" w:sz="4" w:space="0"/>
              <w:right w:val="single" w:color="auto" w:sz="4" w:space="0"/>
            </w:tcBorders>
            <w:noWrap w:val="0"/>
            <w:vAlign w:val="center"/>
          </w:tcPr>
          <w:p w14:paraId="68456CF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6D26C8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73CD8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数据中1种情形的，系数为0；2.有伪造、篡改、瞒报进水水质、出水水质、进水水量、出水水量或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数据中2种情形的，系数为1；3.有伪造、篡改、瞒报进水水质、出水水质、进水水量、出水水量或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数据中3种及以上情形的，系数为2。4.存在基准2.1.3规定情形的，系数按照相关规定确定（基准2.1.3.5不适用）。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CAB9D7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0B55480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2C9CFA2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155CE9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C2308300</w:t>
            </w:r>
          </w:p>
        </w:tc>
      </w:tr>
      <w:tr w14:paraId="6225E30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2A091AE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6C9095C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擅自占压排水设施和占压、拆卸、移动再生水设施</w:t>
            </w:r>
          </w:p>
        </w:tc>
        <w:tc>
          <w:tcPr>
            <w:tcW w:w="2981" w:type="dxa"/>
            <w:tcBorders>
              <w:top w:val="nil"/>
              <w:left w:val="nil"/>
              <w:bottom w:val="single" w:color="auto" w:sz="4" w:space="0"/>
              <w:right w:val="single" w:color="auto" w:sz="4" w:space="0"/>
            </w:tcBorders>
            <w:noWrap w:val="0"/>
            <w:vAlign w:val="center"/>
          </w:tcPr>
          <w:p w14:paraId="69F8E8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51" w:type="dxa"/>
            <w:tcBorders>
              <w:top w:val="nil"/>
              <w:left w:val="nil"/>
              <w:bottom w:val="single" w:color="auto" w:sz="4" w:space="0"/>
              <w:right w:val="single" w:color="auto" w:sz="4" w:space="0"/>
            </w:tcBorders>
            <w:noWrap w:val="0"/>
            <w:vAlign w:val="center"/>
          </w:tcPr>
          <w:p w14:paraId="4487D66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C920D1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9CA74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1.直接经济损失＜5万元，系数为0；2.5万元≤直接经济损失＜20万元，系数为1；3.20万元≤直接经济损失，系数为2。4.存在基准2.1.3规定情形的，系数按照相关规定确定（基准2.1.3.5不适用）。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58AE77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6FA38C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81C415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123660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C2308400</w:t>
            </w:r>
          </w:p>
        </w:tc>
      </w:tr>
      <w:tr w14:paraId="708653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20C57A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vMerge w:val="restart"/>
            <w:tcBorders>
              <w:top w:val="nil"/>
              <w:left w:val="single" w:color="auto" w:sz="4" w:space="0"/>
              <w:bottom w:val="single" w:color="auto" w:sz="4" w:space="0"/>
              <w:right w:val="single" w:color="auto" w:sz="4" w:space="0"/>
            </w:tcBorders>
            <w:noWrap w:val="0"/>
            <w:vAlign w:val="center"/>
          </w:tcPr>
          <w:p w14:paraId="3834FF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损害再生水设施</w:t>
            </w:r>
          </w:p>
        </w:tc>
        <w:tc>
          <w:tcPr>
            <w:tcW w:w="2981" w:type="dxa"/>
            <w:tcBorders>
              <w:top w:val="nil"/>
              <w:left w:val="nil"/>
              <w:bottom w:val="single" w:color="auto" w:sz="4" w:space="0"/>
              <w:right w:val="single" w:color="auto" w:sz="4" w:space="0"/>
            </w:tcBorders>
            <w:noWrap w:val="0"/>
            <w:vAlign w:val="center"/>
          </w:tcPr>
          <w:p w14:paraId="7E5A1C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违反条款：第十八条第一款第（二）项、第（三）项；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51" w:type="dxa"/>
            <w:tcBorders>
              <w:top w:val="nil"/>
              <w:left w:val="nil"/>
              <w:bottom w:val="single" w:color="auto" w:sz="4" w:space="0"/>
              <w:right w:val="single" w:color="auto" w:sz="4" w:space="0"/>
            </w:tcBorders>
            <w:noWrap w:val="0"/>
            <w:vAlign w:val="center"/>
          </w:tcPr>
          <w:p w14:paraId="6009398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E49633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F4FEB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1.直接经济损失＜5万元，系数为0；2.5万元≤直接经济损失＜20万元，系数为1；3.20万元≤直接经济损失，系数为2。4.存在基准2.1.3规定情形的，系数按照相关规定确定（基准2.1.3.5不适用）。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1316D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7AEC46B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13A7E1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nil"/>
              <w:right w:val="single" w:color="auto" w:sz="4" w:space="0"/>
            </w:tcBorders>
            <w:noWrap w:val="0"/>
            <w:vAlign w:val="center"/>
          </w:tcPr>
          <w:p w14:paraId="4D541DFC">
            <w:pPr>
              <w:widowControl/>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C2349600</w:t>
            </w:r>
          </w:p>
        </w:tc>
      </w:tr>
      <w:tr w14:paraId="37314E9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42F6A728">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5994A3C5">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14:paraId="2C740B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51" w:type="dxa"/>
            <w:tcBorders>
              <w:top w:val="nil"/>
              <w:left w:val="nil"/>
              <w:bottom w:val="single" w:color="auto" w:sz="4" w:space="0"/>
              <w:right w:val="single" w:color="auto" w:sz="4" w:space="0"/>
            </w:tcBorders>
            <w:noWrap w:val="0"/>
            <w:vAlign w:val="center"/>
          </w:tcPr>
          <w:p w14:paraId="170CD7B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22C8407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61E2D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1万元，系数为0；2.1万元≤直接经济损失＜10万元，系数为1；3.10万元≤直接经济损失＜20万元，系数为2；4.20万元≤直接经济损失，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BE3DD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14:paraId="63FB13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62C0E9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continue"/>
            <w:tcBorders>
              <w:left w:val="nil"/>
              <w:bottom w:val="single" w:color="auto" w:sz="4" w:space="0"/>
              <w:right w:val="single" w:color="auto" w:sz="4" w:space="0"/>
            </w:tcBorders>
            <w:noWrap w:val="0"/>
            <w:vAlign w:val="center"/>
          </w:tcPr>
          <w:p w14:paraId="0452BC77">
            <w:pPr>
              <w:widowControl/>
              <w:jc w:val="center"/>
              <w:rPr>
                <w:rFonts w:hint="eastAsia" w:ascii="宋体" w:hAnsi="宋体" w:eastAsia="宋体" w:cs="宋体"/>
                <w:color w:val="auto"/>
                <w:kern w:val="0"/>
                <w:sz w:val="15"/>
                <w:szCs w:val="15"/>
                <w:highlight w:val="none"/>
                <w:lang w:eastAsia="zh-CN"/>
              </w:rPr>
            </w:pPr>
          </w:p>
        </w:tc>
      </w:tr>
      <w:tr w14:paraId="69FAE2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4F505F8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14:paraId="507D22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向排水管网排放超标污水</w:t>
            </w:r>
          </w:p>
        </w:tc>
        <w:tc>
          <w:tcPr>
            <w:tcW w:w="2981" w:type="dxa"/>
            <w:tcBorders>
              <w:top w:val="nil"/>
              <w:left w:val="nil"/>
              <w:bottom w:val="single" w:color="auto" w:sz="4" w:space="0"/>
              <w:right w:val="single" w:color="auto" w:sz="4" w:space="0"/>
            </w:tcBorders>
            <w:noWrap w:val="0"/>
            <w:vAlign w:val="center"/>
          </w:tcPr>
          <w:p w14:paraId="69D368C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51" w:type="dxa"/>
            <w:tcBorders>
              <w:top w:val="nil"/>
              <w:left w:val="nil"/>
              <w:bottom w:val="single" w:color="auto" w:sz="4" w:space="0"/>
              <w:right w:val="single" w:color="auto" w:sz="4" w:space="0"/>
            </w:tcBorders>
            <w:noWrap w:val="0"/>
            <w:vAlign w:val="center"/>
          </w:tcPr>
          <w:p w14:paraId="28EBB08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65A4E7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B5B02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1.1项≤排放污水水质超标项数＜3项，系数为0；  3项≤排放污水水质超标项数＜5项，系数为1；  5项≤排放污水水质超标项数，系数为2。2.出现1项污水水质超标倍数＞5，系数为1，每多出现1项，系数加1。3.存在基准2.1.3规定情形的，系数按照相关规定确定（基准2.1.3.5不适用）。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FFFC4F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04827F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A7DFF9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BEB322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C2308700</w:t>
            </w:r>
          </w:p>
        </w:tc>
      </w:tr>
      <w:tr w14:paraId="1843FD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58D4AEC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14:paraId="4FDA279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住宅区再生水设施处理粪便水和重污染水</w:t>
            </w:r>
          </w:p>
        </w:tc>
        <w:tc>
          <w:tcPr>
            <w:tcW w:w="2981" w:type="dxa"/>
            <w:tcBorders>
              <w:top w:val="nil"/>
              <w:left w:val="nil"/>
              <w:bottom w:val="single" w:color="auto" w:sz="4" w:space="0"/>
              <w:right w:val="single" w:color="auto" w:sz="4" w:space="0"/>
            </w:tcBorders>
            <w:noWrap w:val="0"/>
            <w:vAlign w:val="center"/>
          </w:tcPr>
          <w:p w14:paraId="5E2835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51" w:type="dxa"/>
            <w:tcBorders>
              <w:top w:val="nil"/>
              <w:left w:val="nil"/>
              <w:bottom w:val="single" w:color="auto" w:sz="4" w:space="0"/>
              <w:right w:val="single" w:color="auto" w:sz="4" w:space="0"/>
            </w:tcBorders>
            <w:noWrap w:val="0"/>
            <w:vAlign w:val="center"/>
          </w:tcPr>
          <w:p w14:paraId="517DFC6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2ED21CF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B9573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处理粪便水和重污染水量时间＜5天或涉及户数＜500户，系数为0；2.5天≤处理粪便水和重污染水量时间＜20天或500户≤涉及户数＜1000户，系数为1；3.20天≤处理粪便水和重污染水量时间或1000户≤涉及户数，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B3E04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165563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2D78DAA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7EE4ED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C2308800</w:t>
            </w:r>
          </w:p>
        </w:tc>
      </w:tr>
      <w:tr w14:paraId="7D67A76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7C8D3A6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14:paraId="7F069B8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在排水和再生水设施用地范围内取土、爆破、埋杆、堆物</w:t>
            </w:r>
          </w:p>
        </w:tc>
        <w:tc>
          <w:tcPr>
            <w:tcW w:w="2981" w:type="dxa"/>
            <w:tcBorders>
              <w:top w:val="nil"/>
              <w:left w:val="nil"/>
              <w:bottom w:val="single" w:color="auto" w:sz="4" w:space="0"/>
              <w:right w:val="single" w:color="auto" w:sz="4" w:space="0"/>
            </w:tcBorders>
            <w:noWrap w:val="0"/>
            <w:vAlign w:val="center"/>
          </w:tcPr>
          <w:p w14:paraId="5D8DAF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51" w:type="dxa"/>
            <w:tcBorders>
              <w:top w:val="nil"/>
              <w:left w:val="nil"/>
              <w:bottom w:val="single" w:color="auto" w:sz="4" w:space="0"/>
              <w:right w:val="single" w:color="auto" w:sz="4" w:space="0"/>
            </w:tcBorders>
            <w:noWrap w:val="0"/>
            <w:vAlign w:val="center"/>
          </w:tcPr>
          <w:p w14:paraId="0597944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7616856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4B894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埋杆、堆物面积＜50平方米，系数为0；2.50平方米≤取土、埋杆、堆物面积＜100平方米，系数为1；3.100平方米≤取土、埋杆、堆物面积＜200平方米，系数为2；4.200平方米≤取土、埋杆、堆物面积，系数为3；5.在排水和再生水设施用地范围内爆破的，系数为3。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B57449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14:paraId="51BE054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193552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2E8E5BC">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C2308900</w:t>
            </w:r>
          </w:p>
        </w:tc>
      </w:tr>
      <w:tr w14:paraId="566B64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0529040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14:paraId="75757E5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擅自接入公共排水和再生水管网</w:t>
            </w:r>
          </w:p>
        </w:tc>
        <w:tc>
          <w:tcPr>
            <w:tcW w:w="2981" w:type="dxa"/>
            <w:tcBorders>
              <w:top w:val="nil"/>
              <w:left w:val="nil"/>
              <w:bottom w:val="single" w:color="auto" w:sz="4" w:space="0"/>
              <w:right w:val="single" w:color="auto" w:sz="4" w:space="0"/>
            </w:tcBorders>
            <w:noWrap w:val="0"/>
            <w:vAlign w:val="center"/>
          </w:tcPr>
          <w:p w14:paraId="5A8C9FD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51" w:type="dxa"/>
            <w:tcBorders>
              <w:top w:val="nil"/>
              <w:left w:val="nil"/>
              <w:bottom w:val="single" w:color="auto" w:sz="4" w:space="0"/>
              <w:right w:val="single" w:color="auto" w:sz="4" w:space="0"/>
            </w:tcBorders>
            <w:noWrap w:val="0"/>
            <w:vAlign w:val="center"/>
          </w:tcPr>
          <w:p w14:paraId="0EF2810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68AF00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746BD2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2天，系数为0；2.2天≤违法行为持续时间＜5天，系数为1；3.5天≤违法行为持续时间＜10天，系数为2；4.10天≤违法行为持续时间或造成严重后果的，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99FCFB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14:paraId="12D9E06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3782862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01E4AE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C2309000</w:t>
            </w:r>
          </w:p>
        </w:tc>
      </w:tr>
      <w:tr w14:paraId="2535EE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340" w:hRule="atLeast"/>
        </w:trPr>
        <w:tc>
          <w:tcPr>
            <w:tcW w:w="13994" w:type="dxa"/>
            <w:gridSpan w:val="12"/>
            <w:tcBorders>
              <w:top w:val="nil"/>
              <w:left w:val="single" w:color="auto" w:sz="4" w:space="0"/>
              <w:bottom w:val="single" w:color="auto" w:sz="4" w:space="0"/>
              <w:right w:val="single" w:color="auto" w:sz="4" w:space="0"/>
            </w:tcBorders>
            <w:noWrap/>
            <w:vAlign w:val="center"/>
          </w:tcPr>
          <w:p w14:paraId="255990EC">
            <w:pPr>
              <w:widowControl/>
              <w:jc w:val="center"/>
              <w:outlineLvl w:val="0"/>
              <w:rPr>
                <w:rFonts w:ascii="Times New Roman" w:hAnsi="Times New Roman" w:eastAsia="宋体" w:cs="Times New Roman"/>
                <w:color w:val="auto"/>
                <w:kern w:val="0"/>
                <w:sz w:val="28"/>
                <w:szCs w:val="28"/>
                <w:highlight w:val="none"/>
              </w:rPr>
            </w:pPr>
            <w:bookmarkStart w:id="229" w:name="_Toc865650080"/>
            <w:bookmarkStart w:id="230" w:name="_Toc218468839"/>
            <w:r>
              <w:rPr>
                <w:rFonts w:hint="eastAsia" w:ascii="黑体" w:hAnsi="黑体" w:eastAsia="黑体" w:cs="黑体"/>
                <w:color w:val="auto"/>
                <w:kern w:val="0"/>
                <w:sz w:val="28"/>
                <w:szCs w:val="28"/>
                <w:highlight w:val="none"/>
              </w:rPr>
              <w:t>供水管理方面</w:t>
            </w:r>
            <w:bookmarkEnd w:id="229"/>
            <w:bookmarkEnd w:id="230"/>
          </w:p>
        </w:tc>
        <w:tc>
          <w:tcPr>
            <w:tcW w:w="2462" w:type="dxa"/>
            <w:gridSpan w:val="2"/>
            <w:tcBorders>
              <w:top w:val="nil"/>
              <w:left w:val="single" w:color="auto" w:sz="4" w:space="0"/>
              <w:bottom w:val="single" w:color="auto" w:sz="4" w:space="0"/>
              <w:right w:val="single" w:color="auto" w:sz="4" w:space="0"/>
            </w:tcBorders>
            <w:noWrap/>
            <w:vAlign w:val="center"/>
          </w:tcPr>
          <w:p w14:paraId="58F93A51">
            <w:pPr>
              <w:widowControl/>
              <w:jc w:val="center"/>
              <w:outlineLvl w:val="0"/>
              <w:rPr>
                <w:rFonts w:hint="eastAsia" w:ascii="黑体" w:hAnsi="黑体" w:eastAsia="黑体" w:cs="黑体"/>
                <w:color w:val="auto"/>
                <w:kern w:val="0"/>
                <w:sz w:val="28"/>
                <w:szCs w:val="28"/>
                <w:highlight w:val="none"/>
              </w:rPr>
            </w:pPr>
          </w:p>
        </w:tc>
      </w:tr>
      <w:tr w14:paraId="39177F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83" w:hRule="atLeast"/>
        </w:trPr>
        <w:tc>
          <w:tcPr>
            <w:tcW w:w="13994" w:type="dxa"/>
            <w:gridSpan w:val="12"/>
            <w:tcBorders>
              <w:top w:val="nil"/>
              <w:left w:val="single" w:color="auto" w:sz="4" w:space="0"/>
              <w:bottom w:val="single" w:color="auto" w:sz="4" w:space="0"/>
              <w:right w:val="single" w:color="auto" w:sz="4" w:space="0"/>
            </w:tcBorders>
            <w:noWrap/>
            <w:vAlign w:val="center"/>
          </w:tcPr>
          <w:p w14:paraId="25116C01">
            <w:pPr>
              <w:widowControl/>
              <w:jc w:val="center"/>
              <w:outlineLvl w:val="1"/>
              <w:rPr>
                <w:rFonts w:hint="eastAsia" w:ascii="宋体" w:hAnsi="宋体" w:eastAsia="宋体" w:cs="宋体"/>
                <w:color w:val="auto"/>
                <w:kern w:val="0"/>
                <w:szCs w:val="21"/>
                <w:highlight w:val="none"/>
              </w:rPr>
            </w:pPr>
            <w:bookmarkStart w:id="231" w:name="_Toc1600074913"/>
            <w:bookmarkStart w:id="232" w:name="_Toc218468840"/>
            <w:r>
              <w:rPr>
                <w:rFonts w:hint="eastAsia" w:ascii="宋体" w:hAnsi="宋体" w:eastAsia="宋体" w:cs="宋体"/>
                <w:b/>
                <w:bCs/>
                <w:color w:val="auto"/>
                <w:kern w:val="0"/>
                <w:szCs w:val="21"/>
                <w:highlight w:val="none"/>
              </w:rPr>
              <w:t>《中华人民共和国水污染防治法》《城市供水条例》《北京市自建设施供水管理办法》《北京市城市公共供水管理办法》案由1项</w:t>
            </w:r>
            <w:bookmarkEnd w:id="231"/>
            <w:bookmarkEnd w:id="232"/>
          </w:p>
        </w:tc>
        <w:tc>
          <w:tcPr>
            <w:tcW w:w="2462" w:type="dxa"/>
            <w:gridSpan w:val="2"/>
            <w:tcBorders>
              <w:top w:val="nil"/>
              <w:left w:val="single" w:color="auto" w:sz="4" w:space="0"/>
              <w:bottom w:val="single" w:color="auto" w:sz="4" w:space="0"/>
              <w:right w:val="single" w:color="auto" w:sz="4" w:space="0"/>
            </w:tcBorders>
            <w:noWrap/>
            <w:vAlign w:val="center"/>
          </w:tcPr>
          <w:p w14:paraId="2FDAEDA2">
            <w:pPr>
              <w:widowControl/>
              <w:jc w:val="center"/>
              <w:outlineLvl w:val="1"/>
              <w:rPr>
                <w:rFonts w:hint="eastAsia" w:ascii="宋体" w:hAnsi="宋体" w:eastAsia="宋体" w:cs="宋体"/>
                <w:b/>
                <w:bCs/>
                <w:color w:val="auto"/>
                <w:kern w:val="0"/>
                <w:szCs w:val="21"/>
                <w:highlight w:val="none"/>
              </w:rPr>
            </w:pPr>
          </w:p>
        </w:tc>
      </w:tr>
      <w:tr w14:paraId="611ED5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3C10CD2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14:paraId="217945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自来水供水单位和自建设施对外供水的单位供水水质、水压不符合国家规定的标准或间断供水</w:t>
            </w:r>
          </w:p>
        </w:tc>
        <w:tc>
          <w:tcPr>
            <w:tcW w:w="2981" w:type="dxa"/>
            <w:tcBorders>
              <w:top w:val="nil"/>
              <w:left w:val="nil"/>
              <w:bottom w:val="single" w:color="auto" w:sz="4" w:space="0"/>
              <w:right w:val="single" w:color="auto" w:sz="4" w:space="0"/>
            </w:tcBorders>
            <w:noWrap w:val="0"/>
            <w:vAlign w:val="center"/>
          </w:tcPr>
          <w:p w14:paraId="4FD306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违反条款：《水污染防治法》第七十一条第二款；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处罚条款：《水污染防治法》第九十二条，责令改正，处二万元以上二十万元以下的罚款；情节严重的，报经有批准权的人民政府批准，可以责令停业整顿。</w:t>
            </w:r>
          </w:p>
        </w:tc>
        <w:tc>
          <w:tcPr>
            <w:tcW w:w="851" w:type="dxa"/>
            <w:vMerge w:val="restart"/>
            <w:tcBorders>
              <w:top w:val="nil"/>
              <w:left w:val="single" w:color="auto" w:sz="4" w:space="0"/>
              <w:bottom w:val="single" w:color="auto" w:sz="4" w:space="0"/>
              <w:right w:val="single" w:color="auto" w:sz="4" w:space="0"/>
            </w:tcBorders>
            <w:noWrap w:val="0"/>
            <w:vAlign w:val="center"/>
          </w:tcPr>
          <w:p w14:paraId="196473C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vMerge w:val="restart"/>
            <w:tcBorders>
              <w:top w:val="nil"/>
              <w:left w:val="single" w:color="auto" w:sz="4" w:space="0"/>
              <w:bottom w:val="single" w:color="auto" w:sz="4" w:space="0"/>
              <w:right w:val="single" w:color="auto" w:sz="4" w:space="0"/>
            </w:tcBorders>
            <w:noWrap w:val="0"/>
            <w:vAlign w:val="center"/>
          </w:tcPr>
          <w:p w14:paraId="5BE7E86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vMerge w:val="restart"/>
            <w:tcBorders>
              <w:top w:val="nil"/>
              <w:left w:val="single" w:color="auto" w:sz="4" w:space="0"/>
              <w:bottom w:val="single" w:color="auto" w:sz="4" w:space="0"/>
              <w:right w:val="single" w:color="auto" w:sz="4" w:space="0"/>
            </w:tcBorders>
            <w:noWrap w:val="0"/>
            <w:vAlign w:val="center"/>
          </w:tcPr>
          <w:p w14:paraId="307ECC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1.水质超标项数=1项，系数为0；水质超标项数每增加1项，系数加1；水质超标项数≥10项</w:t>
            </w:r>
            <w:r>
              <w:rPr>
                <w:rFonts w:hint="eastAsia" w:ascii="宋体" w:hAnsi="宋体" w:eastAsia="宋体" w:cs="宋体"/>
                <w:color w:val="auto"/>
                <w:kern w:val="0"/>
                <w:sz w:val="15"/>
                <w:szCs w:val="15"/>
                <w:highlight w:val="none"/>
                <w:lang w:eastAsia="zh-CN"/>
              </w:rPr>
              <w:t>或</w:t>
            </w:r>
            <w:r>
              <w:rPr>
                <w:rFonts w:hint="eastAsia" w:ascii="宋体" w:hAnsi="宋体" w:eastAsia="宋体" w:cs="宋体"/>
                <w:color w:val="auto"/>
                <w:kern w:val="0"/>
                <w:sz w:val="15"/>
                <w:szCs w:val="15"/>
                <w:highlight w:val="none"/>
              </w:rPr>
              <w:t>单项水质超标倍数＞10倍，系数为9。2.存在基准2.1.3规定情形的，系数按照相关规定确定（基准2.1.3.5不适用）。</w:t>
            </w:r>
          </w:p>
        </w:tc>
        <w:tc>
          <w:tcPr>
            <w:tcW w:w="1879" w:type="dxa"/>
            <w:gridSpan w:val="3"/>
            <w:vMerge w:val="restart"/>
            <w:tcBorders>
              <w:top w:val="nil"/>
              <w:left w:val="single" w:color="auto" w:sz="4" w:space="0"/>
              <w:bottom w:val="single" w:color="auto" w:sz="4" w:space="0"/>
              <w:right w:val="single" w:color="auto" w:sz="4" w:space="0"/>
            </w:tcBorders>
            <w:noWrap w:val="0"/>
            <w:vAlign w:val="center"/>
          </w:tcPr>
          <w:p w14:paraId="2FF404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271CDF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存在以下情形之一的，可视为情节严重：1.水质超标≥10项；2.单项水质超标倍数＞10倍；</w:t>
            </w:r>
            <w:r>
              <w:rPr>
                <w:rFonts w:hint="eastAsia" w:ascii="宋体" w:hAnsi="宋体" w:eastAsia="宋体" w:cs="宋体"/>
                <w:strike w:val="0"/>
                <w:dstrike w:val="0"/>
                <w:color w:val="auto"/>
                <w:kern w:val="0"/>
                <w:sz w:val="15"/>
                <w:szCs w:val="15"/>
                <w:highlight w:val="none"/>
              </w:rPr>
              <w:t>3.经执法部门处罚后，一年度内再次发生同类型违法行为。拟作出责令停业整顿的，在作出处罚决定前，要邀请行业主管部门共同会商。</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5A407A2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6F72980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C2304900</w:t>
            </w:r>
          </w:p>
        </w:tc>
      </w:tr>
      <w:tr w14:paraId="2494A5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589C1EB1">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413DFE81">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14:paraId="24240AF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违反条款：《条例》第二十条；第二十一条第一款；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处罚条款：《条例》第三十三条第一款第（一）项，责令改正，可以处以罚款；情节严重的，报经县级以上人民政府批准，可以责令停业整顿。</w:t>
            </w:r>
          </w:p>
        </w:tc>
        <w:tc>
          <w:tcPr>
            <w:tcW w:w="851" w:type="dxa"/>
            <w:vMerge w:val="continue"/>
            <w:tcBorders>
              <w:top w:val="nil"/>
              <w:left w:val="single" w:color="auto" w:sz="4" w:space="0"/>
              <w:bottom w:val="single" w:color="auto" w:sz="4" w:space="0"/>
              <w:right w:val="single" w:color="auto" w:sz="4" w:space="0"/>
            </w:tcBorders>
            <w:noWrap w:val="0"/>
            <w:vAlign w:val="center"/>
          </w:tcPr>
          <w:p w14:paraId="0B6224C8">
            <w:pPr>
              <w:widowControl/>
              <w:jc w:val="left"/>
              <w:rPr>
                <w:rFonts w:hint="eastAsia" w:ascii="宋体" w:hAnsi="宋体" w:eastAsia="宋体" w:cs="宋体"/>
                <w:color w:val="auto"/>
                <w:kern w:val="0"/>
                <w:sz w:val="15"/>
                <w:szCs w:val="15"/>
                <w:highlight w:val="none"/>
              </w:rPr>
            </w:pPr>
          </w:p>
        </w:tc>
        <w:tc>
          <w:tcPr>
            <w:tcW w:w="840" w:type="dxa"/>
            <w:vMerge w:val="continue"/>
            <w:tcBorders>
              <w:top w:val="nil"/>
              <w:left w:val="single" w:color="auto" w:sz="4" w:space="0"/>
              <w:bottom w:val="single" w:color="auto" w:sz="4" w:space="0"/>
              <w:right w:val="single" w:color="auto" w:sz="4" w:space="0"/>
            </w:tcBorders>
            <w:noWrap w:val="0"/>
            <w:vAlign w:val="center"/>
          </w:tcPr>
          <w:p w14:paraId="2C6A2410">
            <w:pPr>
              <w:widowControl/>
              <w:jc w:val="left"/>
              <w:rPr>
                <w:rFonts w:hint="eastAsia" w:ascii="宋体" w:hAnsi="宋体" w:eastAsia="宋体" w:cs="宋体"/>
                <w:color w:val="auto"/>
                <w:kern w:val="0"/>
                <w:sz w:val="15"/>
                <w:szCs w:val="15"/>
                <w:highlight w:val="none"/>
              </w:rPr>
            </w:pPr>
          </w:p>
        </w:tc>
        <w:tc>
          <w:tcPr>
            <w:tcW w:w="2376" w:type="dxa"/>
            <w:vMerge w:val="continue"/>
            <w:tcBorders>
              <w:top w:val="nil"/>
              <w:left w:val="single" w:color="auto" w:sz="4" w:space="0"/>
              <w:bottom w:val="single" w:color="auto" w:sz="4" w:space="0"/>
              <w:right w:val="single" w:color="auto" w:sz="4" w:space="0"/>
            </w:tcBorders>
            <w:noWrap w:val="0"/>
            <w:vAlign w:val="center"/>
          </w:tcPr>
          <w:p w14:paraId="484809B5">
            <w:pPr>
              <w:widowControl/>
              <w:jc w:val="left"/>
              <w:rPr>
                <w:rFonts w:hint="eastAsia" w:ascii="宋体" w:hAnsi="宋体" w:eastAsia="宋体" w:cs="宋体"/>
                <w:color w:val="auto"/>
                <w:kern w:val="0"/>
                <w:sz w:val="15"/>
                <w:szCs w:val="15"/>
                <w:highlight w:val="none"/>
              </w:rPr>
            </w:pPr>
          </w:p>
        </w:tc>
        <w:tc>
          <w:tcPr>
            <w:tcW w:w="1879" w:type="dxa"/>
            <w:gridSpan w:val="3"/>
            <w:vMerge w:val="continue"/>
            <w:tcBorders>
              <w:top w:val="nil"/>
              <w:left w:val="single" w:color="auto" w:sz="4" w:space="0"/>
              <w:bottom w:val="single" w:color="auto" w:sz="4" w:space="0"/>
              <w:right w:val="single" w:color="auto" w:sz="4" w:space="0"/>
            </w:tcBorders>
            <w:noWrap w:val="0"/>
            <w:vAlign w:val="center"/>
          </w:tcPr>
          <w:p w14:paraId="4CA39EA1">
            <w:pPr>
              <w:widowControl/>
              <w:jc w:val="left"/>
              <w:rPr>
                <w:rFonts w:hint="eastAsia" w:ascii="宋体" w:hAnsi="宋体" w:eastAsia="宋体" w:cs="宋体"/>
                <w:color w:val="auto"/>
                <w:kern w:val="0"/>
                <w:sz w:val="15"/>
                <w:szCs w:val="15"/>
                <w:highlight w:val="none"/>
              </w:rPr>
            </w:pPr>
          </w:p>
        </w:tc>
        <w:tc>
          <w:tcPr>
            <w:tcW w:w="2016" w:type="dxa"/>
            <w:vMerge w:val="continue"/>
            <w:tcBorders>
              <w:top w:val="nil"/>
              <w:left w:val="single" w:color="auto" w:sz="4" w:space="0"/>
              <w:bottom w:val="single" w:color="auto" w:sz="4" w:space="0"/>
              <w:right w:val="single" w:color="auto" w:sz="4" w:space="0"/>
            </w:tcBorders>
            <w:noWrap w:val="0"/>
            <w:vAlign w:val="center"/>
          </w:tcPr>
          <w:p w14:paraId="74F53D4F">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7685AFA4">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right w:val="single" w:color="auto" w:sz="4" w:space="0"/>
            </w:tcBorders>
            <w:noWrap w:val="0"/>
            <w:vAlign w:val="center"/>
          </w:tcPr>
          <w:p w14:paraId="6DE599D8">
            <w:pPr>
              <w:widowControl/>
              <w:jc w:val="left"/>
              <w:rPr>
                <w:rFonts w:hint="eastAsia" w:ascii="宋体" w:hAnsi="宋体" w:eastAsia="宋体" w:cs="宋体"/>
                <w:color w:val="auto"/>
                <w:kern w:val="0"/>
                <w:sz w:val="15"/>
                <w:szCs w:val="15"/>
                <w:highlight w:val="none"/>
              </w:rPr>
            </w:pPr>
          </w:p>
        </w:tc>
      </w:tr>
      <w:tr w14:paraId="5DA0C7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7C8C3A0E">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069C0E15">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14:paraId="7385544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违反条款：《自建设施办法》第十一条第一款第（一）项；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处罚条款：《自建设施办法》第二十条第一款第（一）项，责令限期改正，并可处1000元以上5000元以下的罚款。</w:t>
            </w:r>
          </w:p>
        </w:tc>
        <w:tc>
          <w:tcPr>
            <w:tcW w:w="851" w:type="dxa"/>
            <w:tcBorders>
              <w:top w:val="nil"/>
              <w:left w:val="nil"/>
              <w:bottom w:val="single" w:color="auto" w:sz="4" w:space="0"/>
              <w:right w:val="single" w:color="auto" w:sz="4" w:space="0"/>
            </w:tcBorders>
            <w:noWrap w:val="0"/>
            <w:vAlign w:val="center"/>
          </w:tcPr>
          <w:p w14:paraId="0259F2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507C249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3514E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供水管网末端供水水压与标准值偏差＜20%，系数为0；2.20%≤供水管网末端供水水压与标准值偏差＜30%，系数为1；3.30%≤供水管网末端供水水压与标准值偏差＜40%，系数为2；4.40%≤供水管网末端供水水压与标准值偏差＜50%，系数为3；5.50%≤供水管网末端供水水压与标准值偏差，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BBDFF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14:paraId="1695F4E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578F8408">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right w:val="single" w:color="auto" w:sz="4" w:space="0"/>
            </w:tcBorders>
            <w:noWrap w:val="0"/>
            <w:vAlign w:val="center"/>
          </w:tcPr>
          <w:p w14:paraId="7BDDF1EB">
            <w:pPr>
              <w:widowControl/>
              <w:jc w:val="left"/>
              <w:rPr>
                <w:rFonts w:hint="eastAsia" w:ascii="宋体" w:hAnsi="宋体" w:eastAsia="宋体" w:cs="宋体"/>
                <w:color w:val="auto"/>
                <w:kern w:val="0"/>
                <w:sz w:val="15"/>
                <w:szCs w:val="15"/>
                <w:highlight w:val="none"/>
              </w:rPr>
            </w:pPr>
          </w:p>
        </w:tc>
      </w:tr>
      <w:tr w14:paraId="080EB0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6813505C">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389C7AFE">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14:paraId="5505A0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违反条款：《城市公共办法》第四条第一款第（二）项；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处罚条款：《城市公共办法》第十八条第一款第（一）项，处2000元以下罚款。</w:t>
            </w:r>
          </w:p>
        </w:tc>
        <w:tc>
          <w:tcPr>
            <w:tcW w:w="851" w:type="dxa"/>
            <w:tcBorders>
              <w:top w:val="nil"/>
              <w:left w:val="nil"/>
              <w:bottom w:val="single" w:color="auto" w:sz="4" w:space="0"/>
              <w:right w:val="single" w:color="auto" w:sz="4" w:space="0"/>
            </w:tcBorders>
            <w:noWrap w:val="0"/>
            <w:vAlign w:val="center"/>
          </w:tcPr>
          <w:p w14:paraId="31689AD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15DEF33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AF706A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供水管网末端供水水压与标准值偏差＜50%，系数为0；2.50%≤供水管网末端供水水压与标准值偏差，系数为1；3.出现间断供水的，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D2A4A6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14:paraId="369939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0DCEC7BC">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3B3D62D0">
            <w:pPr>
              <w:widowControl/>
              <w:jc w:val="left"/>
              <w:rPr>
                <w:rFonts w:hint="eastAsia" w:ascii="宋体" w:hAnsi="宋体" w:eastAsia="宋体" w:cs="宋体"/>
                <w:color w:val="auto"/>
                <w:kern w:val="0"/>
                <w:sz w:val="15"/>
                <w:szCs w:val="15"/>
                <w:highlight w:val="none"/>
              </w:rPr>
            </w:pPr>
          </w:p>
        </w:tc>
      </w:tr>
      <w:tr w14:paraId="157DB1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83" w:hRule="atLeast"/>
        </w:trPr>
        <w:tc>
          <w:tcPr>
            <w:tcW w:w="13994" w:type="dxa"/>
            <w:gridSpan w:val="12"/>
            <w:tcBorders>
              <w:top w:val="nil"/>
              <w:left w:val="single" w:color="auto" w:sz="4" w:space="0"/>
              <w:bottom w:val="single" w:color="auto" w:sz="4" w:space="0"/>
              <w:right w:val="single" w:color="auto" w:sz="4" w:space="0"/>
            </w:tcBorders>
            <w:noWrap w:val="0"/>
            <w:vAlign w:val="center"/>
          </w:tcPr>
          <w:p w14:paraId="7EC6BDE1">
            <w:pPr>
              <w:widowControl/>
              <w:jc w:val="center"/>
              <w:outlineLvl w:val="1"/>
              <w:rPr>
                <w:rFonts w:hint="eastAsia" w:ascii="宋体" w:hAnsi="宋体" w:eastAsia="宋体" w:cs="宋体"/>
                <w:color w:val="auto"/>
                <w:kern w:val="0"/>
                <w:szCs w:val="21"/>
                <w:highlight w:val="none"/>
              </w:rPr>
            </w:pPr>
            <w:bookmarkStart w:id="233" w:name="_Toc1210301218"/>
            <w:bookmarkStart w:id="234" w:name="_Toc218468841"/>
            <w:r>
              <w:rPr>
                <w:rFonts w:hint="eastAsia" w:ascii="宋体" w:hAnsi="宋体" w:eastAsia="宋体" w:cs="宋体"/>
                <w:b/>
                <w:bCs/>
                <w:color w:val="auto"/>
                <w:kern w:val="0"/>
                <w:szCs w:val="21"/>
                <w:highlight w:val="none"/>
              </w:rPr>
              <w:t>《城市供水条例》《建设工程质量管理条例》《北京市城市公共供水管理办法》案由4项</w:t>
            </w:r>
            <w:bookmarkEnd w:id="233"/>
            <w:bookmarkEnd w:id="234"/>
          </w:p>
        </w:tc>
        <w:tc>
          <w:tcPr>
            <w:tcW w:w="2462" w:type="dxa"/>
            <w:gridSpan w:val="2"/>
            <w:tcBorders>
              <w:top w:val="nil"/>
              <w:left w:val="single" w:color="auto" w:sz="4" w:space="0"/>
              <w:bottom w:val="single" w:color="auto" w:sz="4" w:space="0"/>
              <w:right w:val="single" w:color="auto" w:sz="4" w:space="0"/>
            </w:tcBorders>
            <w:noWrap w:val="0"/>
            <w:vAlign w:val="center"/>
          </w:tcPr>
          <w:p w14:paraId="5F5A4A30">
            <w:pPr>
              <w:widowControl/>
              <w:jc w:val="center"/>
              <w:outlineLvl w:val="1"/>
              <w:rPr>
                <w:rFonts w:hint="eastAsia" w:ascii="宋体" w:hAnsi="宋体" w:eastAsia="宋体" w:cs="宋体"/>
                <w:b/>
                <w:bCs/>
                <w:color w:val="auto"/>
                <w:kern w:val="0"/>
                <w:szCs w:val="21"/>
                <w:highlight w:val="none"/>
              </w:rPr>
            </w:pPr>
          </w:p>
        </w:tc>
      </w:tr>
      <w:tr w14:paraId="454F46F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48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68DFDFD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14:paraId="57CBA7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无证或者超越资质证书规定的经营范围进行城市供水工程的设计或者施工</w:t>
            </w:r>
          </w:p>
        </w:tc>
        <w:tc>
          <w:tcPr>
            <w:tcW w:w="2981" w:type="dxa"/>
            <w:vMerge w:val="restart"/>
            <w:tcBorders>
              <w:top w:val="nil"/>
              <w:left w:val="single" w:color="auto" w:sz="4" w:space="0"/>
              <w:bottom w:val="single" w:color="auto" w:sz="4" w:space="0"/>
              <w:right w:val="single" w:color="auto" w:sz="4" w:space="0"/>
            </w:tcBorders>
            <w:noWrap w:val="0"/>
            <w:vAlign w:val="center"/>
          </w:tcPr>
          <w:p w14:paraId="40D2DAE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违反条款：《城市供水条例》第十六条；《建设工程质量管理条例》第十八条、第二十五条、第三十四条；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一）项，责令停止违法行为，可以处以罚款；《建设工程质量管理条例》第六十条第一款，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851" w:type="dxa"/>
            <w:tcBorders>
              <w:top w:val="nil"/>
              <w:left w:val="nil"/>
              <w:bottom w:val="single" w:color="auto" w:sz="4" w:space="0"/>
              <w:right w:val="single" w:color="auto" w:sz="4" w:space="0"/>
            </w:tcBorders>
            <w:noWrap w:val="0"/>
            <w:vAlign w:val="center"/>
          </w:tcPr>
          <w:p w14:paraId="4A117ED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设计费酬金（对设计单位）</w:t>
            </w:r>
          </w:p>
        </w:tc>
        <w:tc>
          <w:tcPr>
            <w:tcW w:w="840" w:type="dxa"/>
            <w:tcBorders>
              <w:top w:val="nil"/>
              <w:left w:val="nil"/>
              <w:bottom w:val="single" w:color="auto" w:sz="4" w:space="0"/>
              <w:right w:val="single" w:color="auto" w:sz="4" w:space="0"/>
            </w:tcBorders>
            <w:noWrap w:val="0"/>
            <w:vAlign w:val="center"/>
          </w:tcPr>
          <w:p w14:paraId="7D4C0A1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57808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1.设计费＜40万，系数为0；2.40万≤设计费＜80万，系数为1；3.80万≤设计费或情节严重的，系数为2。4.存在基准2.1.3规定情形的，系数按照相关规定确定（基准2.1.3.5不适用）。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5EE66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罚款金额=设计费酬金×（1+情节系数）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76A71E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造成一般及以上安全事故的；2.经执法部门处罚后，一年度内再次发生同类型违法行为。拟作出停业整顿、降低资质等级、吊销资质证书，在作出处罚决定前，要邀请行业主管部门共同会商。</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66DCE5B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single" w:color="auto" w:sz="4" w:space="0"/>
              <w:bottom w:val="single" w:color="auto" w:sz="4" w:space="0"/>
              <w:right w:val="single" w:color="auto" w:sz="4" w:space="0"/>
            </w:tcBorders>
            <w:noWrap w:val="0"/>
            <w:vAlign w:val="center"/>
          </w:tcPr>
          <w:p w14:paraId="2A3BE75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C2306200</w:t>
            </w:r>
          </w:p>
        </w:tc>
      </w:tr>
      <w:tr w14:paraId="3C3549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90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2DA7FA74">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285607C0">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2A64769D">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1D465B3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合同价款的2%（对施工单位）</w:t>
            </w:r>
          </w:p>
        </w:tc>
        <w:tc>
          <w:tcPr>
            <w:tcW w:w="840" w:type="dxa"/>
            <w:tcBorders>
              <w:top w:val="nil"/>
              <w:left w:val="nil"/>
              <w:bottom w:val="single" w:color="auto" w:sz="4" w:space="0"/>
              <w:right w:val="single" w:color="auto" w:sz="4" w:space="0"/>
            </w:tcBorders>
            <w:noWrap w:val="0"/>
            <w:vAlign w:val="center"/>
          </w:tcPr>
          <w:p w14:paraId="57D2CA9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25A30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合同价款＜100万，系数为0；2.100万≤合同价款＜200万，系数为0.25；3.200万≤合同价款＜400万，系数为0.5；4.400万≤合同价款＜800万，系数为0.75；5.800万≤合同价款或情节严重的，系数为1。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761A2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罚款金额=合同价款的2%×（1+情节系数）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7928F344">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33CB3419">
            <w:pPr>
              <w:widowControl/>
              <w:jc w:val="left"/>
              <w:rPr>
                <w:rFonts w:hint="eastAsia" w:ascii="宋体" w:hAnsi="宋体" w:eastAsia="宋体" w:cs="宋体"/>
                <w:color w:val="auto"/>
                <w:kern w:val="0"/>
                <w:sz w:val="15"/>
                <w:szCs w:val="15"/>
                <w:highlight w:val="none"/>
              </w:rPr>
            </w:pPr>
          </w:p>
        </w:tc>
        <w:tc>
          <w:tcPr>
            <w:tcW w:w="1869" w:type="dxa"/>
            <w:tcBorders>
              <w:top w:val="nil"/>
              <w:left w:val="single" w:color="auto" w:sz="4" w:space="0"/>
              <w:bottom w:val="single" w:color="auto" w:sz="4" w:space="0"/>
              <w:right w:val="single" w:color="auto" w:sz="4" w:space="0"/>
            </w:tcBorders>
            <w:noWrap w:val="0"/>
            <w:vAlign w:val="center"/>
          </w:tcPr>
          <w:p w14:paraId="04A2D2E4">
            <w:pPr>
              <w:widowControl/>
              <w:jc w:val="left"/>
              <w:rPr>
                <w:rFonts w:hint="eastAsia" w:ascii="宋体" w:hAnsi="宋体" w:eastAsia="宋体" w:cs="宋体"/>
                <w:color w:val="auto"/>
                <w:kern w:val="0"/>
                <w:sz w:val="15"/>
                <w:szCs w:val="15"/>
                <w:highlight w:val="none"/>
              </w:rPr>
            </w:pPr>
          </w:p>
        </w:tc>
      </w:tr>
      <w:tr w14:paraId="1D181D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57E6940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14:paraId="0E0012F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未按国家规定的技术标准和规范进行城市供水工程的设计或者施工</w:t>
            </w:r>
          </w:p>
        </w:tc>
        <w:tc>
          <w:tcPr>
            <w:tcW w:w="2981" w:type="dxa"/>
            <w:vMerge w:val="restart"/>
            <w:tcBorders>
              <w:top w:val="nil"/>
              <w:left w:val="single" w:color="auto" w:sz="4" w:space="0"/>
              <w:bottom w:val="single" w:color="auto" w:sz="4" w:space="0"/>
              <w:right w:val="single" w:color="auto" w:sz="4" w:space="0"/>
            </w:tcBorders>
            <w:noWrap w:val="0"/>
            <w:vAlign w:val="center"/>
          </w:tcPr>
          <w:p w14:paraId="3B8163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违反条款：《城市供水条例》第十六条；《建设工程质量管理条例》第十九条、第二十八条；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二）项，责令停止违法行为，可以处以罚款；《建设工程质量管理条例》第六十三条，责令改正，处10万元以上30万元以下的罚款；第六十四条，责令改正，处工程合同价款百分之二以上百分之四以下的罚款；情节严重的，责令停业整顿，降低资质等级或者吊销资质证书。</w:t>
            </w:r>
          </w:p>
        </w:tc>
        <w:tc>
          <w:tcPr>
            <w:tcW w:w="851" w:type="dxa"/>
            <w:tcBorders>
              <w:top w:val="nil"/>
              <w:left w:val="nil"/>
              <w:bottom w:val="single" w:color="auto" w:sz="4" w:space="0"/>
              <w:right w:val="single" w:color="auto" w:sz="4" w:space="0"/>
            </w:tcBorders>
            <w:noWrap w:val="0"/>
            <w:vAlign w:val="center"/>
          </w:tcPr>
          <w:p w14:paraId="15F01B8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（对设计单位）</w:t>
            </w:r>
          </w:p>
        </w:tc>
        <w:tc>
          <w:tcPr>
            <w:tcW w:w="840" w:type="dxa"/>
            <w:tcBorders>
              <w:top w:val="nil"/>
              <w:left w:val="nil"/>
              <w:bottom w:val="single" w:color="auto" w:sz="4" w:space="0"/>
              <w:right w:val="single" w:color="auto" w:sz="4" w:space="0"/>
            </w:tcBorders>
            <w:noWrap w:val="0"/>
            <w:vAlign w:val="center"/>
          </w:tcPr>
          <w:p w14:paraId="133FDC5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6476F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1.设计费＜40万，系数为0；2.40万元≤设计费＜60万元，系数为0.4；3.60万元≤设计费＜80万元，系数为0.8；4.80万元≤设计费＜100万元，系数为1.2；5.100万元≤设计费＜120万元，系数为1.6；6.120万元≤设计费，系数为 2；7.情节严重的</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B1954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208F18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造成一般及以上安全事故的；2.经执法部门处罚后，一年度内再次发生同类型违法行为。拟作出停业整顿、降低资质等级、吊销资质证书，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1FB71AA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nil"/>
              <w:right w:val="single" w:color="auto" w:sz="4" w:space="0"/>
            </w:tcBorders>
            <w:noWrap w:val="0"/>
            <w:vAlign w:val="center"/>
          </w:tcPr>
          <w:p w14:paraId="0E3C074D">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C2306300</w:t>
            </w:r>
          </w:p>
        </w:tc>
      </w:tr>
      <w:tr w14:paraId="0C2A0E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41FBB58A">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4B577D93">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4736096A">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460B153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（对施工单位）</w:t>
            </w:r>
          </w:p>
        </w:tc>
        <w:tc>
          <w:tcPr>
            <w:tcW w:w="840" w:type="dxa"/>
            <w:tcBorders>
              <w:top w:val="nil"/>
              <w:left w:val="nil"/>
              <w:bottom w:val="single" w:color="auto" w:sz="4" w:space="0"/>
              <w:right w:val="single" w:color="auto" w:sz="4" w:space="0"/>
            </w:tcBorders>
            <w:noWrap w:val="0"/>
            <w:vAlign w:val="center"/>
          </w:tcPr>
          <w:p w14:paraId="3D52915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E06172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合同价款＜100万，系数为0；2.100万≤合同价款＜200万，系数为0.25；3.200万≤合同价款＜400万，系数为0.5；4.400万≤合同价款＜800万，系数为0.75；5.800万≤合同价款或情节严重的，系数为1。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1E8512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5BD22B8E">
            <w:pPr>
              <w:widowControl/>
              <w:jc w:val="left"/>
              <w:rPr>
                <w:rFonts w:hint="eastAsia" w:ascii="宋体" w:hAnsi="宋体" w:eastAsia="宋体" w:cs="宋体"/>
                <w:color w:val="auto"/>
                <w:kern w:val="0"/>
                <w:sz w:val="15"/>
                <w:szCs w:val="15"/>
                <w:highlight w:val="none"/>
              </w:rPr>
            </w:pPr>
          </w:p>
        </w:tc>
        <w:tc>
          <w:tcPr>
            <w:tcW w:w="1304" w:type="dxa"/>
            <w:gridSpan w:val="2"/>
            <w:tcBorders>
              <w:top w:val="nil"/>
              <w:left w:val="nil"/>
              <w:bottom w:val="single" w:color="auto" w:sz="4" w:space="0"/>
              <w:right w:val="single" w:color="auto" w:sz="4" w:space="0"/>
            </w:tcBorders>
            <w:noWrap w:val="0"/>
            <w:vAlign w:val="center"/>
          </w:tcPr>
          <w:p w14:paraId="3BF4538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continue"/>
            <w:tcBorders>
              <w:left w:val="nil"/>
              <w:bottom w:val="single" w:color="auto" w:sz="4" w:space="0"/>
              <w:right w:val="single" w:color="auto" w:sz="4" w:space="0"/>
            </w:tcBorders>
            <w:noWrap w:val="0"/>
            <w:vAlign w:val="center"/>
          </w:tcPr>
          <w:p w14:paraId="05DA2BA8">
            <w:pPr>
              <w:widowControl/>
              <w:jc w:val="center"/>
              <w:rPr>
                <w:rFonts w:hint="eastAsia" w:ascii="宋体" w:hAnsi="宋体" w:eastAsia="宋体" w:cs="宋体"/>
                <w:color w:val="auto"/>
                <w:kern w:val="0"/>
                <w:sz w:val="15"/>
                <w:szCs w:val="15"/>
                <w:highlight w:val="none"/>
                <w:lang w:eastAsia="zh-CN"/>
              </w:rPr>
            </w:pPr>
          </w:p>
        </w:tc>
      </w:tr>
      <w:tr w14:paraId="58A28F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ign w:val="center"/>
          </w:tcPr>
          <w:p w14:paraId="78755B3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6A2D5C9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违法兴建城市供水工程、未按规定缴纳水费、盗用或者转供城市公共供水、危害供水设施安全活动等</w:t>
            </w:r>
          </w:p>
        </w:tc>
        <w:tc>
          <w:tcPr>
            <w:tcW w:w="2981" w:type="dxa"/>
            <w:tcBorders>
              <w:top w:val="nil"/>
              <w:left w:val="nil"/>
              <w:bottom w:val="single" w:color="auto" w:sz="4" w:space="0"/>
              <w:right w:val="single" w:color="auto" w:sz="4" w:space="0"/>
            </w:tcBorders>
            <w:noWrap w:val="0"/>
            <w:vAlign w:val="center"/>
          </w:tcPr>
          <w:p w14:paraId="62E441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违反条款：《城市供水条例》第十五条、第二十一条第二款、第二十四条、第二十五条、第二十九条、第三十二条第二款；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处罚条款：《城市供水条例》第三十四条第一款第（三）项，责令停止违法行为，可以处以罚款；第三十五条第一款第（一）项，责令限期改正，可以处以罚款。</w:t>
            </w:r>
          </w:p>
        </w:tc>
        <w:tc>
          <w:tcPr>
            <w:tcW w:w="851" w:type="dxa"/>
            <w:tcBorders>
              <w:top w:val="nil"/>
              <w:left w:val="nil"/>
              <w:bottom w:val="single" w:color="auto" w:sz="4" w:space="0"/>
              <w:right w:val="single" w:color="auto" w:sz="4" w:space="0"/>
            </w:tcBorders>
            <w:noWrap w:val="0"/>
            <w:vAlign w:val="center"/>
          </w:tcPr>
          <w:p w14:paraId="4BF2C72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3FDB64F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6D093F3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14:paraId="7DBDC9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0B8D7F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23DCD43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18014E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C2350300</w:t>
            </w:r>
          </w:p>
        </w:tc>
      </w:tr>
      <w:tr w14:paraId="006B44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4C36DA3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3C24740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擅自拆卸、挪动公共供水设施或擅自动用消火栓</w:t>
            </w:r>
          </w:p>
        </w:tc>
        <w:tc>
          <w:tcPr>
            <w:tcW w:w="2981" w:type="dxa"/>
            <w:tcBorders>
              <w:top w:val="nil"/>
              <w:left w:val="nil"/>
              <w:bottom w:val="single" w:color="auto" w:sz="4" w:space="0"/>
              <w:right w:val="single" w:color="auto" w:sz="4" w:space="0"/>
            </w:tcBorders>
            <w:noWrap w:val="0"/>
            <w:vAlign w:val="center"/>
          </w:tcPr>
          <w:p w14:paraId="7322E7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违反条款：《城市供水条例》第三十条；《办法》第十五条第一款、第十七条第（三）项；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处罚条款：《城市供水条例》第三十五条第一款第（六）项，责令限期改正，可以处以罚款；《办法》第十九条第一款第（四）项，责令恢复原状，处责任单位1000元以下罚款。</w:t>
            </w:r>
          </w:p>
        </w:tc>
        <w:tc>
          <w:tcPr>
            <w:tcW w:w="851" w:type="dxa"/>
            <w:tcBorders>
              <w:top w:val="nil"/>
              <w:left w:val="nil"/>
              <w:bottom w:val="single" w:color="auto" w:sz="4" w:space="0"/>
              <w:right w:val="single" w:color="auto" w:sz="4" w:space="0"/>
            </w:tcBorders>
            <w:noWrap w:val="0"/>
            <w:vAlign w:val="center"/>
          </w:tcPr>
          <w:p w14:paraId="4B0C98F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14:paraId="40F0ECC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CBB220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1.未造成危害后果的，系数为0；2.造成危害后果的，系数为1。3.存在基准2.1.3规定情形的，系数按照相关规定确定（基准2.1.3.5不适用）。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C09DB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14:paraId="434269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（二）擅自动用消火栓的，优先适用《北京市节水条例》。</w:t>
            </w:r>
          </w:p>
        </w:tc>
        <w:tc>
          <w:tcPr>
            <w:tcW w:w="1304" w:type="dxa"/>
            <w:gridSpan w:val="2"/>
            <w:tcBorders>
              <w:top w:val="nil"/>
              <w:left w:val="nil"/>
              <w:bottom w:val="single" w:color="auto" w:sz="4" w:space="0"/>
              <w:right w:val="single" w:color="auto" w:sz="4" w:space="0"/>
            </w:tcBorders>
            <w:noWrap w:val="0"/>
            <w:vAlign w:val="center"/>
          </w:tcPr>
          <w:p w14:paraId="3362678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24C50A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C2354700</w:t>
            </w:r>
          </w:p>
        </w:tc>
      </w:tr>
      <w:tr w14:paraId="1071F6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994" w:type="dxa"/>
            <w:gridSpan w:val="12"/>
            <w:tcBorders>
              <w:top w:val="nil"/>
              <w:left w:val="single" w:color="auto" w:sz="4" w:space="0"/>
              <w:bottom w:val="single" w:color="auto" w:sz="4" w:space="0"/>
              <w:right w:val="single" w:color="auto" w:sz="4" w:space="0"/>
            </w:tcBorders>
            <w:noWrap/>
            <w:vAlign w:val="center"/>
          </w:tcPr>
          <w:p w14:paraId="26B4C1B9">
            <w:pPr>
              <w:widowControl/>
              <w:jc w:val="center"/>
              <w:outlineLvl w:val="1"/>
              <w:rPr>
                <w:rFonts w:hint="eastAsia" w:ascii="宋体" w:hAnsi="宋体" w:eastAsia="宋体" w:cs="宋体"/>
                <w:color w:val="auto"/>
                <w:kern w:val="0"/>
                <w:szCs w:val="21"/>
                <w:highlight w:val="none"/>
              </w:rPr>
            </w:pPr>
            <w:bookmarkStart w:id="235" w:name="_Toc1382966029"/>
            <w:bookmarkStart w:id="236" w:name="_Toc218468842"/>
            <w:r>
              <w:rPr>
                <w:rFonts w:hint="eastAsia" w:ascii="宋体" w:hAnsi="宋体" w:eastAsia="宋体" w:cs="宋体"/>
                <w:b/>
                <w:bCs/>
                <w:color w:val="auto"/>
                <w:kern w:val="0"/>
                <w:szCs w:val="21"/>
                <w:highlight w:val="none"/>
              </w:rPr>
              <w:t>《城市供水水质管理规定》案由9项</w:t>
            </w:r>
            <w:bookmarkEnd w:id="235"/>
            <w:bookmarkEnd w:id="236"/>
          </w:p>
        </w:tc>
        <w:tc>
          <w:tcPr>
            <w:tcW w:w="2462" w:type="dxa"/>
            <w:gridSpan w:val="2"/>
            <w:tcBorders>
              <w:top w:val="nil"/>
              <w:left w:val="single" w:color="auto" w:sz="4" w:space="0"/>
              <w:bottom w:val="single" w:color="auto" w:sz="4" w:space="0"/>
              <w:right w:val="single" w:color="auto" w:sz="4" w:space="0"/>
            </w:tcBorders>
            <w:noWrap/>
            <w:vAlign w:val="center"/>
          </w:tcPr>
          <w:p w14:paraId="72F912B6">
            <w:pPr>
              <w:widowControl/>
              <w:jc w:val="center"/>
              <w:outlineLvl w:val="1"/>
              <w:rPr>
                <w:rFonts w:hint="eastAsia" w:ascii="宋体" w:hAnsi="宋体" w:eastAsia="宋体" w:cs="宋体"/>
                <w:b/>
                <w:bCs/>
                <w:color w:val="auto"/>
                <w:kern w:val="0"/>
                <w:szCs w:val="21"/>
                <w:highlight w:val="none"/>
              </w:rPr>
            </w:pPr>
          </w:p>
        </w:tc>
      </w:tr>
      <w:tr w14:paraId="53F016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840" w:hRule="atLeast"/>
        </w:trPr>
        <w:tc>
          <w:tcPr>
            <w:tcW w:w="716" w:type="dxa"/>
            <w:gridSpan w:val="2"/>
            <w:tcBorders>
              <w:top w:val="nil"/>
              <w:left w:val="single" w:color="auto" w:sz="4" w:space="0"/>
              <w:bottom w:val="single" w:color="auto" w:sz="4" w:space="0"/>
              <w:right w:val="single" w:color="auto" w:sz="4" w:space="0"/>
            </w:tcBorders>
            <w:noWrap/>
            <w:vAlign w:val="center"/>
          </w:tcPr>
          <w:p w14:paraId="41170BF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06EFDD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城市供水单位、二次供水管理单位未按规定进行水质检测或者委托检测</w:t>
            </w:r>
          </w:p>
        </w:tc>
        <w:tc>
          <w:tcPr>
            <w:tcW w:w="2981" w:type="dxa"/>
            <w:tcBorders>
              <w:top w:val="nil"/>
              <w:left w:val="nil"/>
              <w:bottom w:val="single" w:color="auto" w:sz="4" w:space="0"/>
              <w:right w:val="single" w:color="auto" w:sz="4" w:space="0"/>
            </w:tcBorders>
            <w:noWrap w:val="0"/>
            <w:vAlign w:val="center"/>
          </w:tcPr>
          <w:p w14:paraId="02FA72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违反条款：第十一条第（四）项；第十四条；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处罚条款：第二十九条第（二）项，给予警告，并处以3万元的罚款。</w:t>
            </w:r>
          </w:p>
        </w:tc>
        <w:tc>
          <w:tcPr>
            <w:tcW w:w="851" w:type="dxa"/>
            <w:tcBorders>
              <w:top w:val="nil"/>
              <w:left w:val="nil"/>
              <w:bottom w:val="single" w:color="auto" w:sz="4" w:space="0"/>
              <w:right w:val="single" w:color="auto" w:sz="4" w:space="0"/>
            </w:tcBorders>
            <w:noWrap w:val="0"/>
            <w:vAlign w:val="center"/>
          </w:tcPr>
          <w:p w14:paraId="285D1C1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14:paraId="412A6CB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6BBD60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79" w:type="dxa"/>
            <w:gridSpan w:val="3"/>
            <w:tcBorders>
              <w:top w:val="nil"/>
              <w:left w:val="nil"/>
              <w:bottom w:val="single" w:color="auto" w:sz="4" w:space="0"/>
              <w:right w:val="single" w:color="auto" w:sz="4" w:space="0"/>
            </w:tcBorders>
            <w:noWrap w:val="0"/>
            <w:vAlign w:val="center"/>
          </w:tcPr>
          <w:p w14:paraId="03A2534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3309E9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27E14D9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3B92C0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C2307100</w:t>
            </w:r>
          </w:p>
        </w:tc>
      </w:tr>
      <w:tr w14:paraId="0C0262D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690" w:hRule="atLeast"/>
        </w:trPr>
        <w:tc>
          <w:tcPr>
            <w:tcW w:w="716" w:type="dxa"/>
            <w:gridSpan w:val="2"/>
            <w:tcBorders>
              <w:top w:val="nil"/>
              <w:left w:val="single" w:color="auto" w:sz="4" w:space="0"/>
              <w:bottom w:val="single" w:color="auto" w:sz="4" w:space="0"/>
              <w:right w:val="single" w:color="auto" w:sz="4" w:space="0"/>
            </w:tcBorders>
            <w:noWrap/>
            <w:vAlign w:val="center"/>
          </w:tcPr>
          <w:p w14:paraId="596554E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317B40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城市供水单位未选用获证企业净水剂及与制水有关的材料等产品</w:t>
            </w:r>
          </w:p>
        </w:tc>
        <w:tc>
          <w:tcPr>
            <w:tcW w:w="2981" w:type="dxa"/>
            <w:tcBorders>
              <w:top w:val="nil"/>
              <w:left w:val="nil"/>
              <w:bottom w:val="single" w:color="auto" w:sz="4" w:space="0"/>
              <w:right w:val="single" w:color="auto" w:sz="4" w:space="0"/>
            </w:tcBorders>
            <w:noWrap w:val="0"/>
            <w:vAlign w:val="center"/>
          </w:tcPr>
          <w:p w14:paraId="2A7222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处罚条款：第二十九条第（三）项，给予警告，并处以3万元的罚款。</w:t>
            </w:r>
          </w:p>
        </w:tc>
        <w:tc>
          <w:tcPr>
            <w:tcW w:w="851" w:type="dxa"/>
            <w:tcBorders>
              <w:top w:val="nil"/>
              <w:left w:val="nil"/>
              <w:bottom w:val="single" w:color="auto" w:sz="4" w:space="0"/>
              <w:right w:val="single" w:color="auto" w:sz="4" w:space="0"/>
            </w:tcBorders>
            <w:noWrap w:val="0"/>
            <w:vAlign w:val="center"/>
          </w:tcPr>
          <w:p w14:paraId="5A74CA2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14:paraId="2AF8C43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1A5F562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79" w:type="dxa"/>
            <w:gridSpan w:val="3"/>
            <w:tcBorders>
              <w:top w:val="nil"/>
              <w:left w:val="nil"/>
              <w:bottom w:val="single" w:color="auto" w:sz="4" w:space="0"/>
              <w:right w:val="single" w:color="auto" w:sz="4" w:space="0"/>
            </w:tcBorders>
            <w:noWrap w:val="0"/>
            <w:vAlign w:val="center"/>
          </w:tcPr>
          <w:p w14:paraId="735612B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2C98AFC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DC3EF0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67E762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C2307200</w:t>
            </w:r>
          </w:p>
        </w:tc>
      </w:tr>
      <w:tr w14:paraId="51B21A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680" w:hRule="atLeast"/>
        </w:trPr>
        <w:tc>
          <w:tcPr>
            <w:tcW w:w="716" w:type="dxa"/>
            <w:gridSpan w:val="2"/>
            <w:tcBorders>
              <w:top w:val="nil"/>
              <w:left w:val="single" w:color="auto" w:sz="4" w:space="0"/>
              <w:bottom w:val="single" w:color="auto" w:sz="4" w:space="0"/>
              <w:right w:val="single" w:color="auto" w:sz="4" w:space="0"/>
            </w:tcBorders>
            <w:noWrap/>
            <w:vAlign w:val="center"/>
          </w:tcPr>
          <w:p w14:paraId="754F4A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710D58B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城市供水单位使用未经检验或者检验不合格的净水剂及有关制水材料</w:t>
            </w:r>
          </w:p>
        </w:tc>
        <w:tc>
          <w:tcPr>
            <w:tcW w:w="2981" w:type="dxa"/>
            <w:tcBorders>
              <w:top w:val="nil"/>
              <w:left w:val="nil"/>
              <w:bottom w:val="single" w:color="auto" w:sz="4" w:space="0"/>
              <w:right w:val="single" w:color="auto" w:sz="4" w:space="0"/>
            </w:tcBorders>
            <w:noWrap w:val="0"/>
            <w:vAlign w:val="center"/>
          </w:tcPr>
          <w:p w14:paraId="24B137F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处罚条款：第二十九条第（四）项，给予警告，并处以3万元的罚款。</w:t>
            </w:r>
          </w:p>
        </w:tc>
        <w:tc>
          <w:tcPr>
            <w:tcW w:w="851" w:type="dxa"/>
            <w:tcBorders>
              <w:top w:val="nil"/>
              <w:left w:val="nil"/>
              <w:bottom w:val="single" w:color="auto" w:sz="4" w:space="0"/>
              <w:right w:val="single" w:color="auto" w:sz="4" w:space="0"/>
            </w:tcBorders>
            <w:noWrap w:val="0"/>
            <w:vAlign w:val="center"/>
          </w:tcPr>
          <w:p w14:paraId="19842FB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14:paraId="4C9B5C0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26D99C3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79" w:type="dxa"/>
            <w:gridSpan w:val="3"/>
            <w:tcBorders>
              <w:top w:val="nil"/>
              <w:left w:val="nil"/>
              <w:bottom w:val="single" w:color="auto" w:sz="4" w:space="0"/>
              <w:right w:val="single" w:color="auto" w:sz="4" w:space="0"/>
            </w:tcBorders>
            <w:noWrap w:val="0"/>
            <w:vAlign w:val="center"/>
          </w:tcPr>
          <w:p w14:paraId="11F20D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74BBB6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A6B998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FF1D61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C2307300</w:t>
            </w:r>
          </w:p>
        </w:tc>
      </w:tr>
      <w:tr w14:paraId="6862D3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649BCAF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528D78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城市供水单位使用未经检验或者检验不合格的城市供水设备、管网</w:t>
            </w:r>
          </w:p>
        </w:tc>
        <w:tc>
          <w:tcPr>
            <w:tcW w:w="2981" w:type="dxa"/>
            <w:tcBorders>
              <w:top w:val="nil"/>
              <w:left w:val="nil"/>
              <w:bottom w:val="single" w:color="auto" w:sz="4" w:space="0"/>
              <w:right w:val="single" w:color="auto" w:sz="4" w:space="0"/>
            </w:tcBorders>
            <w:noWrap w:val="0"/>
            <w:vAlign w:val="center"/>
          </w:tcPr>
          <w:p w14:paraId="0AD546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处罚条款：第二十九条第（五）项，给予警告，并处以3万元的罚款。</w:t>
            </w:r>
          </w:p>
        </w:tc>
        <w:tc>
          <w:tcPr>
            <w:tcW w:w="851" w:type="dxa"/>
            <w:tcBorders>
              <w:top w:val="nil"/>
              <w:left w:val="nil"/>
              <w:bottom w:val="single" w:color="auto" w:sz="4" w:space="0"/>
              <w:right w:val="single" w:color="auto" w:sz="4" w:space="0"/>
            </w:tcBorders>
            <w:noWrap w:val="0"/>
            <w:vAlign w:val="center"/>
          </w:tcPr>
          <w:p w14:paraId="62B7E4C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14:paraId="2C020B3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6966173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79" w:type="dxa"/>
            <w:gridSpan w:val="3"/>
            <w:tcBorders>
              <w:top w:val="nil"/>
              <w:left w:val="nil"/>
              <w:bottom w:val="single" w:color="auto" w:sz="4" w:space="0"/>
              <w:right w:val="single" w:color="auto" w:sz="4" w:space="0"/>
            </w:tcBorders>
            <w:noWrap w:val="0"/>
            <w:vAlign w:val="center"/>
          </w:tcPr>
          <w:p w14:paraId="604273E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6DAA52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836F85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1FFD73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C2307400</w:t>
            </w:r>
          </w:p>
        </w:tc>
      </w:tr>
      <w:tr w14:paraId="0EACC4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5F00173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14:paraId="336F9F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二次供水管理单位未按规定对各类储水设施进行清洗消毒</w:t>
            </w:r>
          </w:p>
        </w:tc>
        <w:tc>
          <w:tcPr>
            <w:tcW w:w="2981" w:type="dxa"/>
            <w:tcBorders>
              <w:top w:val="nil"/>
              <w:left w:val="nil"/>
              <w:bottom w:val="single" w:color="auto" w:sz="4" w:space="0"/>
              <w:right w:val="single" w:color="auto" w:sz="4" w:space="0"/>
            </w:tcBorders>
            <w:noWrap w:val="0"/>
            <w:vAlign w:val="center"/>
          </w:tcPr>
          <w:p w14:paraId="6C76CB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处罚条款：第二十九条第（六）项，给予警告，并处以3万元的罚款。</w:t>
            </w:r>
          </w:p>
        </w:tc>
        <w:tc>
          <w:tcPr>
            <w:tcW w:w="851" w:type="dxa"/>
            <w:tcBorders>
              <w:top w:val="nil"/>
              <w:left w:val="nil"/>
              <w:bottom w:val="single" w:color="auto" w:sz="4" w:space="0"/>
              <w:right w:val="single" w:color="auto" w:sz="4" w:space="0"/>
            </w:tcBorders>
            <w:noWrap w:val="0"/>
            <w:vAlign w:val="center"/>
          </w:tcPr>
          <w:p w14:paraId="6B2C3C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14:paraId="4AA93D6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376B873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79" w:type="dxa"/>
            <w:gridSpan w:val="3"/>
            <w:tcBorders>
              <w:top w:val="nil"/>
              <w:left w:val="nil"/>
              <w:bottom w:val="single" w:color="auto" w:sz="4" w:space="0"/>
              <w:right w:val="single" w:color="auto" w:sz="4" w:space="0"/>
            </w:tcBorders>
            <w:noWrap w:val="0"/>
            <w:vAlign w:val="center"/>
          </w:tcPr>
          <w:p w14:paraId="186C3A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752734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39281F4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487C6DD">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C2307500</w:t>
            </w:r>
          </w:p>
        </w:tc>
      </w:tr>
      <w:tr w14:paraId="79B4D5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4180F44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14:paraId="03A007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城市供水单位、二次供水管理单位隐瞒、缓报、谎报水质突发事件或者水质信息</w:t>
            </w:r>
          </w:p>
        </w:tc>
        <w:tc>
          <w:tcPr>
            <w:tcW w:w="2981" w:type="dxa"/>
            <w:tcBorders>
              <w:top w:val="nil"/>
              <w:left w:val="nil"/>
              <w:bottom w:val="single" w:color="auto" w:sz="4" w:space="0"/>
              <w:right w:val="single" w:color="auto" w:sz="4" w:space="0"/>
            </w:tcBorders>
            <w:noWrap w:val="0"/>
            <w:vAlign w:val="center"/>
          </w:tcPr>
          <w:p w14:paraId="096ACF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处罚条款：第二十九条第（七）项，给予警告，并处以3万元的罚款。</w:t>
            </w:r>
          </w:p>
        </w:tc>
        <w:tc>
          <w:tcPr>
            <w:tcW w:w="851" w:type="dxa"/>
            <w:tcBorders>
              <w:top w:val="nil"/>
              <w:left w:val="nil"/>
              <w:bottom w:val="single" w:color="auto" w:sz="4" w:space="0"/>
              <w:right w:val="single" w:color="auto" w:sz="4" w:space="0"/>
            </w:tcBorders>
            <w:noWrap w:val="0"/>
            <w:vAlign w:val="center"/>
          </w:tcPr>
          <w:p w14:paraId="1856808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14:paraId="1F2999A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75E995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79" w:type="dxa"/>
            <w:gridSpan w:val="3"/>
            <w:tcBorders>
              <w:top w:val="nil"/>
              <w:left w:val="nil"/>
              <w:bottom w:val="single" w:color="auto" w:sz="4" w:space="0"/>
              <w:right w:val="single" w:color="auto" w:sz="4" w:space="0"/>
            </w:tcBorders>
            <w:noWrap w:val="0"/>
            <w:vAlign w:val="center"/>
          </w:tcPr>
          <w:p w14:paraId="38A1C4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1BB0E0C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7DAAB2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696B20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C2307600</w:t>
            </w:r>
          </w:p>
        </w:tc>
      </w:tr>
      <w:tr w14:paraId="19DB01D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69FB362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14:paraId="1ECAB49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城市供水单位、二次供水管理单位有危害城市供水水质安全其他行为</w:t>
            </w:r>
          </w:p>
        </w:tc>
        <w:tc>
          <w:tcPr>
            <w:tcW w:w="2981" w:type="dxa"/>
            <w:tcBorders>
              <w:top w:val="nil"/>
              <w:left w:val="nil"/>
              <w:bottom w:val="single" w:color="auto" w:sz="4" w:space="0"/>
              <w:right w:val="single" w:color="auto" w:sz="4" w:space="0"/>
            </w:tcBorders>
            <w:noWrap w:val="0"/>
            <w:vAlign w:val="center"/>
          </w:tcPr>
          <w:p w14:paraId="15C16D4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处罚条款：第二十九条第（八）项，给予警告，并处以3万元的罚款。</w:t>
            </w:r>
          </w:p>
        </w:tc>
        <w:tc>
          <w:tcPr>
            <w:tcW w:w="851" w:type="dxa"/>
            <w:tcBorders>
              <w:top w:val="nil"/>
              <w:left w:val="nil"/>
              <w:bottom w:val="single" w:color="auto" w:sz="4" w:space="0"/>
              <w:right w:val="single" w:color="auto" w:sz="4" w:space="0"/>
            </w:tcBorders>
            <w:noWrap w:val="0"/>
            <w:vAlign w:val="center"/>
          </w:tcPr>
          <w:p w14:paraId="5F6BE7B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14:paraId="607353A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365E14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79" w:type="dxa"/>
            <w:gridSpan w:val="3"/>
            <w:tcBorders>
              <w:top w:val="nil"/>
              <w:left w:val="nil"/>
              <w:bottom w:val="single" w:color="auto" w:sz="4" w:space="0"/>
              <w:right w:val="single" w:color="auto" w:sz="4" w:space="0"/>
            </w:tcBorders>
            <w:noWrap w:val="0"/>
            <w:vAlign w:val="center"/>
          </w:tcPr>
          <w:p w14:paraId="3C00FC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64B95C8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B62C07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F459B6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C2307700</w:t>
            </w:r>
          </w:p>
        </w:tc>
      </w:tr>
      <w:tr w14:paraId="61F7A5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1AB36C4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14:paraId="7B3EA3A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城市供水单位未制定城市供水水质突发事件应急预案</w:t>
            </w:r>
          </w:p>
        </w:tc>
        <w:tc>
          <w:tcPr>
            <w:tcW w:w="2981" w:type="dxa"/>
            <w:tcBorders>
              <w:top w:val="nil"/>
              <w:left w:val="nil"/>
              <w:bottom w:val="single" w:color="auto" w:sz="4" w:space="0"/>
              <w:right w:val="single" w:color="auto" w:sz="4" w:space="0"/>
            </w:tcBorders>
            <w:noWrap w:val="0"/>
            <w:vAlign w:val="center"/>
          </w:tcPr>
          <w:p w14:paraId="144BEE1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三十</w:t>
            </w:r>
            <w:r>
              <w:rPr>
                <w:rFonts w:hint="eastAsia" w:ascii="宋体" w:hAnsi="宋体" w:eastAsia="宋体" w:cs="宋体"/>
                <w:color w:val="auto"/>
                <w:kern w:val="0"/>
                <w:sz w:val="15"/>
                <w:szCs w:val="15"/>
                <w:highlight w:val="none"/>
              </w:rPr>
              <w:t>条第（一）项，给予警告，并处以5000元以上2万元以下的罚款。</w:t>
            </w:r>
          </w:p>
        </w:tc>
        <w:tc>
          <w:tcPr>
            <w:tcW w:w="851" w:type="dxa"/>
            <w:tcBorders>
              <w:top w:val="nil"/>
              <w:left w:val="nil"/>
              <w:bottom w:val="single" w:color="auto" w:sz="4" w:space="0"/>
              <w:right w:val="single" w:color="auto" w:sz="4" w:space="0"/>
            </w:tcBorders>
            <w:noWrap w:val="0"/>
            <w:vAlign w:val="center"/>
          </w:tcPr>
          <w:p w14:paraId="41F2C4F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41E03A7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F5FD6F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年供水量＜5万立方米，系数为0；2.5万立方米≤年供水量＜50万立方米，系数为1；3.50万立方米≤年供水量＜500万立方米，系数为2；4.500万立方米≤年供水量，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1B5A49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7BA315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3880DD6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FA77D1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C2307800</w:t>
            </w:r>
          </w:p>
        </w:tc>
      </w:tr>
      <w:tr w14:paraId="695449F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500DF1E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14:paraId="067C74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城市供水单位未按规定上报水质报表</w:t>
            </w:r>
          </w:p>
        </w:tc>
        <w:tc>
          <w:tcPr>
            <w:tcW w:w="2981" w:type="dxa"/>
            <w:tcBorders>
              <w:top w:val="nil"/>
              <w:left w:val="nil"/>
              <w:bottom w:val="single" w:color="auto" w:sz="4" w:space="0"/>
              <w:right w:val="single" w:color="auto" w:sz="4" w:space="0"/>
            </w:tcBorders>
            <w:noWrap w:val="0"/>
            <w:vAlign w:val="center"/>
          </w:tcPr>
          <w:p w14:paraId="608703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处罚条款：第三十条第（二）项，给予警告，并处以5000元以上2万元以下的罚款。</w:t>
            </w:r>
          </w:p>
        </w:tc>
        <w:tc>
          <w:tcPr>
            <w:tcW w:w="851" w:type="dxa"/>
            <w:tcBorders>
              <w:top w:val="nil"/>
              <w:left w:val="nil"/>
              <w:bottom w:val="single" w:color="auto" w:sz="4" w:space="0"/>
              <w:right w:val="single" w:color="auto" w:sz="4" w:space="0"/>
            </w:tcBorders>
            <w:noWrap w:val="0"/>
            <w:vAlign w:val="center"/>
          </w:tcPr>
          <w:p w14:paraId="46E728E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0AB3E1E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DE4B99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逾期报送时间＜2个工作日，系数为0；2.2个工作日≤逾期报送时间＜4个工作日，系数为1；3.4个工作日≤逾期报送时间＜6个工作日，系数为2；4.6个工作日≤逾期报送时间，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ED226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08C733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1C70BE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1E8921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C2307900</w:t>
            </w:r>
          </w:p>
        </w:tc>
      </w:tr>
      <w:tr w14:paraId="75668B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7" w:hRule="atLeast"/>
        </w:trPr>
        <w:tc>
          <w:tcPr>
            <w:tcW w:w="13994" w:type="dxa"/>
            <w:gridSpan w:val="12"/>
            <w:tcBorders>
              <w:top w:val="nil"/>
              <w:left w:val="single" w:color="auto" w:sz="4" w:space="0"/>
              <w:bottom w:val="single" w:color="auto" w:sz="4" w:space="0"/>
              <w:right w:val="single" w:color="auto" w:sz="4" w:space="0"/>
            </w:tcBorders>
            <w:noWrap/>
            <w:vAlign w:val="center"/>
          </w:tcPr>
          <w:p w14:paraId="21D42C06">
            <w:pPr>
              <w:widowControl/>
              <w:jc w:val="center"/>
              <w:outlineLvl w:val="1"/>
              <w:rPr>
                <w:rFonts w:hint="eastAsia" w:ascii="宋体" w:hAnsi="宋体" w:eastAsia="宋体" w:cs="宋体"/>
                <w:color w:val="auto"/>
                <w:kern w:val="0"/>
                <w:szCs w:val="21"/>
                <w:highlight w:val="none"/>
              </w:rPr>
            </w:pPr>
            <w:bookmarkStart w:id="237" w:name="_Toc218468843"/>
            <w:bookmarkStart w:id="238" w:name="_Toc2019562284"/>
            <w:r>
              <w:rPr>
                <w:rFonts w:hint="eastAsia" w:ascii="宋体" w:hAnsi="宋体" w:eastAsia="宋体" w:cs="宋体"/>
                <w:b/>
                <w:bCs/>
                <w:color w:val="auto"/>
                <w:kern w:val="0"/>
                <w:szCs w:val="21"/>
                <w:highlight w:val="none"/>
              </w:rPr>
              <w:t>《生活饮用水卫生监督管理办法》案由2项</w:t>
            </w:r>
            <w:bookmarkEnd w:id="237"/>
            <w:bookmarkEnd w:id="238"/>
          </w:p>
        </w:tc>
        <w:tc>
          <w:tcPr>
            <w:tcW w:w="2462" w:type="dxa"/>
            <w:gridSpan w:val="2"/>
            <w:tcBorders>
              <w:top w:val="nil"/>
              <w:left w:val="single" w:color="auto" w:sz="4" w:space="0"/>
              <w:bottom w:val="single" w:color="auto" w:sz="4" w:space="0"/>
              <w:right w:val="single" w:color="auto" w:sz="4" w:space="0"/>
            </w:tcBorders>
            <w:noWrap/>
            <w:vAlign w:val="center"/>
          </w:tcPr>
          <w:p w14:paraId="1E3E6FE5">
            <w:pPr>
              <w:widowControl/>
              <w:jc w:val="center"/>
              <w:outlineLvl w:val="1"/>
              <w:rPr>
                <w:rFonts w:hint="eastAsia" w:ascii="宋体" w:hAnsi="宋体" w:eastAsia="宋体" w:cs="宋体"/>
                <w:b/>
                <w:bCs/>
                <w:color w:val="auto"/>
                <w:kern w:val="0"/>
                <w:szCs w:val="21"/>
                <w:highlight w:val="none"/>
              </w:rPr>
            </w:pPr>
          </w:p>
        </w:tc>
      </w:tr>
      <w:tr w14:paraId="7FD38F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1F65588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14:paraId="06890A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新建、改建、扩建的饮用水供水工程项目未经建设行政主管部门设计审查和竣工验收而擅自建设并投入使用</w:t>
            </w:r>
          </w:p>
        </w:tc>
        <w:tc>
          <w:tcPr>
            <w:tcW w:w="2981" w:type="dxa"/>
            <w:vMerge w:val="restart"/>
            <w:tcBorders>
              <w:top w:val="nil"/>
              <w:left w:val="single" w:color="auto" w:sz="4" w:space="0"/>
              <w:bottom w:val="single" w:color="auto" w:sz="4" w:space="0"/>
              <w:right w:val="single" w:color="auto" w:sz="4" w:space="0"/>
            </w:tcBorders>
            <w:noWrap w:val="0"/>
            <w:vAlign w:val="center"/>
          </w:tcPr>
          <w:p w14:paraId="4A39B25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处罚条款：第二十八条第一款第（一）项，责令限期改进，并可处以违法所得3倍以下的罚款，但最高不超过30000元，没有违法所得的可处以10000元以下罚款。</w:t>
            </w:r>
          </w:p>
        </w:tc>
        <w:tc>
          <w:tcPr>
            <w:tcW w:w="851" w:type="dxa"/>
            <w:tcBorders>
              <w:top w:val="nil"/>
              <w:left w:val="nil"/>
              <w:bottom w:val="single" w:color="auto" w:sz="4" w:space="0"/>
              <w:right w:val="single" w:color="auto" w:sz="4" w:space="0"/>
            </w:tcBorders>
            <w:noWrap w:val="0"/>
            <w:vAlign w:val="center"/>
          </w:tcPr>
          <w:p w14:paraId="4C01C01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14:paraId="1049E7D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53531B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1.年设计供水量＜50万立方米，系数为0；2.50万立方米≤年设计供水量＜500万立方米，系数为1；3.500万立方米≤年设计供水量，系数为2。4.存在基准2.1.3规定情形的，系数按照相关规定确定（基准2.1.3.5不适用）。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8AA51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2016" w:type="dxa"/>
            <w:tcBorders>
              <w:top w:val="nil"/>
              <w:left w:val="nil"/>
              <w:bottom w:val="single" w:color="auto" w:sz="4" w:space="0"/>
              <w:right w:val="single" w:color="auto" w:sz="4" w:space="0"/>
            </w:tcBorders>
            <w:noWrap w:val="0"/>
            <w:vAlign w:val="center"/>
          </w:tcPr>
          <w:p w14:paraId="5F2E4C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1856C0C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2E71C8EC">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C2345100</w:t>
            </w:r>
          </w:p>
        </w:tc>
      </w:tr>
      <w:tr w14:paraId="7480ED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7FFFD196">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1D1085C0">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73419263">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0DE1AA6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（无违法所得的）</w:t>
            </w:r>
          </w:p>
        </w:tc>
        <w:tc>
          <w:tcPr>
            <w:tcW w:w="840" w:type="dxa"/>
            <w:tcBorders>
              <w:top w:val="nil"/>
              <w:left w:val="nil"/>
              <w:bottom w:val="single" w:color="auto" w:sz="4" w:space="0"/>
              <w:right w:val="single" w:color="auto" w:sz="4" w:space="0"/>
            </w:tcBorders>
            <w:noWrap w:val="0"/>
            <w:vAlign w:val="center"/>
          </w:tcPr>
          <w:p w14:paraId="4941B41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2D9C04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1.年设计供水量＜50万立方米，系数为0；2.50万立方米≤年设计供水量＜500万立方米，系数为2；3.500万立方米≤年设计供水量，系数为4。4.存在基准2.1.3规定情形的，系数按照相关规定确定（基准2.1.3.5不适用）。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4A3D2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2016" w:type="dxa"/>
            <w:tcBorders>
              <w:top w:val="nil"/>
              <w:left w:val="nil"/>
              <w:bottom w:val="single" w:color="auto" w:sz="4" w:space="0"/>
              <w:right w:val="single" w:color="auto" w:sz="4" w:space="0"/>
            </w:tcBorders>
            <w:noWrap w:val="0"/>
            <w:vAlign w:val="center"/>
          </w:tcPr>
          <w:p w14:paraId="17843D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467C4709">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1380048E">
            <w:pPr>
              <w:widowControl/>
              <w:jc w:val="left"/>
              <w:rPr>
                <w:rFonts w:hint="eastAsia" w:ascii="宋体" w:hAnsi="宋体" w:eastAsia="宋体" w:cs="宋体"/>
                <w:color w:val="auto"/>
                <w:kern w:val="0"/>
                <w:sz w:val="15"/>
                <w:szCs w:val="15"/>
                <w:highlight w:val="none"/>
              </w:rPr>
            </w:pPr>
          </w:p>
        </w:tc>
      </w:tr>
      <w:tr w14:paraId="0B0F15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04C862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14:paraId="5BA008E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未按规定进行日常性水质检验工作</w:t>
            </w:r>
          </w:p>
        </w:tc>
        <w:tc>
          <w:tcPr>
            <w:tcW w:w="2981" w:type="dxa"/>
            <w:vMerge w:val="restart"/>
            <w:tcBorders>
              <w:top w:val="nil"/>
              <w:left w:val="single" w:color="auto" w:sz="4" w:space="0"/>
              <w:bottom w:val="single" w:color="auto" w:sz="4" w:space="0"/>
              <w:right w:val="single" w:color="auto" w:sz="4" w:space="0"/>
            </w:tcBorders>
            <w:noWrap w:val="0"/>
            <w:vAlign w:val="center"/>
          </w:tcPr>
          <w:p w14:paraId="2069C4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处罚条款：第二十八条第一款第（二）项，责令限期改进，并可处以违法所得3倍以下的罚款，但最高不超过30000元，没有违法所得的可处以10000元以下罚款。</w:t>
            </w:r>
          </w:p>
        </w:tc>
        <w:tc>
          <w:tcPr>
            <w:tcW w:w="851" w:type="dxa"/>
            <w:tcBorders>
              <w:top w:val="nil"/>
              <w:left w:val="nil"/>
              <w:bottom w:val="single" w:color="auto" w:sz="4" w:space="0"/>
              <w:right w:val="single" w:color="auto" w:sz="4" w:space="0"/>
            </w:tcBorders>
            <w:noWrap w:val="0"/>
            <w:vAlign w:val="center"/>
          </w:tcPr>
          <w:p w14:paraId="2E50659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14:paraId="2A72D0D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39D7D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1.年设计供水量＜50万立方米，系数为0；2.50万立方米≤年设计供水量＜500万立方米，系数为1；3.500万立方米≤年设计供水量，系数为2。4.存在基准2.1.3规定情形的，系数按照相关规定确定（基准2.1.3.5不适用）。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8E0DD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2016" w:type="dxa"/>
            <w:tcBorders>
              <w:top w:val="nil"/>
              <w:left w:val="nil"/>
              <w:bottom w:val="single" w:color="auto" w:sz="4" w:space="0"/>
              <w:right w:val="single" w:color="auto" w:sz="4" w:space="0"/>
            </w:tcBorders>
            <w:noWrap w:val="0"/>
            <w:vAlign w:val="center"/>
          </w:tcPr>
          <w:p w14:paraId="5F2C557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11692FE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nil"/>
              <w:right w:val="single" w:color="auto" w:sz="4" w:space="0"/>
            </w:tcBorders>
            <w:noWrap w:val="0"/>
            <w:vAlign w:val="center"/>
          </w:tcPr>
          <w:p w14:paraId="1C43F4D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C2345200</w:t>
            </w:r>
          </w:p>
        </w:tc>
      </w:tr>
      <w:tr w14:paraId="167D09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139F2C77">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61486284">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42092F28">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4849777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（无违法所得的）</w:t>
            </w:r>
          </w:p>
        </w:tc>
        <w:tc>
          <w:tcPr>
            <w:tcW w:w="840" w:type="dxa"/>
            <w:tcBorders>
              <w:top w:val="nil"/>
              <w:left w:val="nil"/>
              <w:bottom w:val="single" w:color="auto" w:sz="4" w:space="0"/>
              <w:right w:val="single" w:color="auto" w:sz="4" w:space="0"/>
            </w:tcBorders>
            <w:noWrap w:val="0"/>
            <w:vAlign w:val="center"/>
          </w:tcPr>
          <w:p w14:paraId="1550769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98651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1.年设计供水量＜50万立方米，系数为0；2.50万立方米≤年设计供水量＜500万立方米，系数为2；3.500万立方米≤年设计供水量，系数为4。4.存在基准2.1.3规定情形的，系数按照相关规定确定（基准2.1.3.5不适用）。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1E0A7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000×（1+情节系数）</w:t>
            </w:r>
          </w:p>
        </w:tc>
        <w:tc>
          <w:tcPr>
            <w:tcW w:w="2016" w:type="dxa"/>
            <w:tcBorders>
              <w:top w:val="nil"/>
              <w:left w:val="nil"/>
              <w:bottom w:val="single" w:color="auto" w:sz="4" w:space="0"/>
              <w:right w:val="single" w:color="auto" w:sz="4" w:space="0"/>
            </w:tcBorders>
            <w:noWrap w:val="0"/>
            <w:vAlign w:val="center"/>
          </w:tcPr>
          <w:p w14:paraId="6F2A94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6ABB2CA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continue"/>
            <w:tcBorders>
              <w:left w:val="nil"/>
              <w:bottom w:val="single" w:color="auto" w:sz="4" w:space="0"/>
              <w:right w:val="single" w:color="auto" w:sz="4" w:space="0"/>
            </w:tcBorders>
            <w:noWrap w:val="0"/>
            <w:vAlign w:val="center"/>
          </w:tcPr>
          <w:p w14:paraId="688A65B5">
            <w:pPr>
              <w:widowControl/>
              <w:jc w:val="center"/>
              <w:rPr>
                <w:rFonts w:hint="eastAsia" w:ascii="宋体" w:hAnsi="宋体" w:eastAsia="宋体" w:cs="宋体"/>
                <w:color w:val="auto"/>
                <w:kern w:val="0"/>
                <w:sz w:val="15"/>
                <w:szCs w:val="15"/>
                <w:highlight w:val="none"/>
                <w:lang w:eastAsia="zh-CN"/>
              </w:rPr>
            </w:pPr>
          </w:p>
        </w:tc>
      </w:tr>
      <w:tr w14:paraId="21E1C5B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2C24E594">
            <w:pPr>
              <w:widowControl/>
              <w:jc w:val="center"/>
              <w:outlineLvl w:val="1"/>
              <w:rPr>
                <w:rFonts w:hint="eastAsia" w:ascii="宋体" w:hAnsi="宋体" w:eastAsia="宋体" w:cs="宋体"/>
                <w:color w:val="auto"/>
                <w:kern w:val="0"/>
                <w:szCs w:val="21"/>
                <w:highlight w:val="none"/>
              </w:rPr>
            </w:pPr>
            <w:bookmarkStart w:id="239" w:name="_Toc557454873"/>
            <w:bookmarkStart w:id="240" w:name="_Toc218468844"/>
            <w:r>
              <w:rPr>
                <w:rFonts w:hint="eastAsia" w:ascii="宋体" w:hAnsi="宋体" w:eastAsia="宋体" w:cs="宋体"/>
                <w:b/>
                <w:bCs/>
                <w:color w:val="auto"/>
                <w:kern w:val="0"/>
                <w:szCs w:val="21"/>
                <w:highlight w:val="none"/>
              </w:rPr>
              <w:t>《北京市节水条例》案由7项</w:t>
            </w:r>
            <w:bookmarkEnd w:id="239"/>
            <w:bookmarkEnd w:id="240"/>
          </w:p>
        </w:tc>
        <w:tc>
          <w:tcPr>
            <w:tcW w:w="3173" w:type="dxa"/>
            <w:gridSpan w:val="3"/>
            <w:tcBorders>
              <w:top w:val="nil"/>
              <w:left w:val="single" w:color="auto" w:sz="4" w:space="0"/>
              <w:bottom w:val="single" w:color="auto" w:sz="4" w:space="0"/>
              <w:right w:val="single" w:color="auto" w:sz="4" w:space="0"/>
            </w:tcBorders>
            <w:noWrap w:val="0"/>
            <w:vAlign w:val="center"/>
          </w:tcPr>
          <w:p w14:paraId="16019D43">
            <w:pPr>
              <w:widowControl/>
              <w:jc w:val="center"/>
              <w:outlineLvl w:val="1"/>
              <w:rPr>
                <w:rFonts w:hint="eastAsia" w:ascii="宋体" w:hAnsi="宋体" w:eastAsia="宋体" w:cs="宋体"/>
                <w:b/>
                <w:bCs/>
                <w:color w:val="auto"/>
                <w:kern w:val="0"/>
                <w:szCs w:val="21"/>
                <w:highlight w:val="none"/>
              </w:rPr>
            </w:pPr>
          </w:p>
        </w:tc>
      </w:tr>
      <w:tr w14:paraId="0D5C0D6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36A1425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14:paraId="44AC89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产生或者使用有毒有害物质的单位将其生产用水管网与供水管网直接连接</w:t>
            </w:r>
          </w:p>
        </w:tc>
        <w:tc>
          <w:tcPr>
            <w:tcW w:w="2981" w:type="dxa"/>
            <w:vMerge w:val="restart"/>
            <w:tcBorders>
              <w:top w:val="nil"/>
              <w:left w:val="single" w:color="auto" w:sz="4" w:space="0"/>
              <w:bottom w:val="single" w:color="auto" w:sz="4" w:space="0"/>
              <w:right w:val="single" w:color="auto" w:sz="4" w:space="0"/>
            </w:tcBorders>
            <w:noWrap w:val="0"/>
            <w:vAlign w:val="center"/>
          </w:tcPr>
          <w:p w14:paraId="15DF80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处罚条款：第六十三条第一款第（一）项，责令停止违法行为，限期恢复原状或者采取其他补救措施并承担相关费用，对单位处五万元以上十万元以下罚款，对个人处一万元以上五万元以下罚款。</w:t>
            </w:r>
          </w:p>
        </w:tc>
        <w:tc>
          <w:tcPr>
            <w:tcW w:w="851" w:type="dxa"/>
            <w:tcBorders>
              <w:top w:val="nil"/>
              <w:left w:val="nil"/>
              <w:bottom w:val="single" w:color="auto" w:sz="4" w:space="0"/>
              <w:right w:val="single" w:color="auto" w:sz="4" w:space="0"/>
            </w:tcBorders>
            <w:noWrap w:val="0"/>
            <w:vAlign w:val="center"/>
          </w:tcPr>
          <w:p w14:paraId="27953B1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6EF9DEF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F41DB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1.生产用水管网＜DN100，系数为0；2.DN100≤生产用水管网＜DN300，系数为0.5；3.DN300≤生产用水管网，系数为1。4.存在基准2.1.3规定情形的，系数按照相关规定确定（基准2.1.3.5不适用）。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D2E72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3BB21F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24C961F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nil"/>
              <w:right w:val="single" w:color="auto" w:sz="4" w:space="0"/>
            </w:tcBorders>
            <w:noWrap w:val="0"/>
            <w:vAlign w:val="center"/>
          </w:tcPr>
          <w:p w14:paraId="105D5D8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C2357400</w:t>
            </w:r>
          </w:p>
        </w:tc>
      </w:tr>
      <w:tr w14:paraId="36672B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2AFFAA22">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23CA664D">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37BB9D18">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7F239E7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5CF67A0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70967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1.生产用水管网＜DN100，系数为0；2.DN100≤生产用水管网＜DN300，系数为2；3.DN300≤生产用水管网，系数为4。4.存在基准2.1.3规定情形的，系数按照相关规定确定（基准2.1.3.5不适用）。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8173E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74CCE66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9BCA95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continue"/>
            <w:tcBorders>
              <w:left w:val="nil"/>
              <w:bottom w:val="single" w:color="auto" w:sz="4" w:space="0"/>
              <w:right w:val="single" w:color="auto" w:sz="4" w:space="0"/>
            </w:tcBorders>
            <w:noWrap w:val="0"/>
            <w:vAlign w:val="center"/>
          </w:tcPr>
          <w:p w14:paraId="76D75B0D">
            <w:pPr>
              <w:widowControl/>
              <w:jc w:val="center"/>
              <w:rPr>
                <w:rFonts w:hint="eastAsia" w:ascii="宋体" w:hAnsi="宋体" w:eastAsia="宋体" w:cs="宋体"/>
                <w:color w:val="auto"/>
                <w:kern w:val="0"/>
                <w:sz w:val="15"/>
                <w:szCs w:val="15"/>
                <w:highlight w:val="none"/>
                <w:lang w:eastAsia="zh-CN"/>
              </w:rPr>
            </w:pPr>
          </w:p>
        </w:tc>
      </w:tr>
      <w:tr w14:paraId="785469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1956F71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3F4EE26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建设单位或者施工单位未与公共供水单位商定并采取相应的保护措施</w:t>
            </w:r>
          </w:p>
        </w:tc>
        <w:tc>
          <w:tcPr>
            <w:tcW w:w="2981" w:type="dxa"/>
            <w:tcBorders>
              <w:top w:val="nil"/>
              <w:left w:val="nil"/>
              <w:bottom w:val="single" w:color="auto" w:sz="4" w:space="0"/>
              <w:right w:val="single" w:color="auto" w:sz="4" w:space="0"/>
            </w:tcBorders>
            <w:noWrap w:val="0"/>
            <w:vAlign w:val="center"/>
          </w:tcPr>
          <w:p w14:paraId="08D8BD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处罚条款：第五十九条，责令限期改正，给予警告；逾期不改正的，处二万元以上五万元以下罚款。</w:t>
            </w:r>
          </w:p>
        </w:tc>
        <w:tc>
          <w:tcPr>
            <w:tcW w:w="851" w:type="dxa"/>
            <w:tcBorders>
              <w:top w:val="nil"/>
              <w:left w:val="nil"/>
              <w:bottom w:val="single" w:color="auto" w:sz="4" w:space="0"/>
              <w:right w:val="single" w:color="auto" w:sz="4" w:space="0"/>
            </w:tcBorders>
            <w:noWrap w:val="0"/>
            <w:vAlign w:val="center"/>
          </w:tcPr>
          <w:p w14:paraId="6A8FD97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7883080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58AFB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（一）限期改正，给予警告：（二）逾期不改正的，处以下罚款：1.施工区域内涉及1个检查井或涉及管网管径＜DN100，系数为0；2.施工区域内涉及2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3个检查井或DN100≤涉及管网管径＜DN600，系数为0.5；3.施工区域内涉及4-6个检查井或DN600≤涉及管网管径＜DN1000，系数为1；4.施工区域内涉及7个检查井及以上或DN1000≤涉及管网管径，系数为1.5。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2D0A85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14:paraId="383852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35A7661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D140AC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C2357700</w:t>
            </w:r>
          </w:p>
        </w:tc>
      </w:tr>
      <w:tr w14:paraId="7F46AC8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444DC65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6659BCD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居民生活用水变更为非居民用水未及时向供水单位报告</w:t>
            </w:r>
          </w:p>
        </w:tc>
        <w:tc>
          <w:tcPr>
            <w:tcW w:w="2981" w:type="dxa"/>
            <w:tcBorders>
              <w:top w:val="nil"/>
              <w:left w:val="nil"/>
              <w:bottom w:val="single" w:color="auto" w:sz="4" w:space="0"/>
              <w:right w:val="single" w:color="auto" w:sz="4" w:space="0"/>
            </w:tcBorders>
            <w:noWrap w:val="0"/>
            <w:vAlign w:val="center"/>
          </w:tcPr>
          <w:p w14:paraId="515E7D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处罚条款：第六十条第一款，责令限期改正；逾期不改正的，处应补缴水费一倍以上三倍以下罚款。</w:t>
            </w:r>
          </w:p>
        </w:tc>
        <w:tc>
          <w:tcPr>
            <w:tcW w:w="851" w:type="dxa"/>
            <w:tcBorders>
              <w:top w:val="nil"/>
              <w:left w:val="nil"/>
              <w:bottom w:val="single" w:color="auto" w:sz="4" w:space="0"/>
              <w:right w:val="single" w:color="auto" w:sz="4" w:space="0"/>
            </w:tcBorders>
            <w:noWrap w:val="0"/>
            <w:vAlign w:val="center"/>
          </w:tcPr>
          <w:p w14:paraId="6D0B773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应补缴水费</w:t>
            </w:r>
          </w:p>
        </w:tc>
        <w:tc>
          <w:tcPr>
            <w:tcW w:w="840" w:type="dxa"/>
            <w:tcBorders>
              <w:top w:val="nil"/>
              <w:left w:val="nil"/>
              <w:bottom w:val="single" w:color="auto" w:sz="4" w:space="0"/>
              <w:right w:val="single" w:color="auto" w:sz="4" w:space="0"/>
            </w:tcBorders>
            <w:noWrap w:val="0"/>
            <w:vAlign w:val="center"/>
          </w:tcPr>
          <w:p w14:paraId="6737796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357A1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20立方米，系数为0；2.20立方米≤日用水量＜30立方米，系数为0.5；3.30立方米≤日用水量＜70立方米，系数为1；4.70立方米≤日用水量＜100立方米，系数为1.5；5.100立方米≤日用水量，系数为2。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35203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罚款金额=应补缴水费×（1+情节系数）</w:t>
            </w:r>
          </w:p>
        </w:tc>
        <w:tc>
          <w:tcPr>
            <w:tcW w:w="2016" w:type="dxa"/>
            <w:tcBorders>
              <w:top w:val="nil"/>
              <w:left w:val="nil"/>
              <w:bottom w:val="single" w:color="auto" w:sz="4" w:space="0"/>
              <w:right w:val="single" w:color="auto" w:sz="4" w:space="0"/>
            </w:tcBorders>
            <w:noWrap w:val="0"/>
            <w:vAlign w:val="center"/>
          </w:tcPr>
          <w:p w14:paraId="025FAE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8EA719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EED7E0A">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C2358000</w:t>
            </w:r>
          </w:p>
        </w:tc>
      </w:tr>
      <w:tr w14:paraId="7D2E79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2A86254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vMerge w:val="restart"/>
            <w:tcBorders>
              <w:top w:val="nil"/>
              <w:left w:val="single" w:color="auto" w:sz="4" w:space="0"/>
              <w:bottom w:val="single" w:color="auto" w:sz="4" w:space="0"/>
              <w:right w:val="single" w:color="auto" w:sz="4" w:space="0"/>
            </w:tcBorders>
            <w:noWrap w:val="0"/>
            <w:vAlign w:val="center"/>
          </w:tcPr>
          <w:p w14:paraId="16EF7CC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供水单位未按照国家和本市有关规定对供水管网进行巡护、检查、维修、管理</w:t>
            </w:r>
          </w:p>
        </w:tc>
        <w:tc>
          <w:tcPr>
            <w:tcW w:w="2981" w:type="dxa"/>
            <w:vMerge w:val="restart"/>
            <w:tcBorders>
              <w:top w:val="nil"/>
              <w:left w:val="single" w:color="auto" w:sz="4" w:space="0"/>
              <w:bottom w:val="single" w:color="auto" w:sz="4" w:space="0"/>
              <w:right w:val="single" w:color="auto" w:sz="4" w:space="0"/>
            </w:tcBorders>
            <w:noWrap w:val="0"/>
            <w:vAlign w:val="center"/>
          </w:tcPr>
          <w:p w14:paraId="4641C7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处罚条款：第五十八条，责令限期改正，给予警告；逾期不改正的，处一万元以上十万元以下罚款；造成严重后果的，处十万元以上五十万元以下罚款。</w:t>
            </w:r>
          </w:p>
        </w:tc>
        <w:tc>
          <w:tcPr>
            <w:tcW w:w="851" w:type="dxa"/>
            <w:tcBorders>
              <w:top w:val="nil"/>
              <w:left w:val="nil"/>
              <w:bottom w:val="single" w:color="auto" w:sz="4" w:space="0"/>
              <w:right w:val="single" w:color="auto" w:sz="4" w:space="0"/>
            </w:tcBorders>
            <w:noWrap w:val="0"/>
            <w:vAlign w:val="center"/>
          </w:tcPr>
          <w:p w14:paraId="55B34C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199DF82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7AD21C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漏巡漏检长度占应巡应检管网总长度＜10%，系数为0；2.10%≤漏巡漏检长度占应巡应检管网总长度＜30%，系数为2；3.30%≤漏巡漏检长度占应巡应检管网总长度＜50%，系数为4；4.50%≤漏巡漏检长度占应巡应检管网总长度＜70%，系数为6；5.70%≤漏巡漏检长度占应巡应检管网总长度，系数为9。6.漏巡漏检2次，系数加1，每多1次，系数相应加1。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722ED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3EC79E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（一）两年度内多次漏巡漏检的，以漏巡漏检管网长度较长的为准。</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034843F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6CCA80B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C2358100</w:t>
            </w:r>
          </w:p>
        </w:tc>
      </w:tr>
      <w:tr w14:paraId="46DB97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6BEA1BAA">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35A1588D">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49D8E02F">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7D7C15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14:paraId="6CA420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81BE0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1.12小时≤3000户以上居民停水时间＜24小时，系数为0；2.24小时≤3000户以上居民停水时间＜48小时，系数为0.5；3.48小时≤3000户以上居民停水时间，系数为1；4.漏巡漏检2次，系数加1，每多1次，系数相应加1。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7ECA52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33BC1F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（一）造成3000户以上居民停水时间≥12小时，可视为严重后果。</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（二）两年度内多次漏巡漏检的，以漏巡漏检管网长度较长的为准。</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7A4984A8">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36860794">
            <w:pPr>
              <w:widowControl/>
              <w:jc w:val="left"/>
              <w:rPr>
                <w:rFonts w:hint="eastAsia" w:ascii="宋体" w:hAnsi="宋体" w:eastAsia="宋体" w:cs="宋体"/>
                <w:color w:val="auto"/>
                <w:kern w:val="0"/>
                <w:sz w:val="15"/>
                <w:szCs w:val="15"/>
                <w:highlight w:val="none"/>
              </w:rPr>
            </w:pPr>
          </w:p>
        </w:tc>
      </w:tr>
      <w:tr w14:paraId="5543B9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90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38696E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vMerge w:val="restart"/>
            <w:tcBorders>
              <w:top w:val="nil"/>
              <w:left w:val="single" w:color="auto" w:sz="4" w:space="0"/>
              <w:bottom w:val="single" w:color="auto" w:sz="4" w:space="0"/>
              <w:right w:val="single" w:color="auto" w:sz="4" w:space="0"/>
            </w:tcBorders>
            <w:noWrap w:val="0"/>
            <w:vAlign w:val="center"/>
          </w:tcPr>
          <w:p w14:paraId="7263CA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破坏或者损坏供水管网、雨水管网、污水管网、再生水管网及其附属设施</w:t>
            </w:r>
          </w:p>
        </w:tc>
        <w:tc>
          <w:tcPr>
            <w:tcW w:w="2981" w:type="dxa"/>
            <w:vMerge w:val="restart"/>
            <w:tcBorders>
              <w:top w:val="nil"/>
              <w:left w:val="single" w:color="auto" w:sz="4" w:space="0"/>
              <w:bottom w:val="single" w:color="auto" w:sz="4" w:space="0"/>
              <w:right w:val="single" w:color="auto" w:sz="4" w:space="0"/>
            </w:tcBorders>
            <w:noWrap w:val="0"/>
            <w:vAlign w:val="center"/>
          </w:tcPr>
          <w:p w14:paraId="290B3AC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处罚条款：第六十三条第二款，责令改正，恢复原状或者采取其他补救措施，处十万元以下罚款；造成严重后果的，处十万元以上三十万元以下罚款。</w:t>
            </w:r>
          </w:p>
        </w:tc>
        <w:tc>
          <w:tcPr>
            <w:tcW w:w="851" w:type="dxa"/>
            <w:tcBorders>
              <w:top w:val="nil"/>
              <w:left w:val="nil"/>
              <w:bottom w:val="single" w:color="auto" w:sz="4" w:space="0"/>
              <w:right w:val="single" w:color="auto" w:sz="4" w:space="0"/>
            </w:tcBorders>
            <w:noWrap w:val="0"/>
            <w:vAlign w:val="center"/>
          </w:tcPr>
          <w:p w14:paraId="42F4597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5B18A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2CDEF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对象为非主干管或小型附属设施（如支管、阀门井盖板）或管径＜DN200，系数为0；2.损坏对象为区域性附属设施（如雨水箅子、检查井）或DN200≤管径＜DN300，系数为2；3.损坏对象为关键设施（如泵站、污水处理设备）或DN300≤管径＜DN400，系数为4；4.损坏对象为城市级枢纽设施（如再生水调蓄池、污水处理厂进水口）或DN400≤管径＜DN500，系数为6；5.损坏对象为城市主干网或核心设施（如饮用水源地输水管、输水主干管）或DN500≤管径＜DN600，系数为8。6.DN600≤管径＜DN800，系数为9。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CD4C0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339FFF7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11302ED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59C78A1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C2358700</w:t>
            </w:r>
          </w:p>
        </w:tc>
      </w:tr>
      <w:tr w14:paraId="2C4123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90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0DF65D4C">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5482C114">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7783C7B9">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1FEF274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14:paraId="1CDB9D1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AB4726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 12小时≤3000户以上居民停水时间＜24小时或DN800≤管径＜DN1200，系数为0；2. 24小时≤3000户以上居民停水时间＜36小时或DN1200≤管径＜DN1400，系数为0.4；3. 36小时≤3000户以上居民停水时间＜48小时或DN1400≤管径＜DN1600，系数为0.8；4. 48小时≤3000户以上居民停水时间＜60小时或DN1600≤管径＜DN1800，系数为1.2；5. 60小时≤3000户以上居民停水时间＜72小时或DN1800≤管径＜DN2000，系数为1.6；6. 72小时≤3000户以上居民停水时间＜84小时或DN2000≤管径，系数为2；7.存在基准2.1.3规定情形的，系数按照相关规定确定（基准2.1.3.5不适用）。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53562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590601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存在以下情形之一的，可视为严重后果：1.造成3000户以上居民停水时间≥12小时；2.管径≥DN800。</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4A91ED55">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6A2D0FE1">
            <w:pPr>
              <w:widowControl/>
              <w:jc w:val="left"/>
              <w:rPr>
                <w:rFonts w:hint="eastAsia" w:ascii="宋体" w:hAnsi="宋体" w:eastAsia="宋体" w:cs="宋体"/>
                <w:color w:val="auto"/>
                <w:kern w:val="0"/>
                <w:sz w:val="15"/>
                <w:szCs w:val="15"/>
                <w:highlight w:val="none"/>
              </w:rPr>
            </w:pPr>
          </w:p>
        </w:tc>
      </w:tr>
      <w:tr w14:paraId="09FC0A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568112B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vMerge w:val="restart"/>
            <w:tcBorders>
              <w:top w:val="nil"/>
              <w:left w:val="single" w:color="auto" w:sz="4" w:space="0"/>
              <w:bottom w:val="single" w:color="auto" w:sz="4" w:space="0"/>
              <w:right w:val="single" w:color="auto" w:sz="4" w:space="0"/>
            </w:tcBorders>
            <w:noWrap w:val="0"/>
            <w:vAlign w:val="center"/>
          </w:tcPr>
          <w:p w14:paraId="79A706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供水单位、用水户擅自停止使用、拆除水计量设施或者破坏计量设施准确度</w:t>
            </w:r>
          </w:p>
        </w:tc>
        <w:tc>
          <w:tcPr>
            <w:tcW w:w="2981" w:type="dxa"/>
            <w:vMerge w:val="restart"/>
            <w:tcBorders>
              <w:top w:val="nil"/>
              <w:left w:val="single" w:color="auto" w:sz="4" w:space="0"/>
              <w:bottom w:val="single" w:color="auto" w:sz="4" w:space="0"/>
              <w:right w:val="single" w:color="auto" w:sz="4" w:space="0"/>
            </w:tcBorders>
            <w:noWrap w:val="0"/>
            <w:vAlign w:val="center"/>
          </w:tcPr>
          <w:p w14:paraId="725FFF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处罚条款：第六十九条，责令限期改正，对单位处五千元以上二万元以下罚款，对个人处五百元以上五千元以下罚款。</w:t>
            </w:r>
          </w:p>
        </w:tc>
        <w:tc>
          <w:tcPr>
            <w:tcW w:w="851" w:type="dxa"/>
            <w:tcBorders>
              <w:top w:val="nil"/>
              <w:left w:val="nil"/>
              <w:bottom w:val="single" w:color="auto" w:sz="4" w:space="0"/>
              <w:right w:val="single" w:color="auto" w:sz="4" w:space="0"/>
            </w:tcBorders>
            <w:noWrap w:val="0"/>
            <w:vAlign w:val="center"/>
          </w:tcPr>
          <w:p w14:paraId="4048DCE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51854D8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91B2B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1.产生用水量＜50立方米，系数为0；2.50立方米≤产生用水量＜100立方米，系数为1；3.100立方米≤产生用水量＜150立方米，系数为2；4.150立方米≤产生用水量或造成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CA4717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5B001A3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49EBFFA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082EA20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C2358900</w:t>
            </w:r>
          </w:p>
        </w:tc>
      </w:tr>
      <w:tr w14:paraId="249308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6"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3B14B984">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1282E279">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3917FB83">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018DE8C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3000E9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3804BE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1.产生用水量＜50立方米，系数为0；2.50立方米≤产生用水量＜100立方米，系数为2；3.100立方米≤产生用水量＜150立方米，系数为4；4.150立方米≤产生用水量＜250立方米，系数为6；5.250立方米≤产生用水量或造成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3069CF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1CF958E5">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171DCB01">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right w:val="single" w:color="auto" w:sz="4" w:space="0"/>
            </w:tcBorders>
            <w:noWrap w:val="0"/>
            <w:vAlign w:val="center"/>
          </w:tcPr>
          <w:p w14:paraId="3EA9FAFB">
            <w:pPr>
              <w:widowControl/>
              <w:jc w:val="left"/>
              <w:rPr>
                <w:rFonts w:hint="eastAsia" w:ascii="宋体" w:hAnsi="宋体" w:eastAsia="宋体" w:cs="宋体"/>
                <w:color w:val="auto"/>
                <w:kern w:val="0"/>
                <w:sz w:val="15"/>
                <w:szCs w:val="15"/>
                <w:highlight w:val="none"/>
              </w:rPr>
            </w:pPr>
          </w:p>
        </w:tc>
      </w:tr>
      <w:tr w14:paraId="507F91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70AE9149">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6FFE2738">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14:paraId="5510BA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处罚条款：第六十九条，责令限期改正，可以处二千元以下罚款。</w:t>
            </w:r>
          </w:p>
        </w:tc>
        <w:tc>
          <w:tcPr>
            <w:tcW w:w="851" w:type="dxa"/>
            <w:tcBorders>
              <w:top w:val="nil"/>
              <w:left w:val="nil"/>
              <w:bottom w:val="single" w:color="auto" w:sz="4" w:space="0"/>
              <w:right w:val="single" w:color="auto" w:sz="4" w:space="0"/>
            </w:tcBorders>
            <w:noWrap w:val="0"/>
            <w:vAlign w:val="center"/>
          </w:tcPr>
          <w:p w14:paraId="466B7BC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14:paraId="1B9032E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D81EE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1.产生用水量＜50立方米，系数为0；2.50立方米≤产生用水量＜100立方米，系数为1；3.100立方米≤产生用水量＜150立方米，系数为2；4.150立方米≤产生用水量或造成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AF53B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14:paraId="5E949D7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ign w:val="center"/>
          </w:tcPr>
          <w:p w14:paraId="7643422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continue"/>
            <w:tcBorders>
              <w:left w:val="single" w:color="auto" w:sz="4" w:space="0"/>
              <w:bottom w:val="single" w:color="auto" w:sz="4" w:space="0"/>
              <w:right w:val="single" w:color="auto" w:sz="4" w:space="0"/>
            </w:tcBorders>
            <w:noWrap/>
            <w:vAlign w:val="center"/>
          </w:tcPr>
          <w:p w14:paraId="5A073E52">
            <w:pPr>
              <w:widowControl/>
              <w:jc w:val="center"/>
              <w:rPr>
                <w:rFonts w:hint="eastAsia" w:ascii="宋体" w:hAnsi="宋体" w:eastAsia="宋体" w:cs="宋体"/>
                <w:color w:val="auto"/>
                <w:kern w:val="0"/>
                <w:sz w:val="15"/>
                <w:szCs w:val="15"/>
                <w:highlight w:val="none"/>
                <w:lang w:eastAsia="zh-CN"/>
              </w:rPr>
            </w:pPr>
          </w:p>
        </w:tc>
      </w:tr>
      <w:tr w14:paraId="1F1885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5BE910C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vMerge w:val="restart"/>
            <w:tcBorders>
              <w:top w:val="nil"/>
              <w:left w:val="single" w:color="auto" w:sz="4" w:space="0"/>
              <w:bottom w:val="single" w:color="auto" w:sz="4" w:space="0"/>
              <w:right w:val="single" w:color="auto" w:sz="4" w:space="0"/>
            </w:tcBorders>
            <w:noWrap w:val="0"/>
            <w:vAlign w:val="center"/>
          </w:tcPr>
          <w:p w14:paraId="354240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将雨水管网、污水管网、再生水管网混接</w:t>
            </w:r>
          </w:p>
        </w:tc>
        <w:tc>
          <w:tcPr>
            <w:tcW w:w="2981" w:type="dxa"/>
            <w:vMerge w:val="restart"/>
            <w:tcBorders>
              <w:top w:val="nil"/>
              <w:left w:val="single" w:color="auto" w:sz="4" w:space="0"/>
              <w:bottom w:val="single" w:color="auto" w:sz="4" w:space="0"/>
              <w:right w:val="single" w:color="auto" w:sz="4" w:space="0"/>
            </w:tcBorders>
            <w:noWrap w:val="0"/>
            <w:vAlign w:val="center"/>
          </w:tcPr>
          <w:p w14:paraId="04D7D32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处罚条款：第六十三条第一款第（三）项，责令停止违法行为，限期恢复原状或者采取其他补救措施并承担相关费用，对单位处五万元以上十万元以下罚款，对个人处一万元以上五万元以下罚款。</w:t>
            </w:r>
          </w:p>
        </w:tc>
        <w:tc>
          <w:tcPr>
            <w:tcW w:w="851" w:type="dxa"/>
            <w:tcBorders>
              <w:top w:val="nil"/>
              <w:left w:val="nil"/>
              <w:bottom w:val="single" w:color="auto" w:sz="4" w:space="0"/>
              <w:right w:val="single" w:color="auto" w:sz="4" w:space="0"/>
            </w:tcBorders>
            <w:noWrap w:val="0"/>
            <w:vAlign w:val="center"/>
          </w:tcPr>
          <w:p w14:paraId="3758424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6B9F347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A09AE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1.混接管网管径＜DN100，系数为0；2.DN100≤混接管网管径＜DN300，系数为0.5；3.DN300≤混接管网管径或造成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2615C9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013D05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ign w:val="center"/>
          </w:tcPr>
          <w:p w14:paraId="1CB6055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ign w:val="center"/>
          </w:tcPr>
          <w:p w14:paraId="103ED49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C2359400</w:t>
            </w:r>
          </w:p>
        </w:tc>
      </w:tr>
      <w:tr w14:paraId="56E1507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125EC1E8">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1977620D">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3D448B8E">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054E93E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7806448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EDDCA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1.混接管网管径＜DN100，系数为0；2.DN100≤混接管网管径＜DN300，系数为2；3.DN300≤混接管网管径或造成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FE1BB0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3471FDBC">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52786CD3">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493F46D5">
            <w:pPr>
              <w:widowControl/>
              <w:jc w:val="left"/>
              <w:rPr>
                <w:rFonts w:hint="eastAsia" w:ascii="宋体" w:hAnsi="宋体" w:eastAsia="宋体" w:cs="宋体"/>
                <w:color w:val="auto"/>
                <w:kern w:val="0"/>
                <w:sz w:val="15"/>
                <w:szCs w:val="15"/>
                <w:highlight w:val="none"/>
              </w:rPr>
            </w:pPr>
          </w:p>
        </w:tc>
      </w:tr>
      <w:tr w14:paraId="601CA1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83"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5E10FAF1">
            <w:pPr>
              <w:widowControl/>
              <w:jc w:val="center"/>
              <w:outlineLvl w:val="1"/>
              <w:rPr>
                <w:rFonts w:hint="eastAsia" w:ascii="宋体" w:hAnsi="宋体" w:eastAsia="宋体" w:cs="宋体"/>
                <w:color w:val="auto"/>
                <w:kern w:val="0"/>
                <w:szCs w:val="21"/>
                <w:highlight w:val="none"/>
              </w:rPr>
            </w:pPr>
            <w:bookmarkStart w:id="241" w:name="_Toc796356177"/>
            <w:bookmarkStart w:id="242" w:name="_Toc218468845"/>
            <w:r>
              <w:rPr>
                <w:rFonts w:hint="eastAsia" w:ascii="宋体" w:hAnsi="宋体" w:eastAsia="宋体" w:cs="宋体"/>
                <w:b/>
                <w:bCs/>
                <w:color w:val="auto"/>
                <w:kern w:val="0"/>
                <w:szCs w:val="21"/>
                <w:highlight w:val="none"/>
              </w:rPr>
              <w:t>《北京市物业管理条例》案由1项</w:t>
            </w:r>
            <w:bookmarkEnd w:id="241"/>
            <w:bookmarkEnd w:id="242"/>
          </w:p>
        </w:tc>
        <w:tc>
          <w:tcPr>
            <w:tcW w:w="3173" w:type="dxa"/>
            <w:gridSpan w:val="3"/>
            <w:tcBorders>
              <w:top w:val="nil"/>
              <w:left w:val="single" w:color="auto" w:sz="4" w:space="0"/>
              <w:bottom w:val="single" w:color="auto" w:sz="4" w:space="0"/>
              <w:right w:val="single" w:color="auto" w:sz="4" w:space="0"/>
            </w:tcBorders>
            <w:noWrap w:val="0"/>
            <w:vAlign w:val="center"/>
          </w:tcPr>
          <w:p w14:paraId="5B8722F8">
            <w:pPr>
              <w:widowControl/>
              <w:jc w:val="center"/>
              <w:outlineLvl w:val="1"/>
              <w:rPr>
                <w:rFonts w:hint="eastAsia" w:ascii="宋体" w:hAnsi="宋体" w:eastAsia="宋体" w:cs="宋体"/>
                <w:b/>
                <w:bCs/>
                <w:color w:val="auto"/>
                <w:kern w:val="0"/>
                <w:szCs w:val="21"/>
                <w:highlight w:val="none"/>
              </w:rPr>
            </w:pPr>
          </w:p>
        </w:tc>
      </w:tr>
      <w:tr w14:paraId="6517AA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7810E85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6484B5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擅自拆改供水、排水、再生水等管线</w:t>
            </w:r>
          </w:p>
        </w:tc>
        <w:tc>
          <w:tcPr>
            <w:tcW w:w="2981" w:type="dxa"/>
            <w:tcBorders>
              <w:top w:val="nil"/>
              <w:left w:val="nil"/>
              <w:bottom w:val="single" w:color="auto" w:sz="4" w:space="0"/>
              <w:right w:val="single" w:color="auto" w:sz="4" w:space="0"/>
            </w:tcBorders>
            <w:noWrap w:val="0"/>
            <w:vAlign w:val="center"/>
          </w:tcPr>
          <w:p w14:paraId="1D733F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违反条款：第七十八条第（六）项；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处罚条款：第九十八条第一款第（六）项，责令限期改正，处一万元以上三万元以下的罚款。</w:t>
            </w:r>
          </w:p>
        </w:tc>
        <w:tc>
          <w:tcPr>
            <w:tcW w:w="851" w:type="dxa"/>
            <w:tcBorders>
              <w:top w:val="nil"/>
              <w:left w:val="nil"/>
              <w:bottom w:val="single" w:color="auto" w:sz="4" w:space="0"/>
              <w:right w:val="single" w:color="auto" w:sz="4" w:space="0"/>
            </w:tcBorders>
            <w:noWrap w:val="0"/>
            <w:vAlign w:val="center"/>
          </w:tcPr>
          <w:p w14:paraId="131D612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2C1DF3D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5070D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拆改管网管径＜DN100或拆改管网长度＜10米，系数为0；2.DN100≤拆改管网管径＜DN300或10米≤拆改管网长度＜30米，系数为0.5；3.DN300≤拆改管网管径＜DN600或30米≤拆改管网长度＜60米，系数为1；4.DN600≤拆改管网管径＜DN1500或60米≤拆改管网长度＜150米，系数为1.5；5.DN1500≤拆改管网管径或150米≤拆改管网长度，系数为2。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8919A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528E68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2E3E02B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5E50EE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C2354600</w:t>
            </w:r>
          </w:p>
        </w:tc>
      </w:tr>
      <w:tr w14:paraId="5250BA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83" w:hRule="atLeast"/>
        </w:trPr>
        <w:tc>
          <w:tcPr>
            <w:tcW w:w="13283" w:type="dxa"/>
            <w:gridSpan w:val="11"/>
            <w:tcBorders>
              <w:top w:val="nil"/>
              <w:left w:val="single" w:color="auto" w:sz="4" w:space="0"/>
              <w:bottom w:val="single" w:color="auto" w:sz="4" w:space="0"/>
              <w:right w:val="single" w:color="auto" w:sz="4" w:space="0"/>
            </w:tcBorders>
            <w:noWrap/>
            <w:vAlign w:val="center"/>
          </w:tcPr>
          <w:p w14:paraId="6ADB028A">
            <w:pPr>
              <w:widowControl/>
              <w:jc w:val="center"/>
              <w:outlineLvl w:val="1"/>
              <w:rPr>
                <w:rFonts w:hint="eastAsia" w:ascii="宋体" w:hAnsi="宋体" w:eastAsia="宋体" w:cs="宋体"/>
                <w:color w:val="auto"/>
                <w:kern w:val="0"/>
                <w:szCs w:val="21"/>
                <w:highlight w:val="none"/>
              </w:rPr>
            </w:pPr>
            <w:bookmarkStart w:id="243" w:name="_Toc218468846"/>
            <w:bookmarkStart w:id="244" w:name="_Toc1968596229"/>
            <w:r>
              <w:rPr>
                <w:rFonts w:hint="eastAsia" w:ascii="宋体" w:hAnsi="宋体" w:eastAsia="宋体" w:cs="宋体"/>
                <w:b/>
                <w:bCs/>
                <w:color w:val="auto"/>
                <w:kern w:val="0"/>
                <w:szCs w:val="21"/>
                <w:highlight w:val="none"/>
              </w:rPr>
              <w:t>《北京市城市公共供水管理办法》案由7项</w:t>
            </w:r>
            <w:bookmarkEnd w:id="243"/>
            <w:bookmarkEnd w:id="244"/>
          </w:p>
        </w:tc>
        <w:tc>
          <w:tcPr>
            <w:tcW w:w="3173" w:type="dxa"/>
            <w:gridSpan w:val="3"/>
            <w:tcBorders>
              <w:top w:val="nil"/>
              <w:left w:val="single" w:color="auto" w:sz="4" w:space="0"/>
              <w:bottom w:val="single" w:color="auto" w:sz="4" w:space="0"/>
              <w:right w:val="single" w:color="auto" w:sz="4" w:space="0"/>
            </w:tcBorders>
            <w:noWrap/>
            <w:vAlign w:val="center"/>
          </w:tcPr>
          <w:p w14:paraId="35E2EFBB">
            <w:pPr>
              <w:widowControl/>
              <w:jc w:val="center"/>
              <w:outlineLvl w:val="1"/>
              <w:rPr>
                <w:rFonts w:hint="eastAsia" w:ascii="宋体" w:hAnsi="宋体" w:eastAsia="宋体" w:cs="宋体"/>
                <w:b/>
                <w:bCs/>
                <w:color w:val="auto"/>
                <w:kern w:val="0"/>
                <w:szCs w:val="21"/>
                <w:highlight w:val="none"/>
              </w:rPr>
            </w:pPr>
          </w:p>
        </w:tc>
      </w:tr>
      <w:tr w14:paraId="7D45D0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6E2753D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427BCD5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城市公共供水企业对公共供水设施不做定期检查、维护，造成公共供水设施损坏或者发生供水事故</w:t>
            </w:r>
          </w:p>
        </w:tc>
        <w:tc>
          <w:tcPr>
            <w:tcW w:w="2981" w:type="dxa"/>
            <w:tcBorders>
              <w:top w:val="nil"/>
              <w:left w:val="nil"/>
              <w:bottom w:val="single" w:color="auto" w:sz="4" w:space="0"/>
              <w:right w:val="single" w:color="auto" w:sz="4" w:space="0"/>
            </w:tcBorders>
            <w:noWrap w:val="0"/>
            <w:vAlign w:val="center"/>
          </w:tcPr>
          <w:p w14:paraId="09C45F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处罚条款：第十八条第一款第（二）项，处3000元以下罚款。</w:t>
            </w:r>
          </w:p>
        </w:tc>
        <w:tc>
          <w:tcPr>
            <w:tcW w:w="851" w:type="dxa"/>
            <w:tcBorders>
              <w:top w:val="nil"/>
              <w:left w:val="nil"/>
              <w:bottom w:val="single" w:color="auto" w:sz="4" w:space="0"/>
              <w:right w:val="single" w:color="auto" w:sz="4" w:space="0"/>
            </w:tcBorders>
            <w:noWrap w:val="0"/>
            <w:vAlign w:val="center"/>
          </w:tcPr>
          <w:p w14:paraId="61909D2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600 </w:t>
            </w:r>
          </w:p>
        </w:tc>
        <w:tc>
          <w:tcPr>
            <w:tcW w:w="840" w:type="dxa"/>
            <w:tcBorders>
              <w:top w:val="nil"/>
              <w:left w:val="nil"/>
              <w:bottom w:val="single" w:color="auto" w:sz="4" w:space="0"/>
              <w:right w:val="single" w:color="auto" w:sz="4" w:space="0"/>
            </w:tcBorders>
            <w:noWrap w:val="0"/>
            <w:vAlign w:val="center"/>
          </w:tcPr>
          <w:p w14:paraId="1673E99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D7A4A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设施损坏但未影响正常供水，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B6203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罚款金额=600×（1+情节系数）</w:t>
            </w:r>
          </w:p>
        </w:tc>
        <w:tc>
          <w:tcPr>
            <w:tcW w:w="2016" w:type="dxa"/>
            <w:tcBorders>
              <w:top w:val="nil"/>
              <w:left w:val="nil"/>
              <w:bottom w:val="single" w:color="auto" w:sz="4" w:space="0"/>
              <w:right w:val="single" w:color="auto" w:sz="4" w:space="0"/>
            </w:tcBorders>
            <w:noWrap w:val="0"/>
            <w:vAlign w:val="center"/>
          </w:tcPr>
          <w:p w14:paraId="27DA0C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（一）需要作出600元以下罚款决定的，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33E73FD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F62ED8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C2305000</w:t>
            </w:r>
          </w:p>
        </w:tc>
      </w:tr>
      <w:tr w14:paraId="128752D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ign w:val="center"/>
          </w:tcPr>
          <w:p w14:paraId="4C97E4E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535A7F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供水设施发生故障，影响正常供水，不及时抢修</w:t>
            </w:r>
          </w:p>
        </w:tc>
        <w:tc>
          <w:tcPr>
            <w:tcW w:w="2981" w:type="dxa"/>
            <w:tcBorders>
              <w:top w:val="nil"/>
              <w:left w:val="nil"/>
              <w:bottom w:val="single" w:color="auto" w:sz="4" w:space="0"/>
              <w:right w:val="single" w:color="auto" w:sz="4" w:space="0"/>
            </w:tcBorders>
            <w:noWrap w:val="0"/>
            <w:vAlign w:val="center"/>
          </w:tcPr>
          <w:p w14:paraId="7FC9982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处罚条款：第十八条第一款第（三）项，处5000元以下罚款。</w:t>
            </w:r>
          </w:p>
        </w:tc>
        <w:tc>
          <w:tcPr>
            <w:tcW w:w="851" w:type="dxa"/>
            <w:tcBorders>
              <w:top w:val="nil"/>
              <w:left w:val="nil"/>
              <w:bottom w:val="single" w:color="auto" w:sz="4" w:space="0"/>
              <w:right w:val="single" w:color="auto" w:sz="4" w:space="0"/>
            </w:tcBorders>
            <w:noWrap w:val="0"/>
            <w:vAlign w:val="center"/>
          </w:tcPr>
          <w:p w14:paraId="3754751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4A0B3AB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D6D79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影响小区＜1个（未整体影响）或影响居民户＜500户或停水时间＜2小时，系数为0；2.1个≤影响小区＜3个或500户≤影响居民户＜1000户或2小时≤停水时间＜12小时，系数为1；3.3个≤影响小区＜5个或1000户≤影响居民户＜3000户或12小时≤停水时间＜18小时，系数为2；4.5个≤影响小区＜10个或3000户≤影响居民户＜5000户或18小时≤停水时间＜24小时，系数为3。5.10个≤影响小区或5000户≤影响居民户或24小时≤停水时间或情节严重的，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63199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14:paraId="00B4F1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（一）供水设施发生故障导致出水水质连续三次检测不达标视为情节严重。拟作出停业整顿的，在作出处罚决定前，要邀请行业主管部门共同会商，并报相关人民政府批准。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7B543D7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B037EC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C2305100</w:t>
            </w:r>
          </w:p>
        </w:tc>
      </w:tr>
      <w:tr w14:paraId="1A6504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90" w:hRule="atLeast"/>
        </w:trPr>
        <w:tc>
          <w:tcPr>
            <w:tcW w:w="716" w:type="dxa"/>
            <w:gridSpan w:val="2"/>
            <w:tcBorders>
              <w:top w:val="nil"/>
              <w:left w:val="single" w:color="auto" w:sz="4" w:space="0"/>
              <w:bottom w:val="single" w:color="auto" w:sz="4" w:space="0"/>
              <w:right w:val="single" w:color="auto" w:sz="4" w:space="0"/>
            </w:tcBorders>
            <w:noWrap/>
            <w:vAlign w:val="center"/>
          </w:tcPr>
          <w:p w14:paraId="38ECBBE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6F6901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用水单位或居民利用公共供水设施转售用水</w:t>
            </w:r>
          </w:p>
        </w:tc>
        <w:tc>
          <w:tcPr>
            <w:tcW w:w="2981" w:type="dxa"/>
            <w:tcBorders>
              <w:top w:val="nil"/>
              <w:left w:val="nil"/>
              <w:bottom w:val="single" w:color="auto" w:sz="4" w:space="0"/>
              <w:right w:val="single" w:color="auto" w:sz="4" w:space="0"/>
            </w:tcBorders>
            <w:noWrap w:val="0"/>
            <w:vAlign w:val="center"/>
          </w:tcPr>
          <w:p w14:paraId="07BCF0B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处罚条款：第十九条第一款第（一）项，责令改正，处3000元以下罚款，情节严重的，可以依法停止供水。</w:t>
            </w:r>
          </w:p>
        </w:tc>
        <w:tc>
          <w:tcPr>
            <w:tcW w:w="851" w:type="dxa"/>
            <w:tcBorders>
              <w:top w:val="nil"/>
              <w:left w:val="nil"/>
              <w:bottom w:val="single" w:color="auto" w:sz="4" w:space="0"/>
              <w:right w:val="single" w:color="auto" w:sz="4" w:space="0"/>
            </w:tcBorders>
            <w:noWrap w:val="0"/>
            <w:vAlign w:val="center"/>
          </w:tcPr>
          <w:p w14:paraId="4B689F1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46C8222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9719F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转售用水量＜100立方米，系数为0；2.100立方米≤转售用水量＜200立方米，系数为0.5；3.200立方米≤转售用水量＜300立方米，系数为1；4.300立方米≤转售用水量＜400立方米，系数为1.5；5.400立方米≤转售用水量或情节严重的，系数为2。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E69FC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14:paraId="777AD1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情节严重：1.拒不改正且转售用水量＞1000立方米；2.经执法部门处罚后，一年度内再次发生同类型违法行为。拟作出停止供水的（限制生产经营），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03261BC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FE7044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C2305200</w:t>
            </w:r>
          </w:p>
        </w:tc>
      </w:tr>
      <w:tr w14:paraId="0AD9FD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1DE3FEA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3C2871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在埋设公共供水设施的地面上及两侧安全间距内挖坑、取土、植树、埋杆、倾倒废渣废液</w:t>
            </w:r>
          </w:p>
        </w:tc>
        <w:tc>
          <w:tcPr>
            <w:tcW w:w="2981" w:type="dxa"/>
            <w:tcBorders>
              <w:top w:val="nil"/>
              <w:left w:val="nil"/>
              <w:bottom w:val="single" w:color="auto" w:sz="4" w:space="0"/>
              <w:right w:val="single" w:color="auto" w:sz="4" w:space="0"/>
            </w:tcBorders>
            <w:noWrap w:val="0"/>
            <w:vAlign w:val="center"/>
          </w:tcPr>
          <w:p w14:paraId="411BC2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处罚条款：第十九条第（五）项，责令改正，恢复原状，处责任单位3000元以下罚款。</w:t>
            </w:r>
          </w:p>
        </w:tc>
        <w:tc>
          <w:tcPr>
            <w:tcW w:w="851" w:type="dxa"/>
            <w:tcBorders>
              <w:top w:val="nil"/>
              <w:left w:val="nil"/>
              <w:bottom w:val="single" w:color="auto" w:sz="4" w:space="0"/>
              <w:right w:val="single" w:color="auto" w:sz="4" w:space="0"/>
            </w:tcBorders>
            <w:noWrap w:val="0"/>
            <w:vAlign w:val="center"/>
          </w:tcPr>
          <w:p w14:paraId="15C7D66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73FA1E2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E64387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1.未对公共供水设施造成实际影响的，系数为0；2.对公共供水设施造成实际影响的，系数为2。3.存在基准2.1.3规定情形的，系数按照相关规定确定（基准2.1.3.5不适用）。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BBE97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14:paraId="15DFF3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086F694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2D8DF0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C2305900</w:t>
            </w:r>
          </w:p>
        </w:tc>
      </w:tr>
      <w:tr w14:paraId="2CC974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3FEA6E6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14:paraId="2D427E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在埋设公共供水设施的地面上及两侧安全间距内修建与公共供水无关的建筑物、构筑物或堆物堆料</w:t>
            </w:r>
          </w:p>
        </w:tc>
        <w:tc>
          <w:tcPr>
            <w:tcW w:w="2981" w:type="dxa"/>
            <w:tcBorders>
              <w:top w:val="nil"/>
              <w:left w:val="nil"/>
              <w:bottom w:val="single" w:color="auto" w:sz="4" w:space="0"/>
              <w:right w:val="single" w:color="auto" w:sz="4" w:space="0"/>
            </w:tcBorders>
            <w:noWrap w:val="0"/>
            <w:vAlign w:val="center"/>
          </w:tcPr>
          <w:p w14:paraId="5E0842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处罚条款：第十九条第（六）项，责令限期拆除或者清除，处责任单位5000元以下罚款。</w:t>
            </w:r>
          </w:p>
        </w:tc>
        <w:tc>
          <w:tcPr>
            <w:tcW w:w="851" w:type="dxa"/>
            <w:tcBorders>
              <w:top w:val="nil"/>
              <w:left w:val="nil"/>
              <w:bottom w:val="single" w:color="auto" w:sz="4" w:space="0"/>
              <w:right w:val="single" w:color="auto" w:sz="4" w:space="0"/>
            </w:tcBorders>
            <w:noWrap w:val="0"/>
            <w:vAlign w:val="center"/>
          </w:tcPr>
          <w:p w14:paraId="52099DF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14:paraId="4C3F4F8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97293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1.占压管径＜DN600或除水源井外的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供水设施及其安全范围，系数为0；2.占压管径≥DN600或水源井及其安全范围，系数为0.5；3.堆放易燃易爆等危险物品，系数为1；4.造成严重供水事故，系数为1.5。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C03A8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2016" w:type="dxa"/>
            <w:tcBorders>
              <w:top w:val="nil"/>
              <w:left w:val="nil"/>
              <w:bottom w:val="single" w:color="auto" w:sz="4" w:space="0"/>
              <w:right w:val="single" w:color="auto" w:sz="4" w:space="0"/>
            </w:tcBorders>
            <w:noWrap w:val="0"/>
            <w:vAlign w:val="center"/>
          </w:tcPr>
          <w:p w14:paraId="090EF7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22D2189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4F6F24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C2306000</w:t>
            </w:r>
          </w:p>
        </w:tc>
      </w:tr>
      <w:tr w14:paraId="2BD21A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6F9C31B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14:paraId="358547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将自备水源管道与公共供水设施接通或者在公共供水管网上直抽加压</w:t>
            </w:r>
          </w:p>
        </w:tc>
        <w:tc>
          <w:tcPr>
            <w:tcW w:w="2981" w:type="dxa"/>
            <w:tcBorders>
              <w:top w:val="nil"/>
              <w:left w:val="nil"/>
              <w:bottom w:val="single" w:color="auto" w:sz="4" w:space="0"/>
              <w:right w:val="single" w:color="auto" w:sz="4" w:space="0"/>
            </w:tcBorders>
            <w:noWrap w:val="0"/>
            <w:vAlign w:val="center"/>
          </w:tcPr>
          <w:p w14:paraId="194F0D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违反条款：第十七条第（四）项、第（五）项；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处罚条款：第十九条第一款第（三）项，责令拆除，处责任单位3000元以下罚款。</w:t>
            </w:r>
          </w:p>
        </w:tc>
        <w:tc>
          <w:tcPr>
            <w:tcW w:w="851" w:type="dxa"/>
            <w:tcBorders>
              <w:top w:val="nil"/>
              <w:left w:val="nil"/>
              <w:bottom w:val="single" w:color="auto" w:sz="4" w:space="0"/>
              <w:right w:val="single" w:color="auto" w:sz="4" w:space="0"/>
            </w:tcBorders>
            <w:noWrap w:val="0"/>
            <w:vAlign w:val="center"/>
          </w:tcPr>
          <w:p w14:paraId="2431CF7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093346E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6E9EE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管网管径＜DN100，系数为0；2.DN100≤管网管径＜DN300，系数为0.5；3.DN300≤管网管径＜DN600，系数为1；4.DN600≤管网管径＜DN1500，系数为1.5；5.DN1500≤管网管径，系数为2。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27C6F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14:paraId="34EC32B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0AB8A01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2CB74F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C2345800</w:t>
            </w:r>
          </w:p>
        </w:tc>
      </w:tr>
      <w:tr w14:paraId="6E75B0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5456C81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14:paraId="4CEB06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擅自接装、改装公共供水设施或者在水表井安装水管管线、穿插其他管道</w:t>
            </w:r>
          </w:p>
        </w:tc>
        <w:tc>
          <w:tcPr>
            <w:tcW w:w="2981" w:type="dxa"/>
            <w:tcBorders>
              <w:top w:val="nil"/>
              <w:left w:val="nil"/>
              <w:bottom w:val="single" w:color="auto" w:sz="4" w:space="0"/>
              <w:right w:val="single" w:color="auto" w:sz="4" w:space="0"/>
            </w:tcBorders>
            <w:noWrap w:val="0"/>
            <w:vAlign w:val="center"/>
          </w:tcPr>
          <w:p w14:paraId="7533E0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违反条款：第十七条第（一）项、第（二）项；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处罚条款：第十九条第一款第（二）项，责令拆除，处责任单位3000元以下罚款。</w:t>
            </w:r>
          </w:p>
        </w:tc>
        <w:tc>
          <w:tcPr>
            <w:tcW w:w="851" w:type="dxa"/>
            <w:tcBorders>
              <w:top w:val="nil"/>
              <w:left w:val="nil"/>
              <w:bottom w:val="single" w:color="auto" w:sz="4" w:space="0"/>
              <w:right w:val="single" w:color="auto" w:sz="4" w:space="0"/>
            </w:tcBorders>
            <w:noWrap w:val="0"/>
            <w:vAlign w:val="center"/>
          </w:tcPr>
          <w:p w14:paraId="434EEF1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1EC8ABD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1CE35A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1.接装、改装公共供水设施1个或管网管径＜DN100，系数为0；2.接装、改装公共供水设施</w:t>
            </w:r>
            <w:r>
              <w:rPr>
                <w:rFonts w:hint="eastAsia" w:ascii="宋体" w:hAnsi="宋体" w:eastAsia="宋体" w:cs="宋体"/>
                <w:color w:val="auto"/>
                <w:kern w:val="0"/>
                <w:sz w:val="15"/>
                <w:szCs w:val="15"/>
                <w:highlight w:val="none"/>
                <w:lang w:val="en-US" w:eastAsia="zh-CN"/>
              </w:rPr>
              <w:t>2-3</w:t>
            </w:r>
            <w:r>
              <w:rPr>
                <w:rFonts w:hint="eastAsia" w:ascii="宋体" w:hAnsi="宋体" w:eastAsia="宋体" w:cs="宋体"/>
                <w:color w:val="auto"/>
                <w:kern w:val="0"/>
                <w:sz w:val="15"/>
                <w:szCs w:val="15"/>
                <w:highlight w:val="none"/>
              </w:rPr>
              <w:t>个或DN100≤管网管径＜DN300，系数为0.5；3.接装、改装公共供水设施4-6个或DN300≤管网管径＜DN600，系数为1；4.接装、改装公共供水设施7-9个或DN600≤管网管径＜DN1500，系数为1.5；5.接装、改装公共供水设施10个以上或DN1500≤混接管网管径，系数为2。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701DB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14:paraId="616B05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0A10E87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1350F4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C2347400</w:t>
            </w:r>
          </w:p>
        </w:tc>
      </w:tr>
      <w:tr w14:paraId="34E42A3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 w:hRule="atLeast"/>
        </w:trPr>
        <w:tc>
          <w:tcPr>
            <w:tcW w:w="13283" w:type="dxa"/>
            <w:gridSpan w:val="11"/>
            <w:tcBorders>
              <w:top w:val="nil"/>
              <w:left w:val="single" w:color="auto" w:sz="4" w:space="0"/>
              <w:bottom w:val="single" w:color="auto" w:sz="4" w:space="0"/>
              <w:right w:val="single" w:color="auto" w:sz="4" w:space="0"/>
            </w:tcBorders>
            <w:noWrap/>
            <w:vAlign w:val="center"/>
          </w:tcPr>
          <w:p w14:paraId="46D2A2F5">
            <w:pPr>
              <w:widowControl/>
              <w:jc w:val="center"/>
              <w:outlineLvl w:val="1"/>
              <w:rPr>
                <w:rFonts w:hint="eastAsia" w:ascii="宋体" w:hAnsi="宋体" w:eastAsia="宋体" w:cs="宋体"/>
                <w:color w:val="auto"/>
                <w:kern w:val="0"/>
                <w:szCs w:val="21"/>
                <w:highlight w:val="none"/>
              </w:rPr>
            </w:pPr>
            <w:bookmarkStart w:id="245" w:name="_Toc218468847"/>
            <w:bookmarkStart w:id="246" w:name="_Toc179586356"/>
            <w:r>
              <w:rPr>
                <w:rFonts w:hint="eastAsia" w:ascii="宋体" w:hAnsi="宋体" w:eastAsia="宋体" w:cs="宋体"/>
                <w:b/>
                <w:bCs/>
                <w:color w:val="auto"/>
                <w:kern w:val="0"/>
                <w:szCs w:val="21"/>
                <w:highlight w:val="none"/>
              </w:rPr>
              <w:t>《北京市自建设施供水管理办法》《城市供水条例》案由3项</w:t>
            </w:r>
            <w:bookmarkEnd w:id="245"/>
            <w:bookmarkEnd w:id="246"/>
          </w:p>
        </w:tc>
        <w:tc>
          <w:tcPr>
            <w:tcW w:w="3173" w:type="dxa"/>
            <w:gridSpan w:val="3"/>
            <w:tcBorders>
              <w:top w:val="nil"/>
              <w:left w:val="single" w:color="auto" w:sz="4" w:space="0"/>
              <w:bottom w:val="single" w:color="auto" w:sz="4" w:space="0"/>
              <w:right w:val="single" w:color="auto" w:sz="4" w:space="0"/>
            </w:tcBorders>
            <w:noWrap/>
            <w:vAlign w:val="center"/>
          </w:tcPr>
          <w:p w14:paraId="03910B67">
            <w:pPr>
              <w:widowControl/>
              <w:jc w:val="center"/>
              <w:outlineLvl w:val="1"/>
              <w:rPr>
                <w:rFonts w:hint="eastAsia" w:ascii="宋体" w:hAnsi="宋体" w:eastAsia="宋体" w:cs="宋体"/>
                <w:b/>
                <w:bCs/>
                <w:color w:val="auto"/>
                <w:kern w:val="0"/>
                <w:szCs w:val="21"/>
                <w:highlight w:val="none"/>
              </w:rPr>
            </w:pPr>
          </w:p>
        </w:tc>
      </w:tr>
      <w:tr w14:paraId="07E901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ign w:val="center"/>
          </w:tcPr>
          <w:p w14:paraId="2F35A19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1EF733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自建设施供水单位未按照规定检查、维护自建供水设施，未及时排除供水设施故障</w:t>
            </w:r>
          </w:p>
        </w:tc>
        <w:tc>
          <w:tcPr>
            <w:tcW w:w="2981" w:type="dxa"/>
            <w:tcBorders>
              <w:top w:val="nil"/>
              <w:left w:val="nil"/>
              <w:bottom w:val="single" w:color="auto" w:sz="4" w:space="0"/>
              <w:right w:val="single" w:color="auto" w:sz="4" w:space="0"/>
            </w:tcBorders>
            <w:noWrap w:val="0"/>
            <w:vAlign w:val="center"/>
          </w:tcPr>
          <w:p w14:paraId="0C1093A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违反条款：《办法》第十一条第一款第（一）项；《条例》第二十七条；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处罚条款：《办法》第二十条第一款第（三）项，责令限期改正，并可处1000元以上5000元以下的罚款；《条例》第三十三条第一款第（三）项 ，责令改正，可以处以罚款；情节严重的，报经县级以上人民政府批准，可以责令停业整顿。</w:t>
            </w:r>
          </w:p>
        </w:tc>
        <w:tc>
          <w:tcPr>
            <w:tcW w:w="851" w:type="dxa"/>
            <w:tcBorders>
              <w:top w:val="nil"/>
              <w:left w:val="nil"/>
              <w:bottom w:val="single" w:color="auto" w:sz="4" w:space="0"/>
              <w:right w:val="single" w:color="auto" w:sz="4" w:space="0"/>
            </w:tcBorders>
            <w:noWrap w:val="0"/>
            <w:vAlign w:val="center"/>
          </w:tcPr>
          <w:p w14:paraId="4F7FE21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0F3FF3A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445713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影响，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3618C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14:paraId="169BD67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经执法部门从重处罚后，一年度内再次发生同类型违法行为视为情节严重。拟作出停业整顿的，在作出处罚决定前，要邀请行业主管部门共同会商，并报相关人民政府批准。</w:t>
            </w:r>
          </w:p>
        </w:tc>
        <w:tc>
          <w:tcPr>
            <w:tcW w:w="1304" w:type="dxa"/>
            <w:gridSpan w:val="2"/>
            <w:tcBorders>
              <w:top w:val="nil"/>
              <w:left w:val="nil"/>
              <w:bottom w:val="single" w:color="auto" w:sz="4" w:space="0"/>
              <w:right w:val="single" w:color="auto" w:sz="4" w:space="0"/>
            </w:tcBorders>
            <w:noWrap w:val="0"/>
            <w:vAlign w:val="center"/>
          </w:tcPr>
          <w:p w14:paraId="0420317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A5B1D5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C2305000</w:t>
            </w:r>
          </w:p>
        </w:tc>
      </w:tr>
      <w:tr w14:paraId="36C06E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ign w:val="center"/>
          </w:tcPr>
          <w:p w14:paraId="6185739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612120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擅自停止供水或者未履行停水通知义务</w:t>
            </w:r>
          </w:p>
        </w:tc>
        <w:tc>
          <w:tcPr>
            <w:tcW w:w="2981" w:type="dxa"/>
            <w:tcBorders>
              <w:top w:val="nil"/>
              <w:left w:val="nil"/>
              <w:bottom w:val="single" w:color="auto" w:sz="4" w:space="0"/>
              <w:right w:val="single" w:color="auto" w:sz="4" w:space="0"/>
            </w:tcBorders>
            <w:noWrap w:val="0"/>
            <w:vAlign w:val="center"/>
          </w:tcPr>
          <w:p w14:paraId="08E48A2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违反条款：《办法》第十三条；《条例》第二十二条；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条第一款第（二）项，责令限期改正，并可处1000元以上5000元以下的罚款；《条例》第三十三条第一款第（二）项，责令改正，可以处以罚款；情节严重的，报经县级以上人民政府批准，可以责令停业整顿。</w:t>
            </w:r>
          </w:p>
        </w:tc>
        <w:tc>
          <w:tcPr>
            <w:tcW w:w="851" w:type="dxa"/>
            <w:tcBorders>
              <w:top w:val="nil"/>
              <w:left w:val="nil"/>
              <w:bottom w:val="single" w:color="auto" w:sz="4" w:space="0"/>
              <w:right w:val="single" w:color="auto" w:sz="4" w:space="0"/>
            </w:tcBorders>
            <w:noWrap w:val="0"/>
            <w:vAlign w:val="center"/>
          </w:tcPr>
          <w:p w14:paraId="3C2B9CD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59AE6B3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DB2C6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水＜2个小时或影响居民户＜500户，系数为0；2.2个小时≤擅自停水＜4个小时或500户≤影响居民户＜1000户，系数为1；3.4个小时≤擅自停水＜6个小时或1000户≤影响居民户＜3000户，系数为2；4.6个小时≤擅自停水＜8个小时或3000户≤影响居民户＜5000户，系数为3；5.8个小时≤擅自停水或5000户≤影响居民户或情节严重的，系数为4。6.未发布任何停水通告的，以上系数加2。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5C35E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14:paraId="516C817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经执法部门从重处罚后，一年度内再次发生同类型违法行为视为情节严重。拟作出停业整顿的，在作出处罚决定前，要邀请行业主管部门共同会商，并报相关人民政府批准。</w:t>
            </w:r>
          </w:p>
        </w:tc>
        <w:tc>
          <w:tcPr>
            <w:tcW w:w="1304" w:type="dxa"/>
            <w:gridSpan w:val="2"/>
            <w:tcBorders>
              <w:top w:val="nil"/>
              <w:left w:val="nil"/>
              <w:bottom w:val="single" w:color="auto" w:sz="4" w:space="0"/>
              <w:right w:val="single" w:color="auto" w:sz="4" w:space="0"/>
            </w:tcBorders>
            <w:noWrap w:val="0"/>
            <w:vAlign w:val="center"/>
          </w:tcPr>
          <w:p w14:paraId="44FD902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9DD6A7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C2306100</w:t>
            </w:r>
          </w:p>
        </w:tc>
      </w:tr>
      <w:tr w14:paraId="77BA3E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00" w:hRule="atLeast"/>
        </w:trPr>
        <w:tc>
          <w:tcPr>
            <w:tcW w:w="716" w:type="dxa"/>
            <w:gridSpan w:val="2"/>
            <w:tcBorders>
              <w:top w:val="nil"/>
              <w:left w:val="single" w:color="auto" w:sz="4" w:space="0"/>
              <w:bottom w:val="single" w:color="auto" w:sz="4" w:space="0"/>
              <w:right w:val="single" w:color="auto" w:sz="4" w:space="0"/>
            </w:tcBorders>
            <w:noWrap/>
            <w:vAlign w:val="center"/>
          </w:tcPr>
          <w:p w14:paraId="546EE85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557C43B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未经自建设施供水单位同意擅自拆除、改装、迁移或者毁坏向周边单位、居民供水的自建供水设施</w:t>
            </w:r>
          </w:p>
        </w:tc>
        <w:tc>
          <w:tcPr>
            <w:tcW w:w="2981" w:type="dxa"/>
            <w:tcBorders>
              <w:top w:val="nil"/>
              <w:left w:val="nil"/>
              <w:bottom w:val="single" w:color="auto" w:sz="4" w:space="0"/>
              <w:right w:val="single" w:color="auto" w:sz="4" w:space="0"/>
            </w:tcBorders>
            <w:noWrap w:val="0"/>
            <w:vAlign w:val="center"/>
          </w:tcPr>
          <w:p w14:paraId="3EC59E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处罚条款：《办法》第二十一条，可处1000元以上5000元以下的罚款。</w:t>
            </w:r>
          </w:p>
        </w:tc>
        <w:tc>
          <w:tcPr>
            <w:tcW w:w="851" w:type="dxa"/>
            <w:tcBorders>
              <w:top w:val="nil"/>
              <w:left w:val="nil"/>
              <w:bottom w:val="single" w:color="auto" w:sz="4" w:space="0"/>
              <w:right w:val="single" w:color="auto" w:sz="4" w:space="0"/>
            </w:tcBorders>
            <w:noWrap w:val="0"/>
            <w:vAlign w:val="center"/>
          </w:tcPr>
          <w:p w14:paraId="4418FA3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0BD53C8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B63DF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供水异常，仅存在设施表面问题，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或情节严重的，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C91BE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14:paraId="46C9B77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76A7B5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DFBBB2A">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C2307000</w:t>
            </w:r>
          </w:p>
        </w:tc>
      </w:tr>
      <w:tr w14:paraId="61F55F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7" w:hRule="atLeast"/>
        </w:trPr>
        <w:tc>
          <w:tcPr>
            <w:tcW w:w="13283" w:type="dxa"/>
            <w:gridSpan w:val="11"/>
            <w:tcBorders>
              <w:top w:val="nil"/>
              <w:left w:val="single" w:color="auto" w:sz="4" w:space="0"/>
              <w:bottom w:val="single" w:color="auto" w:sz="4" w:space="0"/>
              <w:right w:val="single" w:color="auto" w:sz="4" w:space="0"/>
            </w:tcBorders>
            <w:noWrap/>
            <w:vAlign w:val="center"/>
          </w:tcPr>
          <w:p w14:paraId="06466E18">
            <w:pPr>
              <w:widowControl/>
              <w:jc w:val="center"/>
              <w:outlineLvl w:val="0"/>
              <w:rPr>
                <w:rFonts w:ascii="Times New Roman" w:hAnsi="Times New Roman" w:eastAsia="宋体" w:cs="Times New Roman"/>
                <w:color w:val="auto"/>
                <w:kern w:val="0"/>
                <w:sz w:val="28"/>
                <w:szCs w:val="28"/>
                <w:highlight w:val="none"/>
              </w:rPr>
            </w:pPr>
            <w:bookmarkStart w:id="247" w:name="_Toc1153934318"/>
            <w:bookmarkStart w:id="248" w:name="_Toc218468848"/>
            <w:r>
              <w:rPr>
                <w:rFonts w:hint="eastAsia" w:ascii="黑体" w:hAnsi="黑体" w:eastAsia="黑体" w:cs="黑体"/>
                <w:color w:val="auto"/>
                <w:kern w:val="0"/>
                <w:sz w:val="28"/>
                <w:szCs w:val="28"/>
                <w:highlight w:val="none"/>
              </w:rPr>
              <w:t>水环境管理方面</w:t>
            </w:r>
            <w:bookmarkEnd w:id="247"/>
            <w:bookmarkEnd w:id="248"/>
          </w:p>
        </w:tc>
        <w:tc>
          <w:tcPr>
            <w:tcW w:w="3173" w:type="dxa"/>
            <w:gridSpan w:val="3"/>
            <w:tcBorders>
              <w:top w:val="nil"/>
              <w:left w:val="single" w:color="auto" w:sz="4" w:space="0"/>
              <w:bottom w:val="single" w:color="auto" w:sz="4" w:space="0"/>
              <w:right w:val="single" w:color="auto" w:sz="4" w:space="0"/>
            </w:tcBorders>
            <w:noWrap/>
            <w:vAlign w:val="center"/>
          </w:tcPr>
          <w:p w14:paraId="7099DFA6">
            <w:pPr>
              <w:widowControl/>
              <w:jc w:val="center"/>
              <w:outlineLvl w:val="0"/>
              <w:rPr>
                <w:rFonts w:hint="eastAsia" w:ascii="黑体" w:hAnsi="黑体" w:eastAsia="黑体" w:cs="黑体"/>
                <w:color w:val="auto"/>
                <w:kern w:val="0"/>
                <w:sz w:val="28"/>
                <w:szCs w:val="28"/>
                <w:highlight w:val="none"/>
              </w:rPr>
            </w:pPr>
          </w:p>
        </w:tc>
      </w:tr>
      <w:tr w14:paraId="736984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ign w:val="center"/>
          </w:tcPr>
          <w:p w14:paraId="354AB9C4">
            <w:pPr>
              <w:widowControl/>
              <w:jc w:val="center"/>
              <w:outlineLvl w:val="1"/>
              <w:rPr>
                <w:rFonts w:hint="eastAsia" w:ascii="宋体" w:hAnsi="宋体" w:eastAsia="宋体" w:cs="宋体"/>
                <w:color w:val="auto"/>
                <w:kern w:val="0"/>
                <w:szCs w:val="21"/>
                <w:highlight w:val="none"/>
              </w:rPr>
            </w:pPr>
            <w:bookmarkStart w:id="249" w:name="_Toc57819779"/>
            <w:bookmarkStart w:id="250" w:name="_Toc218468849"/>
            <w:r>
              <w:rPr>
                <w:rFonts w:hint="eastAsia" w:ascii="宋体" w:hAnsi="宋体" w:eastAsia="宋体" w:cs="宋体"/>
                <w:b/>
                <w:bCs/>
                <w:color w:val="auto"/>
                <w:kern w:val="0"/>
                <w:szCs w:val="21"/>
                <w:highlight w:val="none"/>
              </w:rPr>
              <w:t>《中华人民共和国防洪法》《中华人民共和国水法》《北京市河湖保护管理条例》案由2项</w:t>
            </w:r>
            <w:bookmarkEnd w:id="249"/>
            <w:bookmarkEnd w:id="250"/>
          </w:p>
        </w:tc>
        <w:tc>
          <w:tcPr>
            <w:tcW w:w="3173" w:type="dxa"/>
            <w:gridSpan w:val="3"/>
            <w:tcBorders>
              <w:top w:val="nil"/>
              <w:left w:val="single" w:color="auto" w:sz="4" w:space="0"/>
              <w:bottom w:val="single" w:color="auto" w:sz="4" w:space="0"/>
              <w:right w:val="single" w:color="auto" w:sz="4" w:space="0"/>
            </w:tcBorders>
            <w:noWrap/>
            <w:vAlign w:val="center"/>
          </w:tcPr>
          <w:p w14:paraId="1B384F5D">
            <w:pPr>
              <w:widowControl/>
              <w:jc w:val="center"/>
              <w:outlineLvl w:val="1"/>
              <w:rPr>
                <w:rFonts w:hint="eastAsia" w:ascii="宋体" w:hAnsi="宋体" w:eastAsia="宋体" w:cs="宋体"/>
                <w:b/>
                <w:bCs/>
                <w:color w:val="auto"/>
                <w:kern w:val="0"/>
                <w:szCs w:val="21"/>
                <w:highlight w:val="none"/>
              </w:rPr>
            </w:pPr>
          </w:p>
        </w:tc>
      </w:tr>
      <w:tr w14:paraId="7F5F4B5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4DA516B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nil"/>
              <w:bottom w:val="single" w:color="auto" w:sz="4" w:space="0"/>
              <w:right w:val="single" w:color="auto" w:sz="4" w:space="0"/>
            </w:tcBorders>
            <w:noWrap w:val="0"/>
            <w:vAlign w:val="center"/>
          </w:tcPr>
          <w:p w14:paraId="6965BCF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在河道、湖泊管理范围内倾倒垃圾、渣土从事影响河势稳定、危害河岸堤防安全和其他妨碍河道行洪的活动</w:t>
            </w:r>
          </w:p>
        </w:tc>
        <w:tc>
          <w:tcPr>
            <w:tcW w:w="2981" w:type="dxa"/>
            <w:vMerge w:val="restart"/>
            <w:tcBorders>
              <w:top w:val="nil"/>
              <w:left w:val="nil"/>
              <w:bottom w:val="single" w:color="auto" w:sz="4" w:space="0"/>
              <w:right w:val="single" w:color="auto" w:sz="4" w:space="0"/>
            </w:tcBorders>
            <w:noWrap w:val="0"/>
            <w:vAlign w:val="center"/>
          </w:tcPr>
          <w:p w14:paraId="10C2B0D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违反条款：《防洪法》第二十二条第二款；《条例》第十九条第一款第（一）项、第（三）项；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防洪法》第五十五条第一款第（二）项，责令停止违法行为，排除阻碍或者采取其他补救措施，可以处五万元以下的罚款；《条例》第三十八条，有第（一）项规定行为的，处一万元以上五万元以下罚款；有其他项规定行为的，可以处五万元以下罚款，有违法所得的，没收违法所得。</w:t>
            </w:r>
          </w:p>
        </w:tc>
        <w:tc>
          <w:tcPr>
            <w:tcW w:w="851" w:type="dxa"/>
            <w:tcBorders>
              <w:top w:val="nil"/>
              <w:left w:val="nil"/>
              <w:bottom w:val="single" w:color="auto" w:sz="4" w:space="0"/>
              <w:right w:val="single" w:color="auto" w:sz="4" w:space="0"/>
            </w:tcBorders>
            <w:noWrap w:val="0"/>
            <w:vAlign w:val="center"/>
          </w:tcPr>
          <w:p w14:paraId="20A9C7D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3DA0B7E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DF686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倾倒垃圾、渣土倾倒体积＜20立方米，系数为0；2.20立方米≤倾倒垃圾、渣土倾倒体积＜50立方米，系数为2；3.50立方米≤倾倒垃圾、渣土倾倒体积＜100立方米，系数为4；4.100立方米≤倾倒垃圾、渣土倾倒体积＜200立方米，系数为6；5.200立方米≤倾倒垃圾、渣土倾倒体积，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9C11A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30B3A0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restart"/>
            <w:tcBorders>
              <w:top w:val="nil"/>
              <w:left w:val="nil"/>
              <w:right w:val="single" w:color="auto" w:sz="4" w:space="0"/>
            </w:tcBorders>
            <w:noWrap w:val="0"/>
            <w:vAlign w:val="center"/>
          </w:tcPr>
          <w:p w14:paraId="6E07B9F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vMerge w:val="restart"/>
            <w:tcBorders>
              <w:top w:val="nil"/>
              <w:left w:val="nil"/>
              <w:right w:val="single" w:color="auto" w:sz="4" w:space="0"/>
            </w:tcBorders>
            <w:noWrap w:val="0"/>
            <w:vAlign w:val="center"/>
          </w:tcPr>
          <w:p w14:paraId="31EE621B">
            <w:pPr>
              <w:widowControl/>
              <w:jc w:val="center"/>
              <w:rPr>
                <w:rFonts w:hint="eastAsia" w:ascii="宋体" w:hAnsi="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C2349900</w:t>
            </w:r>
          </w:p>
        </w:tc>
      </w:tr>
      <w:tr w14:paraId="03766F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223" w:hRule="atLeast"/>
        </w:trPr>
        <w:tc>
          <w:tcPr>
            <w:tcW w:w="716" w:type="dxa"/>
            <w:gridSpan w:val="2"/>
            <w:vMerge w:val="continue"/>
            <w:tcBorders>
              <w:top w:val="nil"/>
              <w:left w:val="single" w:color="auto" w:sz="4" w:space="0"/>
              <w:bottom w:val="single" w:color="auto" w:sz="4" w:space="0"/>
              <w:right w:val="single" w:color="auto" w:sz="4" w:space="0"/>
            </w:tcBorders>
            <w:noWrap/>
            <w:vAlign w:val="center"/>
          </w:tcPr>
          <w:p w14:paraId="40A29DFF">
            <w:pPr>
              <w:widowControl/>
              <w:jc w:val="center"/>
              <w:rPr>
                <w:rFonts w:hint="eastAsia" w:ascii="宋体" w:hAnsi="宋体" w:eastAsia="宋体" w:cs="宋体"/>
                <w:color w:val="auto"/>
                <w:kern w:val="0"/>
                <w:sz w:val="15"/>
                <w:szCs w:val="15"/>
                <w:highlight w:val="none"/>
              </w:rPr>
            </w:pPr>
          </w:p>
        </w:tc>
        <w:tc>
          <w:tcPr>
            <w:tcW w:w="1624" w:type="dxa"/>
            <w:vMerge w:val="continue"/>
            <w:tcBorders>
              <w:top w:val="nil"/>
              <w:left w:val="nil"/>
              <w:bottom w:val="single" w:color="auto" w:sz="4" w:space="0"/>
              <w:right w:val="single" w:color="auto" w:sz="4" w:space="0"/>
            </w:tcBorders>
            <w:noWrap w:val="0"/>
            <w:vAlign w:val="center"/>
          </w:tcPr>
          <w:p w14:paraId="0505C665">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nil"/>
              <w:bottom w:val="single" w:color="auto" w:sz="4" w:space="0"/>
              <w:right w:val="single" w:color="auto" w:sz="4" w:space="0"/>
            </w:tcBorders>
            <w:noWrap w:val="0"/>
            <w:vAlign w:val="center"/>
          </w:tcPr>
          <w:p w14:paraId="06F69241">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41522297">
            <w:pPr>
              <w:widowControl/>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0"/>
            <w:vAlign w:val="center"/>
          </w:tcPr>
          <w:p w14:paraId="51ECCDD7">
            <w:pPr>
              <w:widowControl/>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76" w:type="dxa"/>
            <w:tcBorders>
              <w:top w:val="nil"/>
              <w:left w:val="nil"/>
              <w:bottom w:val="single" w:color="auto" w:sz="4" w:space="0"/>
              <w:right w:val="single" w:color="auto" w:sz="4" w:space="0"/>
            </w:tcBorders>
            <w:noWrap w:val="0"/>
            <w:vAlign w:val="center"/>
          </w:tcPr>
          <w:p w14:paraId="003C76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米，系数为0；2.10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＜50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米，系数为1；3.50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米，系数为2；4.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50</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米，系数为3；5.</w:t>
            </w:r>
            <w:r>
              <w:rPr>
                <w:rFonts w:hint="eastAsia" w:ascii="宋体" w:hAnsi="宋体" w:eastAsia="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cs="宋体"/>
                <w:color w:val="auto"/>
                <w:kern w:val="0"/>
                <w:sz w:val="15"/>
                <w:szCs w:val="15"/>
                <w:highlight w:val="none"/>
                <w:lang w:eastAsia="zh-CN"/>
              </w:rPr>
              <w:t>采砂</w:t>
            </w:r>
            <w:r>
              <w:rPr>
                <w:rFonts w:hint="eastAsia" w:ascii="宋体" w:hAnsi="宋体" w:eastAsia="宋体" w:cs="宋体"/>
                <w:color w:val="auto"/>
                <w:kern w:val="0"/>
                <w:sz w:val="15"/>
                <w:szCs w:val="15"/>
                <w:highlight w:val="none"/>
              </w:rPr>
              <w:t>占地面积，系数为4。6.存在基准2.1.3规定情形的，系数按照相关规定确定（基准2.1.3.5不适用）。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7A2E3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000×（1+情节系数）</w:t>
            </w:r>
          </w:p>
        </w:tc>
        <w:tc>
          <w:tcPr>
            <w:tcW w:w="2016" w:type="dxa"/>
            <w:tcBorders>
              <w:top w:val="nil"/>
              <w:left w:val="nil"/>
              <w:bottom w:val="single" w:color="auto" w:sz="4" w:space="0"/>
              <w:right w:val="single" w:color="auto" w:sz="4" w:space="0"/>
            </w:tcBorders>
            <w:noWrap w:val="0"/>
            <w:vAlign w:val="center"/>
          </w:tcPr>
          <w:p w14:paraId="6107B008">
            <w:pPr>
              <w:widowControl/>
              <w:jc w:val="left"/>
              <w:rPr>
                <w:rFonts w:hint="eastAsia" w:ascii="宋体" w:hAnsi="宋体" w:eastAsia="宋体" w:cs="宋体"/>
                <w:color w:val="auto"/>
                <w:kern w:val="0"/>
                <w:sz w:val="15"/>
                <w:szCs w:val="15"/>
                <w:highlight w:val="none"/>
              </w:rPr>
            </w:pPr>
            <w:r>
              <w:rPr>
                <w:rFonts w:hint="eastAsia" w:ascii="宋体" w:hAnsi="宋体" w:cs="宋体"/>
                <w:strike w:val="0"/>
                <w:dstrike w:val="0"/>
                <w:color w:val="auto"/>
                <w:kern w:val="0"/>
                <w:sz w:val="15"/>
                <w:szCs w:val="15"/>
                <w:highlight w:val="none"/>
                <w:lang w:eastAsia="zh-CN"/>
              </w:rPr>
              <w:t>适用于在河道、渠道、湖泊、水库和其他水工程管理范围内采砂的行为。</w:t>
            </w:r>
          </w:p>
        </w:tc>
        <w:tc>
          <w:tcPr>
            <w:tcW w:w="1304" w:type="dxa"/>
            <w:gridSpan w:val="2"/>
            <w:vMerge w:val="continue"/>
            <w:tcBorders>
              <w:left w:val="nil"/>
              <w:bottom w:val="single" w:color="auto" w:sz="4" w:space="0"/>
              <w:right w:val="single" w:color="auto" w:sz="4" w:space="0"/>
            </w:tcBorders>
            <w:noWrap w:val="0"/>
            <w:vAlign w:val="center"/>
          </w:tcPr>
          <w:p w14:paraId="249C3B30">
            <w:pPr>
              <w:widowControl/>
              <w:jc w:val="center"/>
              <w:rPr>
                <w:rFonts w:hint="eastAsia" w:ascii="宋体" w:hAnsi="宋体" w:eastAsia="宋体" w:cs="宋体"/>
                <w:color w:val="auto"/>
                <w:kern w:val="0"/>
                <w:sz w:val="15"/>
                <w:szCs w:val="15"/>
                <w:highlight w:val="none"/>
                <w:lang w:eastAsia="zh-CN"/>
              </w:rPr>
            </w:pPr>
          </w:p>
        </w:tc>
        <w:tc>
          <w:tcPr>
            <w:tcW w:w="1869" w:type="dxa"/>
            <w:vMerge w:val="continue"/>
            <w:tcBorders>
              <w:left w:val="nil"/>
              <w:bottom w:val="single" w:color="auto" w:sz="4" w:space="0"/>
              <w:right w:val="single" w:color="auto" w:sz="4" w:space="0"/>
            </w:tcBorders>
            <w:noWrap w:val="0"/>
            <w:vAlign w:val="center"/>
          </w:tcPr>
          <w:p w14:paraId="7B3D1890">
            <w:pPr>
              <w:widowControl/>
              <w:jc w:val="center"/>
              <w:rPr>
                <w:rFonts w:hint="eastAsia" w:ascii="宋体" w:hAnsi="宋体" w:eastAsia="宋体" w:cs="宋体"/>
                <w:color w:val="auto"/>
                <w:kern w:val="0"/>
                <w:sz w:val="15"/>
                <w:szCs w:val="15"/>
                <w:highlight w:val="none"/>
                <w:lang w:eastAsia="zh-CN"/>
              </w:rPr>
            </w:pPr>
          </w:p>
        </w:tc>
      </w:tr>
      <w:tr w14:paraId="1B930A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298BE1A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14:paraId="333731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在江河、湖泊、水库、运河、渠道内弃置、堆放阻碍行洪的物体和种植阻碍行洪的林木及高秆作物</w:t>
            </w:r>
          </w:p>
        </w:tc>
        <w:tc>
          <w:tcPr>
            <w:tcW w:w="2981" w:type="dxa"/>
            <w:vMerge w:val="restart"/>
            <w:tcBorders>
              <w:top w:val="nil"/>
              <w:left w:val="single" w:color="auto" w:sz="4" w:space="0"/>
              <w:bottom w:val="single" w:color="auto" w:sz="4" w:space="0"/>
              <w:right w:val="single" w:color="auto" w:sz="4" w:space="0"/>
            </w:tcBorders>
            <w:noWrap w:val="0"/>
            <w:vAlign w:val="center"/>
          </w:tcPr>
          <w:p w14:paraId="60A1BE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违反条款：《防洪法》第二十三条第三款；《水法》第二十四条第一款、第二款；《北京市河湖保护管理条例》第十九条第一款第（四）项；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防洪法》第五十五条第一款第（三）项，责令停止违法行为，排除阻碍或者采取其他补救措施，可以处五万元以下的罚款；《水法》第六十六条第一款第（一）项，责令停止违法行为，限期清除障碍或者采取其他补救措施，处一万元以上五万元以下的罚款。</w:t>
            </w:r>
          </w:p>
        </w:tc>
        <w:tc>
          <w:tcPr>
            <w:tcW w:w="851" w:type="dxa"/>
            <w:tcBorders>
              <w:top w:val="nil"/>
              <w:left w:val="nil"/>
              <w:bottom w:val="single" w:color="auto" w:sz="4" w:space="0"/>
              <w:right w:val="single" w:color="auto" w:sz="4" w:space="0"/>
            </w:tcBorders>
            <w:noWrap w:val="0"/>
            <w:vAlign w:val="center"/>
          </w:tcPr>
          <w:p w14:paraId="3F10A15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1C001E8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FC8AB7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1.种植面积＜50平方米，系数为0；2.50平方米≤种植面积＜100平方米，系数为1；3.100平方米≤种植面积＜200平方米，系数为2；4.200平方米≤种植面积＜300平方米，系数为3；5.300平方米≤种植面积，或者造成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EEEAB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2C25C3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（一）主要针对在河道内种植林木和高秆作物的，优先适用《中华人民共和国防洪法》。（二）需要作出10000元以下罚款决定的，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7979B31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nil"/>
              <w:right w:val="single" w:color="auto" w:sz="4" w:space="0"/>
            </w:tcBorders>
            <w:noWrap w:val="0"/>
            <w:vAlign w:val="center"/>
          </w:tcPr>
          <w:p w14:paraId="4179245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C2351000</w:t>
            </w:r>
          </w:p>
        </w:tc>
      </w:tr>
      <w:tr w14:paraId="73B496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3002D5A0">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6A68C89C">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1BD3068B">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44267C7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18ECFE4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8F7BB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1.弃置、堆放阻碍行洪的物体</w:t>
            </w:r>
            <w:r>
              <w:rPr>
                <w:rFonts w:hint="eastAsia" w:ascii="宋体" w:hAnsi="宋体" w:cs="宋体"/>
                <w:color w:val="auto"/>
                <w:kern w:val="0"/>
                <w:sz w:val="15"/>
                <w:szCs w:val="15"/>
                <w:highlight w:val="none"/>
                <w:lang w:eastAsia="zh-CN"/>
              </w:rPr>
              <w:t>面积</w:t>
            </w:r>
            <w:r>
              <w:rPr>
                <w:rFonts w:hint="eastAsia" w:ascii="宋体" w:hAnsi="宋体" w:eastAsia="宋体" w:cs="宋体"/>
                <w:color w:val="auto"/>
                <w:kern w:val="0"/>
                <w:sz w:val="15"/>
                <w:szCs w:val="15"/>
                <w:highlight w:val="none"/>
              </w:rPr>
              <w:t>＜5平方米，系数为0；2.5平方米≤弃置、堆放阻碍行洪的物体</w:t>
            </w:r>
            <w:r>
              <w:rPr>
                <w:rFonts w:hint="eastAsia" w:ascii="宋体" w:hAnsi="宋体" w:cs="宋体"/>
                <w:color w:val="auto"/>
                <w:kern w:val="0"/>
                <w:sz w:val="15"/>
                <w:szCs w:val="15"/>
                <w:highlight w:val="none"/>
                <w:lang w:eastAsia="zh-CN"/>
              </w:rPr>
              <w:t>面积</w:t>
            </w:r>
            <w:r>
              <w:rPr>
                <w:rFonts w:hint="eastAsia" w:ascii="宋体" w:hAnsi="宋体" w:eastAsia="宋体" w:cs="宋体"/>
                <w:color w:val="auto"/>
                <w:kern w:val="0"/>
                <w:sz w:val="15"/>
                <w:szCs w:val="15"/>
                <w:highlight w:val="none"/>
              </w:rPr>
              <w:t>＜20平方米，系数为1；3.20平方米≤弃置、堆放阻碍行洪的物体</w:t>
            </w:r>
            <w:r>
              <w:rPr>
                <w:rFonts w:hint="eastAsia" w:ascii="宋体" w:hAnsi="宋体" w:cs="宋体"/>
                <w:b w:val="0"/>
                <w:bCs w:val="0"/>
                <w:color w:val="auto"/>
                <w:kern w:val="0"/>
                <w:sz w:val="15"/>
                <w:szCs w:val="15"/>
                <w:highlight w:val="none"/>
                <w:lang w:eastAsia="zh-CN"/>
              </w:rPr>
              <w:t>面积</w:t>
            </w:r>
            <w:r>
              <w:rPr>
                <w:rFonts w:hint="eastAsia" w:ascii="宋体" w:hAnsi="宋体" w:eastAsia="宋体" w:cs="宋体"/>
                <w:color w:val="auto"/>
                <w:kern w:val="0"/>
                <w:sz w:val="15"/>
                <w:szCs w:val="15"/>
                <w:highlight w:val="none"/>
              </w:rPr>
              <w:t>＜50平方米，系数为2；4.50平方米≤弃置、堆放阻碍行洪的物体</w:t>
            </w:r>
            <w:r>
              <w:rPr>
                <w:rFonts w:hint="eastAsia" w:ascii="宋体" w:hAnsi="宋体" w:cs="宋体"/>
                <w:color w:val="auto"/>
                <w:kern w:val="0"/>
                <w:sz w:val="15"/>
                <w:szCs w:val="15"/>
                <w:highlight w:val="none"/>
                <w:lang w:eastAsia="zh-CN"/>
              </w:rPr>
              <w:t>面积</w:t>
            </w:r>
            <w:r>
              <w:rPr>
                <w:rFonts w:hint="eastAsia" w:ascii="宋体" w:hAnsi="宋体" w:eastAsia="宋体" w:cs="宋体"/>
                <w:color w:val="auto"/>
                <w:kern w:val="0"/>
                <w:sz w:val="15"/>
                <w:szCs w:val="15"/>
                <w:highlight w:val="none"/>
              </w:rPr>
              <w:t>＜100平方米，系数为3；5.100平方米≤弃置、堆放阻碍行洪的物体</w:t>
            </w:r>
            <w:r>
              <w:rPr>
                <w:rFonts w:hint="eastAsia" w:ascii="宋体" w:hAnsi="宋体" w:cs="宋体"/>
                <w:color w:val="auto"/>
                <w:kern w:val="0"/>
                <w:sz w:val="15"/>
                <w:szCs w:val="15"/>
                <w:highlight w:val="none"/>
                <w:lang w:eastAsia="zh-CN"/>
              </w:rPr>
              <w:t>面积</w:t>
            </w:r>
            <w:r>
              <w:rPr>
                <w:rFonts w:hint="eastAsia" w:ascii="宋体" w:hAnsi="宋体" w:eastAsia="宋体" w:cs="宋体"/>
                <w:color w:val="auto"/>
                <w:kern w:val="0"/>
                <w:sz w:val="15"/>
                <w:szCs w:val="15"/>
                <w:highlight w:val="none"/>
              </w:rPr>
              <w:t>，或者造成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C8EBB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17ACCB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针对在河道内弃置、堆放阻碍行洪的物体的，优先适用《中华人民共和国水法》。</w:t>
            </w:r>
          </w:p>
        </w:tc>
        <w:tc>
          <w:tcPr>
            <w:tcW w:w="1304" w:type="dxa"/>
            <w:gridSpan w:val="2"/>
            <w:tcBorders>
              <w:top w:val="nil"/>
              <w:left w:val="nil"/>
              <w:bottom w:val="single" w:color="auto" w:sz="4" w:space="0"/>
              <w:right w:val="single" w:color="auto" w:sz="4" w:space="0"/>
            </w:tcBorders>
            <w:noWrap w:val="0"/>
            <w:vAlign w:val="center"/>
          </w:tcPr>
          <w:p w14:paraId="088635F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continue"/>
            <w:tcBorders>
              <w:left w:val="nil"/>
              <w:bottom w:val="single" w:color="auto" w:sz="4" w:space="0"/>
              <w:right w:val="single" w:color="auto" w:sz="4" w:space="0"/>
            </w:tcBorders>
            <w:noWrap w:val="0"/>
            <w:vAlign w:val="center"/>
          </w:tcPr>
          <w:p w14:paraId="241DD129">
            <w:pPr>
              <w:widowControl/>
              <w:jc w:val="center"/>
              <w:rPr>
                <w:rFonts w:hint="eastAsia" w:ascii="宋体" w:hAnsi="宋体" w:eastAsia="宋体" w:cs="宋体"/>
                <w:color w:val="auto"/>
                <w:kern w:val="0"/>
                <w:sz w:val="15"/>
                <w:szCs w:val="15"/>
                <w:highlight w:val="none"/>
                <w:lang w:eastAsia="zh-CN"/>
              </w:rPr>
            </w:pPr>
          </w:p>
        </w:tc>
      </w:tr>
      <w:tr w14:paraId="4296F7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83"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6EE12BF3">
            <w:pPr>
              <w:widowControl/>
              <w:jc w:val="center"/>
              <w:outlineLvl w:val="1"/>
              <w:rPr>
                <w:rFonts w:hint="eastAsia" w:ascii="宋体" w:hAnsi="宋体" w:eastAsia="宋体" w:cs="宋体"/>
                <w:color w:val="auto"/>
                <w:kern w:val="0"/>
                <w:szCs w:val="21"/>
                <w:highlight w:val="none"/>
              </w:rPr>
            </w:pPr>
            <w:bookmarkStart w:id="251" w:name="_Toc654401249"/>
            <w:bookmarkStart w:id="252" w:name="_Toc218468850"/>
            <w:r>
              <w:rPr>
                <w:rFonts w:hint="eastAsia" w:ascii="宋体" w:hAnsi="宋体" w:eastAsia="宋体" w:cs="宋体"/>
                <w:b/>
                <w:bCs/>
                <w:color w:val="auto"/>
                <w:kern w:val="0"/>
                <w:szCs w:val="21"/>
                <w:highlight w:val="none"/>
              </w:rPr>
              <w:t>《中华人民共和国水污染防治法》案由1项</w:t>
            </w:r>
            <w:bookmarkEnd w:id="251"/>
            <w:bookmarkEnd w:id="252"/>
          </w:p>
        </w:tc>
        <w:tc>
          <w:tcPr>
            <w:tcW w:w="3173" w:type="dxa"/>
            <w:gridSpan w:val="3"/>
            <w:tcBorders>
              <w:top w:val="nil"/>
              <w:left w:val="single" w:color="auto" w:sz="4" w:space="0"/>
              <w:bottom w:val="single" w:color="auto" w:sz="4" w:space="0"/>
              <w:right w:val="single" w:color="auto" w:sz="4" w:space="0"/>
            </w:tcBorders>
            <w:noWrap w:val="0"/>
            <w:vAlign w:val="center"/>
          </w:tcPr>
          <w:p w14:paraId="07676912">
            <w:pPr>
              <w:widowControl/>
              <w:jc w:val="center"/>
              <w:outlineLvl w:val="1"/>
              <w:rPr>
                <w:rFonts w:hint="eastAsia" w:ascii="宋体" w:hAnsi="宋体" w:eastAsia="宋体" w:cs="宋体"/>
                <w:b/>
                <w:bCs/>
                <w:color w:val="auto"/>
                <w:kern w:val="0"/>
                <w:szCs w:val="21"/>
                <w:highlight w:val="none"/>
              </w:rPr>
            </w:pPr>
          </w:p>
        </w:tc>
      </w:tr>
      <w:tr w14:paraId="2A4866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33A87AF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3294B98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拒绝水行政主管部门的监督检查，或者在接受监督检查时弄虚作假</w:t>
            </w:r>
          </w:p>
        </w:tc>
        <w:tc>
          <w:tcPr>
            <w:tcW w:w="2981" w:type="dxa"/>
            <w:tcBorders>
              <w:top w:val="nil"/>
              <w:left w:val="nil"/>
              <w:bottom w:val="single" w:color="auto" w:sz="4" w:space="0"/>
              <w:right w:val="single" w:color="auto" w:sz="4" w:space="0"/>
            </w:tcBorders>
            <w:noWrap w:val="0"/>
            <w:vAlign w:val="center"/>
          </w:tcPr>
          <w:p w14:paraId="57F5A0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处罚条款：第八十一条，责令改正，处二万元以上二十万元以下的罚款。</w:t>
            </w:r>
          </w:p>
        </w:tc>
        <w:tc>
          <w:tcPr>
            <w:tcW w:w="851" w:type="dxa"/>
            <w:tcBorders>
              <w:top w:val="nil"/>
              <w:left w:val="nil"/>
              <w:bottom w:val="single" w:color="auto" w:sz="4" w:space="0"/>
              <w:right w:val="single" w:color="auto" w:sz="4" w:space="0"/>
            </w:tcBorders>
            <w:noWrap w:val="0"/>
            <w:vAlign w:val="center"/>
          </w:tcPr>
          <w:p w14:paraId="7AF76E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2DFEBAE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D9B0A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处以下罚款：日用水量＜200立方米，系数为1；200立方米≤日用水量＜300立方米，系数为2；日用水量每增加100立方米（不足100立方米的，按100立方米计），系数加1；900立方米≤日用水量，系数为9。（三）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C8EBFA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14:paraId="153F844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820EE5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D767C7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C2317400</w:t>
            </w:r>
          </w:p>
        </w:tc>
      </w:tr>
      <w:tr w14:paraId="33CBC4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7" w:hRule="atLeast"/>
        </w:trPr>
        <w:tc>
          <w:tcPr>
            <w:tcW w:w="13283" w:type="dxa"/>
            <w:gridSpan w:val="11"/>
            <w:tcBorders>
              <w:top w:val="nil"/>
              <w:left w:val="single" w:color="auto" w:sz="4" w:space="0"/>
              <w:bottom w:val="single" w:color="auto" w:sz="4" w:space="0"/>
              <w:right w:val="single" w:color="auto" w:sz="4" w:space="0"/>
            </w:tcBorders>
            <w:noWrap/>
            <w:vAlign w:val="center"/>
          </w:tcPr>
          <w:p w14:paraId="412FE30E">
            <w:pPr>
              <w:widowControl/>
              <w:jc w:val="center"/>
              <w:outlineLvl w:val="1"/>
              <w:rPr>
                <w:rFonts w:hint="eastAsia" w:ascii="宋体" w:hAnsi="宋体" w:eastAsia="宋体" w:cs="宋体"/>
                <w:color w:val="auto"/>
                <w:kern w:val="0"/>
                <w:szCs w:val="21"/>
                <w:highlight w:val="none"/>
              </w:rPr>
            </w:pPr>
            <w:bookmarkStart w:id="253" w:name="_Toc1797160040"/>
            <w:bookmarkStart w:id="254" w:name="_Toc218468851"/>
            <w:r>
              <w:rPr>
                <w:rFonts w:hint="eastAsia" w:ascii="宋体" w:hAnsi="宋体" w:eastAsia="宋体" w:cs="宋体"/>
                <w:b/>
                <w:bCs/>
                <w:color w:val="auto"/>
                <w:kern w:val="0"/>
                <w:szCs w:val="21"/>
                <w:highlight w:val="none"/>
              </w:rPr>
              <w:t>《中华人民共和国河道管理条例》《北京市河湖保护管理条例》案由2项</w:t>
            </w:r>
            <w:bookmarkEnd w:id="253"/>
            <w:bookmarkEnd w:id="254"/>
          </w:p>
        </w:tc>
        <w:tc>
          <w:tcPr>
            <w:tcW w:w="3173" w:type="dxa"/>
            <w:gridSpan w:val="3"/>
            <w:tcBorders>
              <w:top w:val="nil"/>
              <w:left w:val="single" w:color="auto" w:sz="4" w:space="0"/>
              <w:bottom w:val="single" w:color="auto" w:sz="4" w:space="0"/>
              <w:right w:val="single" w:color="auto" w:sz="4" w:space="0"/>
            </w:tcBorders>
            <w:noWrap/>
            <w:vAlign w:val="center"/>
          </w:tcPr>
          <w:p w14:paraId="0E1BDD34">
            <w:pPr>
              <w:widowControl/>
              <w:jc w:val="center"/>
              <w:outlineLvl w:val="1"/>
              <w:rPr>
                <w:rFonts w:hint="eastAsia" w:ascii="宋体" w:hAnsi="宋体" w:eastAsia="宋体" w:cs="宋体"/>
                <w:b/>
                <w:bCs/>
                <w:color w:val="auto"/>
                <w:kern w:val="0"/>
                <w:szCs w:val="21"/>
                <w:highlight w:val="none"/>
              </w:rPr>
            </w:pPr>
          </w:p>
        </w:tc>
      </w:tr>
      <w:tr w14:paraId="5C0030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2878519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5EE23C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擅自砍伐护堤护岸林木</w:t>
            </w:r>
          </w:p>
        </w:tc>
        <w:tc>
          <w:tcPr>
            <w:tcW w:w="2981" w:type="dxa"/>
            <w:tcBorders>
              <w:top w:val="nil"/>
              <w:left w:val="nil"/>
              <w:bottom w:val="single" w:color="auto" w:sz="4" w:space="0"/>
              <w:right w:val="single" w:color="auto" w:sz="4" w:space="0"/>
            </w:tcBorders>
            <w:noWrap w:val="0"/>
            <w:vAlign w:val="center"/>
          </w:tcPr>
          <w:p w14:paraId="7DF1F9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违反条款：《河道管理条例》第三十条第一款；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处罚条款：《河道管理条例》第四十四条第一款第（七）项，责令其纠正违法行为、采取补救措施，可以并处警告、罚款、没收非法所得</w:t>
            </w:r>
          </w:p>
        </w:tc>
        <w:tc>
          <w:tcPr>
            <w:tcW w:w="851" w:type="dxa"/>
            <w:tcBorders>
              <w:top w:val="nil"/>
              <w:left w:val="nil"/>
              <w:bottom w:val="single" w:color="auto" w:sz="4" w:space="0"/>
              <w:right w:val="single" w:color="auto" w:sz="4" w:space="0"/>
            </w:tcBorders>
            <w:noWrap w:val="0"/>
            <w:vAlign w:val="center"/>
          </w:tcPr>
          <w:p w14:paraId="20E44AF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4DDF7AC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00A8BC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37FD5E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233EAB7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3552B9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B674CA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C2318100</w:t>
            </w:r>
          </w:p>
        </w:tc>
      </w:tr>
      <w:tr w14:paraId="3DA479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90" w:hRule="atLeast"/>
        </w:trPr>
        <w:tc>
          <w:tcPr>
            <w:tcW w:w="716" w:type="dxa"/>
            <w:gridSpan w:val="2"/>
            <w:tcBorders>
              <w:top w:val="nil"/>
              <w:left w:val="single" w:color="auto" w:sz="4" w:space="0"/>
              <w:bottom w:val="single" w:color="auto" w:sz="4" w:space="0"/>
              <w:right w:val="single" w:color="auto" w:sz="4" w:space="0"/>
            </w:tcBorders>
            <w:noWrap/>
            <w:vAlign w:val="center"/>
          </w:tcPr>
          <w:p w14:paraId="3FA518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7810597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在堤防和护堤地，从事放牧、葬坟、晒粮、开渠、打井、挖窖、取土、存放物料、开办集市贸易、开采地下资源、进行考古发掘、垦植等活动</w:t>
            </w:r>
          </w:p>
        </w:tc>
        <w:tc>
          <w:tcPr>
            <w:tcW w:w="2981" w:type="dxa"/>
            <w:tcBorders>
              <w:top w:val="nil"/>
              <w:left w:val="nil"/>
              <w:bottom w:val="single" w:color="auto" w:sz="4" w:space="0"/>
              <w:right w:val="single" w:color="auto" w:sz="4" w:space="0"/>
            </w:tcBorders>
            <w:noWrap w:val="0"/>
            <w:vAlign w:val="center"/>
          </w:tcPr>
          <w:p w14:paraId="51B852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违反条款：《河道管理条例》第二十四条第二款；《河湖保护管理条例》第十九条第一款第（六）项、第（七）项；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河道管理条例》第四十四条第一款第（二）项，责令其纠正违法行为、采取补救措施，可以并处警告、罚款、没收非法所得；《河湖保护管理条例》第三十八条，可以处五万元以下罚款，有违法所得的，没收违法所得。</w:t>
            </w:r>
          </w:p>
        </w:tc>
        <w:tc>
          <w:tcPr>
            <w:tcW w:w="851" w:type="dxa"/>
            <w:tcBorders>
              <w:top w:val="nil"/>
              <w:left w:val="nil"/>
              <w:bottom w:val="single" w:color="auto" w:sz="4" w:space="0"/>
              <w:right w:val="single" w:color="auto" w:sz="4" w:space="0"/>
            </w:tcBorders>
            <w:noWrap w:val="0"/>
            <w:vAlign w:val="center"/>
          </w:tcPr>
          <w:p w14:paraId="4BC875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5121CCC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F37B4E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区级河湖堤防和护堤地，从事放牧、葬坟、晒粮、开渠、打井、挖窖、取土、存放物料、开办集市贸易、开采地下资源、进行考古发掘等活动，系数为0；2.在市级河湖堤防和护堤地，从事放牧、葬坟、晒粮、开渠、打井、挖窖、取土、存放物料、开办集市贸易、开采地下资源、进行考古发掘等活动，系数为4；3.造成恶劣影响，系数为9。4.存在基准2.1.3规定情形的，系数按照相关规定确定（基准2.1.3.5不适用）。以上情形有违法所得的，同时没收违法所得。</w:t>
            </w:r>
          </w:p>
        </w:tc>
        <w:tc>
          <w:tcPr>
            <w:tcW w:w="1879" w:type="dxa"/>
            <w:gridSpan w:val="3"/>
            <w:tcBorders>
              <w:top w:val="nil"/>
              <w:left w:val="nil"/>
              <w:bottom w:val="single" w:color="auto" w:sz="4" w:space="0"/>
              <w:right w:val="single" w:color="auto" w:sz="4" w:space="0"/>
            </w:tcBorders>
            <w:noWrap w:val="0"/>
            <w:vAlign w:val="center"/>
          </w:tcPr>
          <w:p w14:paraId="7CDDCF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20FFBC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554C19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tcBorders>
              <w:top w:val="nil"/>
              <w:left w:val="nil"/>
              <w:bottom w:val="single" w:color="auto" w:sz="4" w:space="0"/>
              <w:right w:val="single" w:color="auto" w:sz="4" w:space="0"/>
            </w:tcBorders>
            <w:noWrap w:val="0"/>
            <w:vAlign w:val="center"/>
          </w:tcPr>
          <w:p w14:paraId="29A07453">
            <w:pPr>
              <w:widowControl/>
              <w:jc w:val="center"/>
              <w:rPr>
                <w:rFonts w:hint="eastAsia" w:ascii="宋体" w:hAnsi="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C2345900</w:t>
            </w:r>
          </w:p>
        </w:tc>
      </w:tr>
      <w:tr w14:paraId="13579E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7" w:hRule="atLeast"/>
        </w:trPr>
        <w:tc>
          <w:tcPr>
            <w:tcW w:w="13283" w:type="dxa"/>
            <w:gridSpan w:val="11"/>
            <w:tcBorders>
              <w:top w:val="nil"/>
              <w:left w:val="single" w:color="auto" w:sz="4" w:space="0"/>
              <w:bottom w:val="single" w:color="auto" w:sz="4" w:space="0"/>
              <w:right w:val="single" w:color="auto" w:sz="4" w:space="0"/>
            </w:tcBorders>
            <w:noWrap/>
            <w:vAlign w:val="center"/>
          </w:tcPr>
          <w:p w14:paraId="2E8A9C90">
            <w:pPr>
              <w:widowControl/>
              <w:jc w:val="center"/>
              <w:outlineLvl w:val="1"/>
              <w:rPr>
                <w:rFonts w:hint="eastAsia" w:ascii="宋体" w:hAnsi="宋体" w:eastAsia="宋体" w:cs="宋体"/>
                <w:color w:val="auto"/>
                <w:kern w:val="0"/>
                <w:szCs w:val="21"/>
                <w:highlight w:val="none"/>
              </w:rPr>
            </w:pPr>
            <w:bookmarkStart w:id="255" w:name="_Toc1248927184"/>
            <w:bookmarkStart w:id="256" w:name="_Toc218468852"/>
            <w:r>
              <w:rPr>
                <w:rFonts w:hint="eastAsia" w:ascii="宋体" w:hAnsi="宋体" w:eastAsia="宋体" w:cs="宋体"/>
                <w:b/>
                <w:bCs/>
                <w:color w:val="auto"/>
                <w:kern w:val="0"/>
                <w:szCs w:val="21"/>
                <w:highlight w:val="none"/>
              </w:rPr>
              <w:t>《公路安全保护条例》案由1项</w:t>
            </w:r>
            <w:bookmarkEnd w:id="255"/>
            <w:bookmarkEnd w:id="256"/>
          </w:p>
        </w:tc>
        <w:tc>
          <w:tcPr>
            <w:tcW w:w="3173" w:type="dxa"/>
            <w:gridSpan w:val="3"/>
            <w:tcBorders>
              <w:top w:val="nil"/>
              <w:left w:val="single" w:color="auto" w:sz="4" w:space="0"/>
              <w:bottom w:val="single" w:color="auto" w:sz="4" w:space="0"/>
              <w:right w:val="single" w:color="auto" w:sz="4" w:space="0"/>
            </w:tcBorders>
            <w:noWrap/>
            <w:vAlign w:val="center"/>
          </w:tcPr>
          <w:p w14:paraId="3333E637">
            <w:pPr>
              <w:widowControl/>
              <w:jc w:val="center"/>
              <w:outlineLvl w:val="1"/>
              <w:rPr>
                <w:rFonts w:hint="eastAsia" w:ascii="宋体" w:hAnsi="宋体" w:eastAsia="宋体" w:cs="宋体"/>
                <w:b/>
                <w:bCs/>
                <w:color w:val="auto"/>
                <w:kern w:val="0"/>
                <w:szCs w:val="21"/>
                <w:highlight w:val="none"/>
              </w:rPr>
            </w:pPr>
          </w:p>
        </w:tc>
      </w:tr>
      <w:tr w14:paraId="1B292F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571D5D7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156D77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在公路桥梁跨越的河道上下游的禁止采砂范围内采砂</w:t>
            </w:r>
          </w:p>
        </w:tc>
        <w:tc>
          <w:tcPr>
            <w:tcW w:w="2981" w:type="dxa"/>
            <w:tcBorders>
              <w:top w:val="nil"/>
              <w:left w:val="nil"/>
              <w:bottom w:val="single" w:color="auto" w:sz="4" w:space="0"/>
              <w:right w:val="single" w:color="auto" w:sz="4" w:space="0"/>
            </w:tcBorders>
            <w:noWrap w:val="0"/>
            <w:vAlign w:val="center"/>
          </w:tcPr>
          <w:p w14:paraId="12D9F6C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处罚条款：第五十八条，责令改正，可以处3万元以下的罚款。</w:t>
            </w:r>
          </w:p>
        </w:tc>
        <w:tc>
          <w:tcPr>
            <w:tcW w:w="851" w:type="dxa"/>
            <w:tcBorders>
              <w:top w:val="nil"/>
              <w:left w:val="nil"/>
              <w:bottom w:val="single" w:color="auto" w:sz="4" w:space="0"/>
              <w:right w:val="single" w:color="auto" w:sz="4" w:space="0"/>
            </w:tcBorders>
            <w:noWrap w:val="0"/>
            <w:vAlign w:val="center"/>
          </w:tcPr>
          <w:p w14:paraId="0598A80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3B7484A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79563F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单次采砂量＜10立方米，系数为0；2.10立方米≤单次采砂量＜50立方米，系数为2；3.50立方米≤单次采砂量＜200立方米，系数为4；4.200立方米≤单次采砂量＜500立方米，系数为6；5.500立方米≤单次采砂量，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4D78D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14:paraId="362E80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17D0B48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77B277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C2341800</w:t>
            </w:r>
          </w:p>
        </w:tc>
      </w:tr>
      <w:tr w14:paraId="6E9939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7" w:hRule="atLeast"/>
        </w:trPr>
        <w:tc>
          <w:tcPr>
            <w:tcW w:w="13283" w:type="dxa"/>
            <w:gridSpan w:val="11"/>
            <w:tcBorders>
              <w:top w:val="nil"/>
              <w:left w:val="single" w:color="auto" w:sz="4" w:space="0"/>
              <w:bottom w:val="single" w:color="auto" w:sz="4" w:space="0"/>
              <w:right w:val="single" w:color="auto" w:sz="4" w:space="0"/>
            </w:tcBorders>
            <w:noWrap/>
            <w:vAlign w:val="center"/>
          </w:tcPr>
          <w:p w14:paraId="05F0A538">
            <w:pPr>
              <w:widowControl/>
              <w:jc w:val="center"/>
              <w:outlineLvl w:val="1"/>
              <w:rPr>
                <w:rFonts w:hint="eastAsia" w:ascii="宋体" w:hAnsi="宋体" w:eastAsia="宋体" w:cs="宋体"/>
                <w:color w:val="auto"/>
                <w:kern w:val="0"/>
                <w:szCs w:val="21"/>
                <w:highlight w:val="none"/>
              </w:rPr>
            </w:pPr>
            <w:bookmarkStart w:id="257" w:name="_Toc773120676"/>
            <w:bookmarkStart w:id="258" w:name="_Toc218468853"/>
            <w:r>
              <w:rPr>
                <w:rFonts w:hint="eastAsia" w:ascii="宋体" w:hAnsi="宋体" w:eastAsia="宋体" w:cs="宋体"/>
                <w:b/>
                <w:bCs/>
                <w:color w:val="auto"/>
                <w:kern w:val="0"/>
                <w:szCs w:val="21"/>
                <w:highlight w:val="none"/>
              </w:rPr>
              <w:t>《北京市河湖保护管理条例》案由4项</w:t>
            </w:r>
            <w:bookmarkEnd w:id="257"/>
            <w:bookmarkEnd w:id="258"/>
          </w:p>
        </w:tc>
        <w:tc>
          <w:tcPr>
            <w:tcW w:w="3173" w:type="dxa"/>
            <w:gridSpan w:val="3"/>
            <w:tcBorders>
              <w:top w:val="nil"/>
              <w:left w:val="single" w:color="auto" w:sz="4" w:space="0"/>
              <w:bottom w:val="single" w:color="auto" w:sz="4" w:space="0"/>
              <w:right w:val="single" w:color="auto" w:sz="4" w:space="0"/>
            </w:tcBorders>
            <w:noWrap/>
            <w:vAlign w:val="center"/>
          </w:tcPr>
          <w:p w14:paraId="37D680F1">
            <w:pPr>
              <w:widowControl/>
              <w:jc w:val="center"/>
              <w:outlineLvl w:val="1"/>
              <w:rPr>
                <w:rFonts w:hint="eastAsia" w:ascii="宋体" w:hAnsi="宋体" w:eastAsia="宋体" w:cs="宋体"/>
                <w:b/>
                <w:bCs/>
                <w:color w:val="auto"/>
                <w:kern w:val="0"/>
                <w:szCs w:val="21"/>
                <w:highlight w:val="none"/>
              </w:rPr>
            </w:pPr>
          </w:p>
        </w:tc>
      </w:tr>
      <w:tr w14:paraId="70276EA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642A6C8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3D0848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毁坏或者拆除保护名录中的河道、水域和水工建筑物、构筑物、遗址</w:t>
            </w:r>
          </w:p>
        </w:tc>
        <w:tc>
          <w:tcPr>
            <w:tcW w:w="2981" w:type="dxa"/>
            <w:tcBorders>
              <w:top w:val="nil"/>
              <w:left w:val="nil"/>
              <w:bottom w:val="single" w:color="auto" w:sz="4" w:space="0"/>
              <w:right w:val="single" w:color="auto" w:sz="4" w:space="0"/>
            </w:tcBorders>
            <w:noWrap w:val="0"/>
            <w:vAlign w:val="center"/>
          </w:tcPr>
          <w:p w14:paraId="58A5B9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处罚条款：第四十二条，责令其停止违法行为，限期恢复原状，处十万元以上五十万元以下的罚款。</w:t>
            </w:r>
          </w:p>
        </w:tc>
        <w:tc>
          <w:tcPr>
            <w:tcW w:w="851" w:type="dxa"/>
            <w:tcBorders>
              <w:top w:val="nil"/>
              <w:left w:val="nil"/>
              <w:bottom w:val="single" w:color="auto" w:sz="4" w:space="0"/>
              <w:right w:val="single" w:color="auto" w:sz="4" w:space="0"/>
            </w:tcBorders>
            <w:noWrap w:val="0"/>
            <w:vAlign w:val="center"/>
          </w:tcPr>
          <w:p w14:paraId="7452D16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4A5593D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7B0955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未丧失功能，系数为</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eastAsia="zh-CN"/>
              </w:rPr>
              <w:t>有</w:t>
            </w:r>
            <w:r>
              <w:rPr>
                <w:rFonts w:hint="eastAsia" w:ascii="宋体" w:hAnsi="宋体" w:eastAsia="宋体" w:cs="宋体"/>
                <w:color w:val="auto"/>
                <w:kern w:val="0"/>
                <w:sz w:val="15"/>
                <w:szCs w:val="15"/>
                <w:highlight w:val="none"/>
              </w:rPr>
              <w:t>丧失</w:t>
            </w:r>
            <w:r>
              <w:rPr>
                <w:rFonts w:hint="eastAsia" w:ascii="宋体" w:hAnsi="宋体" w:eastAsia="宋体" w:cs="宋体"/>
                <w:color w:val="auto"/>
                <w:kern w:val="0"/>
                <w:sz w:val="15"/>
                <w:szCs w:val="15"/>
                <w:highlight w:val="none"/>
                <w:lang w:eastAsia="zh-CN"/>
              </w:rPr>
              <w:t>功能</w:t>
            </w:r>
            <w:r>
              <w:rPr>
                <w:rFonts w:hint="eastAsia" w:ascii="宋体" w:hAnsi="宋体" w:eastAsia="宋体" w:cs="宋体"/>
                <w:color w:val="auto"/>
                <w:kern w:val="0"/>
                <w:sz w:val="15"/>
                <w:szCs w:val="15"/>
                <w:highlight w:val="none"/>
              </w:rPr>
              <w:t>，系数为1。2.毁坏1处，系数为0；毁坏2处，系数为0.5；以此类推。3.</w:t>
            </w:r>
            <w:r>
              <w:rPr>
                <w:rFonts w:hint="eastAsia" w:ascii="宋体" w:hAnsi="宋体" w:eastAsia="宋体" w:cs="宋体"/>
                <w:color w:val="auto"/>
                <w:kern w:val="0"/>
                <w:sz w:val="15"/>
                <w:szCs w:val="15"/>
                <w:highlight w:val="none"/>
                <w:lang w:eastAsia="zh-CN"/>
              </w:rPr>
              <w:t>毁坏或</w:t>
            </w:r>
            <w:r>
              <w:rPr>
                <w:rFonts w:hint="eastAsia" w:ascii="宋体" w:hAnsi="宋体" w:eastAsia="宋体" w:cs="宋体"/>
                <w:color w:val="auto"/>
                <w:kern w:val="0"/>
                <w:sz w:val="15"/>
                <w:szCs w:val="15"/>
                <w:highlight w:val="none"/>
              </w:rPr>
              <w:t>拆除面积＜500平方米，系数为0；500平方米≤</w:t>
            </w:r>
            <w:r>
              <w:rPr>
                <w:rFonts w:hint="eastAsia" w:ascii="宋体" w:hAnsi="宋体" w:eastAsia="宋体" w:cs="宋体"/>
                <w:color w:val="auto"/>
                <w:kern w:val="0"/>
                <w:sz w:val="15"/>
                <w:szCs w:val="15"/>
                <w:highlight w:val="none"/>
                <w:lang w:eastAsia="zh-CN"/>
              </w:rPr>
              <w:t>毁坏或</w:t>
            </w:r>
            <w:r>
              <w:rPr>
                <w:rFonts w:hint="eastAsia" w:ascii="宋体" w:hAnsi="宋体" w:eastAsia="宋体" w:cs="宋体"/>
                <w:color w:val="auto"/>
                <w:kern w:val="0"/>
                <w:sz w:val="15"/>
                <w:szCs w:val="15"/>
                <w:highlight w:val="none"/>
              </w:rPr>
              <w:t>拆除面积＜1000平方米，系数为0.5；每增加500平方米（不足500平方米，按500平方米计），系数增加0.5。4.存在基准2.1.3规定情形的，系数按照相关规定确定（基准2.1.3.5不适用）。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BFBD82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44A2DDA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42A920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tcBorders>
              <w:top w:val="nil"/>
              <w:left w:val="nil"/>
              <w:bottom w:val="single" w:color="auto" w:sz="4" w:space="0"/>
              <w:right w:val="single" w:color="auto" w:sz="4" w:space="0"/>
            </w:tcBorders>
            <w:noWrap w:val="0"/>
            <w:vAlign w:val="center"/>
          </w:tcPr>
          <w:p w14:paraId="18397A6F">
            <w:pPr>
              <w:widowControl/>
              <w:jc w:val="center"/>
              <w:rPr>
                <w:rFonts w:hint="eastAsia" w:ascii="宋体" w:hAnsi="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C2321100</w:t>
            </w:r>
          </w:p>
        </w:tc>
      </w:tr>
      <w:tr w14:paraId="52B444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80" w:hRule="atLeast"/>
        </w:trPr>
        <w:tc>
          <w:tcPr>
            <w:tcW w:w="716" w:type="dxa"/>
            <w:gridSpan w:val="2"/>
            <w:tcBorders>
              <w:top w:val="nil"/>
              <w:left w:val="single" w:color="auto" w:sz="4" w:space="0"/>
              <w:bottom w:val="single" w:color="auto" w:sz="4" w:space="0"/>
              <w:right w:val="single" w:color="auto" w:sz="4" w:space="0"/>
            </w:tcBorders>
            <w:noWrap/>
            <w:vAlign w:val="center"/>
          </w:tcPr>
          <w:p w14:paraId="35CEDE1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0AF5EE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开展水上旅游项目或者其他利用活动时使用以柴油、汽油为动力的游船</w:t>
            </w:r>
          </w:p>
        </w:tc>
        <w:tc>
          <w:tcPr>
            <w:tcW w:w="2981" w:type="dxa"/>
            <w:tcBorders>
              <w:top w:val="nil"/>
              <w:left w:val="nil"/>
              <w:bottom w:val="single" w:color="auto" w:sz="4" w:space="0"/>
              <w:right w:val="single" w:color="auto" w:sz="4" w:space="0"/>
            </w:tcBorders>
            <w:noWrap w:val="0"/>
            <w:vAlign w:val="center"/>
          </w:tcPr>
          <w:p w14:paraId="49A1D7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处罚条款：第四十四条第一款，责令停止违法行为，限期改正，处八千元以上八万元以下的罚款。</w:t>
            </w:r>
          </w:p>
        </w:tc>
        <w:tc>
          <w:tcPr>
            <w:tcW w:w="851" w:type="dxa"/>
            <w:tcBorders>
              <w:top w:val="nil"/>
              <w:left w:val="nil"/>
              <w:bottom w:val="single" w:color="auto" w:sz="4" w:space="0"/>
              <w:right w:val="single" w:color="auto" w:sz="4" w:space="0"/>
            </w:tcBorders>
            <w:noWrap w:val="0"/>
            <w:vAlign w:val="center"/>
          </w:tcPr>
          <w:p w14:paraId="5459840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8000 </w:t>
            </w:r>
          </w:p>
        </w:tc>
        <w:tc>
          <w:tcPr>
            <w:tcW w:w="840" w:type="dxa"/>
            <w:tcBorders>
              <w:top w:val="nil"/>
              <w:left w:val="nil"/>
              <w:bottom w:val="single" w:color="auto" w:sz="4" w:space="0"/>
              <w:right w:val="single" w:color="auto" w:sz="4" w:space="0"/>
            </w:tcBorders>
            <w:noWrap w:val="0"/>
            <w:vAlign w:val="center"/>
          </w:tcPr>
          <w:p w14:paraId="152CBF6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288A7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1.使用小型动力游船（功率＜20马力），系数为0，每增加1艘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系数加1；2.使用中型动力游船（20马力≤功率＜50马力），系数为2，每增加1艘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系数加2；3.使用大型动力游船（50马力≤功率），系数为4，每增加1艘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系数加3；4.在禁航时段作业，系数为9。5.存在基准2.1.3规定情形的，系数按照相关规定确定（基准2.1.3.5不适用）。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BA5EA5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罚款金额=8000×（1+情节系数）</w:t>
            </w:r>
          </w:p>
        </w:tc>
        <w:tc>
          <w:tcPr>
            <w:tcW w:w="2016" w:type="dxa"/>
            <w:tcBorders>
              <w:top w:val="nil"/>
              <w:left w:val="nil"/>
              <w:bottom w:val="single" w:color="auto" w:sz="4" w:space="0"/>
              <w:right w:val="single" w:color="auto" w:sz="4" w:space="0"/>
            </w:tcBorders>
            <w:noWrap w:val="0"/>
            <w:vAlign w:val="center"/>
          </w:tcPr>
          <w:p w14:paraId="552F7D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70C9B8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tcBorders>
              <w:top w:val="nil"/>
              <w:left w:val="nil"/>
              <w:bottom w:val="single" w:color="auto" w:sz="4" w:space="0"/>
              <w:right w:val="single" w:color="auto" w:sz="4" w:space="0"/>
            </w:tcBorders>
            <w:noWrap w:val="0"/>
            <w:vAlign w:val="center"/>
          </w:tcPr>
          <w:p w14:paraId="4878DA37">
            <w:pPr>
              <w:widowControl/>
              <w:jc w:val="center"/>
              <w:rPr>
                <w:rFonts w:hint="eastAsia" w:ascii="宋体" w:hAnsi="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C2321300</w:t>
            </w:r>
          </w:p>
        </w:tc>
      </w:tr>
      <w:tr w14:paraId="7AE834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12CFFC3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54018A7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未经批准擅自利用河湖开办旅游项目或者从事其他利用活动</w:t>
            </w:r>
          </w:p>
        </w:tc>
        <w:tc>
          <w:tcPr>
            <w:tcW w:w="2981" w:type="dxa"/>
            <w:tcBorders>
              <w:top w:val="nil"/>
              <w:left w:val="nil"/>
              <w:bottom w:val="single" w:color="auto" w:sz="4" w:space="0"/>
              <w:right w:val="single" w:color="auto" w:sz="4" w:space="0"/>
            </w:tcBorders>
            <w:noWrap w:val="0"/>
            <w:vAlign w:val="center"/>
          </w:tcPr>
          <w:p w14:paraId="44C6FB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处罚条款：第四十四条第二款，责令停止违法行为，限期改正，处二万元以上十万元以下的罚款。</w:t>
            </w:r>
          </w:p>
        </w:tc>
        <w:tc>
          <w:tcPr>
            <w:tcW w:w="851" w:type="dxa"/>
            <w:tcBorders>
              <w:top w:val="nil"/>
              <w:left w:val="nil"/>
              <w:bottom w:val="single" w:color="auto" w:sz="4" w:space="0"/>
              <w:right w:val="single" w:color="auto" w:sz="4" w:space="0"/>
            </w:tcBorders>
            <w:noWrap w:val="0"/>
            <w:vAlign w:val="center"/>
          </w:tcPr>
          <w:p w14:paraId="465B068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148157D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58EB8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活动持续时间＜3天或参与人数＜200人，系数为0；2.3天≤活动持续时间＜5天或200人≤参与人数＜500人，系数为1；3.5天≤活动持续时间＜10天或500人≤参与人数＜1000人，系数为2；4.10天≤活动持续时间＜15天或1000人≤参与人数＜2000人，系数为3；5.15天≤活动持续时间或2000人≤参与人数，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3F59F5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14:paraId="13CCFA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BA71E8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tcBorders>
              <w:top w:val="nil"/>
              <w:left w:val="nil"/>
              <w:bottom w:val="single" w:color="auto" w:sz="4" w:space="0"/>
              <w:right w:val="single" w:color="auto" w:sz="4" w:space="0"/>
            </w:tcBorders>
            <w:noWrap w:val="0"/>
            <w:vAlign w:val="center"/>
          </w:tcPr>
          <w:p w14:paraId="6A9D0C4D">
            <w:pPr>
              <w:widowControl/>
              <w:jc w:val="center"/>
              <w:rPr>
                <w:rFonts w:hint="eastAsia" w:ascii="宋体" w:hAnsi="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C2321400</w:t>
            </w:r>
          </w:p>
        </w:tc>
      </w:tr>
      <w:tr w14:paraId="0147E5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75C969E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5AAF44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擅自在河湖管理范围内新建、改建或者扩大排水口</w:t>
            </w:r>
          </w:p>
        </w:tc>
        <w:tc>
          <w:tcPr>
            <w:tcW w:w="2981" w:type="dxa"/>
            <w:tcBorders>
              <w:top w:val="nil"/>
              <w:left w:val="nil"/>
              <w:bottom w:val="single" w:color="auto" w:sz="4" w:space="0"/>
              <w:right w:val="single" w:color="auto" w:sz="4" w:space="0"/>
            </w:tcBorders>
            <w:noWrap w:val="0"/>
            <w:vAlign w:val="center"/>
          </w:tcPr>
          <w:p w14:paraId="656001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处罚条款：第四十三条，责令停止违法行为，限期恢复原状，处五万元以上十万元以下的罚款。</w:t>
            </w:r>
          </w:p>
        </w:tc>
        <w:tc>
          <w:tcPr>
            <w:tcW w:w="851" w:type="dxa"/>
            <w:tcBorders>
              <w:top w:val="nil"/>
              <w:left w:val="nil"/>
              <w:bottom w:val="single" w:color="auto" w:sz="4" w:space="0"/>
              <w:right w:val="single" w:color="auto" w:sz="4" w:space="0"/>
            </w:tcBorders>
            <w:noWrap w:val="0"/>
            <w:vAlign w:val="center"/>
          </w:tcPr>
          <w:p w14:paraId="78EAE81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3005FCB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0ED07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新建、改建或者扩大排水口＜DN200，系数为0；2.DN200≤新建、改建或者扩大排水口＜DN600，系数为0.5；3.DN600≤新建、改建或者扩大排水口，系数为1；4.新建、改建或者扩大2个及以上排水口，系数为1。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8A339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1AF4B70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E12ACC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tcBorders>
              <w:top w:val="nil"/>
              <w:left w:val="nil"/>
              <w:bottom w:val="single" w:color="auto" w:sz="4" w:space="0"/>
              <w:right w:val="single" w:color="auto" w:sz="4" w:space="0"/>
            </w:tcBorders>
            <w:noWrap w:val="0"/>
            <w:vAlign w:val="center"/>
          </w:tcPr>
          <w:p w14:paraId="685A9106">
            <w:pPr>
              <w:widowControl/>
              <w:jc w:val="center"/>
              <w:rPr>
                <w:rFonts w:hint="eastAsia" w:ascii="宋体" w:hAnsi="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C2354500</w:t>
            </w:r>
          </w:p>
        </w:tc>
      </w:tr>
      <w:tr w14:paraId="664CF5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 w:hRule="atLeast"/>
        </w:trPr>
        <w:tc>
          <w:tcPr>
            <w:tcW w:w="13283" w:type="dxa"/>
            <w:gridSpan w:val="11"/>
            <w:tcBorders>
              <w:top w:val="nil"/>
              <w:left w:val="single" w:color="auto" w:sz="4" w:space="0"/>
              <w:bottom w:val="single" w:color="auto" w:sz="4" w:space="0"/>
              <w:right w:val="single" w:color="auto" w:sz="4" w:space="0"/>
            </w:tcBorders>
            <w:noWrap/>
            <w:vAlign w:val="center"/>
          </w:tcPr>
          <w:p w14:paraId="455E8D88">
            <w:pPr>
              <w:widowControl/>
              <w:jc w:val="center"/>
              <w:outlineLvl w:val="1"/>
              <w:rPr>
                <w:rFonts w:hint="eastAsia" w:ascii="宋体" w:hAnsi="宋体" w:eastAsia="宋体" w:cs="宋体"/>
                <w:color w:val="auto"/>
                <w:kern w:val="0"/>
                <w:szCs w:val="21"/>
                <w:highlight w:val="none"/>
              </w:rPr>
            </w:pPr>
            <w:bookmarkStart w:id="259" w:name="_Toc218468854"/>
            <w:bookmarkStart w:id="260" w:name="_Toc933466885"/>
            <w:r>
              <w:rPr>
                <w:rFonts w:hint="eastAsia" w:ascii="宋体" w:hAnsi="宋体" w:eastAsia="宋体" w:cs="宋体"/>
                <w:b/>
                <w:bCs/>
                <w:color w:val="auto"/>
                <w:kern w:val="0"/>
                <w:szCs w:val="21"/>
                <w:highlight w:val="none"/>
              </w:rPr>
              <w:t>《北京市湿地保护条例》案由8项</w:t>
            </w:r>
            <w:bookmarkEnd w:id="259"/>
            <w:bookmarkEnd w:id="260"/>
          </w:p>
        </w:tc>
        <w:tc>
          <w:tcPr>
            <w:tcW w:w="3173" w:type="dxa"/>
            <w:gridSpan w:val="3"/>
            <w:tcBorders>
              <w:top w:val="nil"/>
              <w:left w:val="single" w:color="auto" w:sz="4" w:space="0"/>
              <w:bottom w:val="single" w:color="auto" w:sz="4" w:space="0"/>
              <w:right w:val="single" w:color="auto" w:sz="4" w:space="0"/>
            </w:tcBorders>
            <w:noWrap/>
            <w:vAlign w:val="center"/>
          </w:tcPr>
          <w:p w14:paraId="56E26F78">
            <w:pPr>
              <w:widowControl/>
              <w:jc w:val="center"/>
              <w:outlineLvl w:val="1"/>
              <w:rPr>
                <w:rFonts w:hint="eastAsia" w:ascii="宋体" w:hAnsi="宋体" w:eastAsia="宋体" w:cs="宋体"/>
                <w:b/>
                <w:bCs/>
                <w:color w:val="auto"/>
                <w:kern w:val="0"/>
                <w:szCs w:val="21"/>
                <w:highlight w:val="none"/>
              </w:rPr>
            </w:pPr>
          </w:p>
        </w:tc>
      </w:tr>
      <w:tr w14:paraId="6DE5B3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29421E9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2A3D5A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未经批准擅自开垦、占用湿地或者改变湿地用途</w:t>
            </w:r>
          </w:p>
        </w:tc>
        <w:tc>
          <w:tcPr>
            <w:tcW w:w="2981" w:type="dxa"/>
            <w:tcBorders>
              <w:top w:val="nil"/>
              <w:left w:val="nil"/>
              <w:bottom w:val="single" w:color="auto" w:sz="4" w:space="0"/>
              <w:right w:val="single" w:color="auto" w:sz="4" w:space="0"/>
            </w:tcBorders>
            <w:noWrap w:val="0"/>
            <w:vAlign w:val="center"/>
          </w:tcPr>
          <w:p w14:paraId="3F2D44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处罚条款：第四十二条第一款，责令停止违法行为、限期恢复原状，并按照占用湿地或者改变湿地用途的面积，以每平方米2000元以上5000元以下的标准处以罚款。</w:t>
            </w:r>
          </w:p>
        </w:tc>
        <w:tc>
          <w:tcPr>
            <w:tcW w:w="851" w:type="dxa"/>
            <w:tcBorders>
              <w:top w:val="nil"/>
              <w:left w:val="nil"/>
              <w:bottom w:val="single" w:color="auto" w:sz="4" w:space="0"/>
              <w:right w:val="single" w:color="auto" w:sz="4" w:space="0"/>
            </w:tcBorders>
            <w:noWrap w:val="0"/>
            <w:vAlign w:val="center"/>
          </w:tcPr>
          <w:p w14:paraId="1A6395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14:paraId="7C6D26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7D3FD7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1.在一般湿地内开展违法行为，系数为0；2.在区级湿地内开展违法行为，系数为0.5；3.在市级湿地内开展违法行为，系数为1；4.在国家重要湿地内开展违法行为或造成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恶劣影响，系数为1.5。5.存在基准2.1.3规定情形的，系数按照相关规定确定（基准2.1.3.5不适用）。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BF464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 ×（1+情节系数）×占用湿地或者改变湿地用途的面积</w:t>
            </w:r>
          </w:p>
        </w:tc>
        <w:tc>
          <w:tcPr>
            <w:tcW w:w="2016" w:type="dxa"/>
            <w:tcBorders>
              <w:top w:val="nil"/>
              <w:left w:val="nil"/>
              <w:bottom w:val="single" w:color="auto" w:sz="4" w:space="0"/>
              <w:right w:val="single" w:color="auto" w:sz="4" w:space="0"/>
            </w:tcBorders>
            <w:noWrap w:val="0"/>
            <w:vAlign w:val="center"/>
          </w:tcPr>
          <w:p w14:paraId="3F7997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46ADF8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E8748F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C2341000</w:t>
            </w:r>
          </w:p>
        </w:tc>
      </w:tr>
      <w:tr w14:paraId="7569B3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420" w:hRule="atLeast"/>
        </w:trPr>
        <w:tc>
          <w:tcPr>
            <w:tcW w:w="716" w:type="dxa"/>
            <w:gridSpan w:val="2"/>
            <w:tcBorders>
              <w:top w:val="nil"/>
              <w:left w:val="single" w:color="auto" w:sz="4" w:space="0"/>
              <w:bottom w:val="single" w:color="auto" w:sz="4" w:space="0"/>
              <w:right w:val="single" w:color="auto" w:sz="4" w:space="0"/>
            </w:tcBorders>
            <w:noWrap/>
            <w:vAlign w:val="center"/>
          </w:tcPr>
          <w:p w14:paraId="2333E74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5A9775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在列入名录的湿地保护范围内采集泥炭、采挖野生植物、捡拾鸟蛋</w:t>
            </w:r>
          </w:p>
        </w:tc>
        <w:tc>
          <w:tcPr>
            <w:tcW w:w="2981" w:type="dxa"/>
            <w:tcBorders>
              <w:top w:val="nil"/>
              <w:left w:val="nil"/>
              <w:bottom w:val="single" w:color="auto" w:sz="4" w:space="0"/>
              <w:right w:val="single" w:color="auto" w:sz="4" w:space="0"/>
            </w:tcBorders>
            <w:noWrap w:val="0"/>
            <w:vAlign w:val="center"/>
          </w:tcPr>
          <w:p w14:paraId="6F52B5B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处罚条款：第四十三条第一款，责令改正或者恢复原状，处500元以上5000元以下罚款。</w:t>
            </w:r>
          </w:p>
        </w:tc>
        <w:tc>
          <w:tcPr>
            <w:tcW w:w="851" w:type="dxa"/>
            <w:tcBorders>
              <w:top w:val="nil"/>
              <w:left w:val="nil"/>
              <w:bottom w:val="single" w:color="auto" w:sz="4" w:space="0"/>
              <w:right w:val="single" w:color="auto" w:sz="4" w:space="0"/>
            </w:tcBorders>
            <w:noWrap w:val="0"/>
            <w:vAlign w:val="center"/>
          </w:tcPr>
          <w:p w14:paraId="5471BCC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14:paraId="5287D8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DEFBC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采集泥炭单次采集量＜1立方米或采挖非国家重点保护植物＜5株或捡拾非保护鸟类鸟蛋＜3枚，系数为0；2.1立方米≤采集泥炭单次采集量＜5立方米或5株≤采挖非国家重点保护植物＜20株或3枚≤捡拾非保护鸟类鸟蛋＜10枚（保护鸟类鸟蛋＜2枚），系数为2；3.5立方米≤采集泥炭单次采集量＜20立方米或20株≤采挖非国家重点保护植物＜50株（采挖国家二级保护植物＜5株）或10枚≤捡拾非保护鸟类鸟蛋（2枚≤保护鸟类鸟蛋＜5枚），系数为4；4.20立方米≤采集泥炭单次采集量或5株≤采挖国家二级保护植物（采挖国家一级保护植物＜2株）或5枚≤捡拾保护鸟类鸟蛋＜10枚，系数为6；5.采集泥炭大规模机械化采集或2株≤采挖国家一级保护植物或10枚≤捡拾保护鸟类鸟蛋，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02D5A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14:paraId="0001C2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A12747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B55E18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C2341100</w:t>
            </w:r>
          </w:p>
        </w:tc>
      </w:tr>
      <w:tr w14:paraId="6C65D0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4"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66609F1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vMerge w:val="restart"/>
            <w:tcBorders>
              <w:top w:val="nil"/>
              <w:left w:val="single" w:color="auto" w:sz="4" w:space="0"/>
              <w:bottom w:val="single" w:color="auto" w:sz="4" w:space="0"/>
              <w:right w:val="single" w:color="auto" w:sz="4" w:space="0"/>
            </w:tcBorders>
            <w:noWrap w:val="0"/>
            <w:vAlign w:val="center"/>
          </w:tcPr>
          <w:p w14:paraId="71C7F2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在列入名录的湿地保护范围内抓捕野生动物，破坏野生动物繁殖区和栖息地</w:t>
            </w:r>
          </w:p>
        </w:tc>
        <w:tc>
          <w:tcPr>
            <w:tcW w:w="2981" w:type="dxa"/>
            <w:vMerge w:val="restart"/>
            <w:tcBorders>
              <w:top w:val="nil"/>
              <w:left w:val="single" w:color="auto" w:sz="4" w:space="0"/>
              <w:bottom w:val="single" w:color="auto" w:sz="4" w:space="0"/>
              <w:right w:val="single" w:color="auto" w:sz="4" w:space="0"/>
            </w:tcBorders>
            <w:noWrap w:val="0"/>
            <w:vAlign w:val="center"/>
          </w:tcPr>
          <w:p w14:paraId="3B060B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51" w:type="dxa"/>
            <w:tcBorders>
              <w:top w:val="nil"/>
              <w:left w:val="nil"/>
              <w:bottom w:val="single" w:color="auto" w:sz="4" w:space="0"/>
              <w:right w:val="single" w:color="auto" w:sz="4" w:space="0"/>
            </w:tcBorders>
            <w:noWrap w:val="0"/>
            <w:vAlign w:val="center"/>
          </w:tcPr>
          <w:p w14:paraId="097C05B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4975AFB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EDEC9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抓捕非国家重点保护野生动物＜3只（头、条）或破坏栖息地面积＜5平方米，系数为0；2.3只（头、条）≤抓捕非国家重点保护野生动物＜10只（头、条）或5平方米≤破坏栖息地面积＜20平方米，系数为2；3.10只（头、条）≤抓捕非国家重点保护野生动物（单次抓捕国家二级保护野生动物＜2只）或5平方米≤破坏栖息地面积＜200平方米，系数为4；4.2只（头、条）≤抓捕国家二级保护野生动物或200平方米≤破坏栖息地面积＜500平方米，系数为6；5.抓捕国家一级保护野生动物1只（头、条）或500平方米≤破坏栖息地面积，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EC3D9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1FD9E6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6A6EC08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6405B01D">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C2341200</w:t>
            </w:r>
          </w:p>
        </w:tc>
      </w:tr>
      <w:tr w14:paraId="0B40598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66E786AB">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5E70C462">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2180FF40">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262D1DB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14:paraId="61CEF2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E9F036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不可以恢复原状但未造成动物种群和生境完全破坏，系数为0；2.抓捕国家一级保护野生动物2只（头、条），系数为1，每增加1只（头、条），系数加1；3.不可以恢复原状且造成动物种群或生境完全破坏，系数为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2FC2D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283797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存在以下情形之一的，可视为严重后果：1.不可以恢复原状；2.抓捕国家一级保护野生动物1只（头、条）以上。</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48B60F14">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6DEF0941">
            <w:pPr>
              <w:widowControl/>
              <w:jc w:val="left"/>
              <w:rPr>
                <w:rFonts w:hint="eastAsia" w:ascii="宋体" w:hAnsi="宋体" w:eastAsia="宋体" w:cs="宋体"/>
                <w:color w:val="auto"/>
                <w:kern w:val="0"/>
                <w:sz w:val="15"/>
                <w:szCs w:val="15"/>
                <w:highlight w:val="none"/>
              </w:rPr>
            </w:pPr>
          </w:p>
        </w:tc>
      </w:tr>
      <w:tr w14:paraId="425AFB3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8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74ED26D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vMerge w:val="restart"/>
            <w:tcBorders>
              <w:top w:val="nil"/>
              <w:left w:val="single" w:color="auto" w:sz="4" w:space="0"/>
              <w:bottom w:val="single" w:color="auto" w:sz="4" w:space="0"/>
              <w:right w:val="single" w:color="auto" w:sz="4" w:space="0"/>
            </w:tcBorders>
            <w:noWrap w:val="0"/>
            <w:vAlign w:val="center"/>
          </w:tcPr>
          <w:p w14:paraId="702B95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在列入名录的湿地保护范围内投放有毒有害物质、倾倒废弃物或者排放未经处理的污水</w:t>
            </w:r>
          </w:p>
        </w:tc>
        <w:tc>
          <w:tcPr>
            <w:tcW w:w="2981" w:type="dxa"/>
            <w:vMerge w:val="restart"/>
            <w:tcBorders>
              <w:top w:val="nil"/>
              <w:left w:val="single" w:color="auto" w:sz="4" w:space="0"/>
              <w:bottom w:val="single" w:color="auto" w:sz="4" w:space="0"/>
              <w:right w:val="single" w:color="auto" w:sz="4" w:space="0"/>
            </w:tcBorders>
            <w:noWrap w:val="0"/>
            <w:vAlign w:val="center"/>
          </w:tcPr>
          <w:p w14:paraId="10790D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51" w:type="dxa"/>
            <w:tcBorders>
              <w:top w:val="nil"/>
              <w:left w:val="nil"/>
              <w:bottom w:val="single" w:color="auto" w:sz="4" w:space="0"/>
              <w:right w:val="single" w:color="auto" w:sz="4" w:space="0"/>
            </w:tcBorders>
            <w:noWrap w:val="0"/>
            <w:vAlign w:val="center"/>
          </w:tcPr>
          <w:p w14:paraId="3F31E13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0768DE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70B33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排放未经处理的生活污水排放量＜5吨或倾倒废弃物＜5立方米，系数为0；2.在一般湿地内，5吨≤排放未经处理的生活污水排放量＜20吨或5立方米≤倾倒废弃物＜20立方米，系数为2；3.在一般湿地内，20吨≤排放未经处理的生活污水排放量＜50吨或20立方米≤倾倒废弃物＜50立方米，系数为4；4.在一般湿地内，50吨≤排放未经处理的生活污水排放量＜80吨或50立方米≤倾倒废弃物＜80立方米，或投放有毒有害物质，系数为6；5.在一般湿地内，80吨≤排放未经处理的生活污水排放量或80立方米≤倾倒废弃物，或投放有毒有害物质造成严重后果，系数为9。6.存在基准2.1.3规定情形的，系数按照相关规定确定（基准2.1.3.5不适用）。在区级湿地内发生以上行为，系数加1；在市级湿地内发生以上行为，系数加2。</w:t>
            </w:r>
          </w:p>
        </w:tc>
        <w:tc>
          <w:tcPr>
            <w:tcW w:w="1879" w:type="dxa"/>
            <w:gridSpan w:val="3"/>
            <w:tcBorders>
              <w:top w:val="nil"/>
              <w:left w:val="nil"/>
              <w:bottom w:val="single" w:color="auto" w:sz="4" w:space="0"/>
              <w:right w:val="single" w:color="auto" w:sz="4" w:space="0"/>
            </w:tcBorders>
            <w:noWrap w:val="0"/>
            <w:vAlign w:val="center"/>
          </w:tcPr>
          <w:p w14:paraId="2EF0FD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2F58DAA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47022D9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3078B98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C2341300</w:t>
            </w:r>
          </w:p>
        </w:tc>
      </w:tr>
      <w:tr w14:paraId="7AF42D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6F0873D6">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19E4C599">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438DA068">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149E8AA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14:paraId="72969F5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C3F5B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排放未经处理的生活污水排放量＜5吨或倾倒废弃物＜5立方米，系数为0；5吨≤排放未经处理的生活污水排放量＜10吨或5立方米≤倾倒废弃物＜10立方米，系数为1；每增加5吨（不足5吨的，按5吨计）或5立方米（不足5立方米的，按5立方米计），系数加1；45吨≤排放未经处理的生活污水排放量或45立方米≤倾倒废弃物，系数为9；2.投放有毒有害物质造成严重后果，系数为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BD743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286086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0D2E8CE3">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261FF401">
            <w:pPr>
              <w:widowControl/>
              <w:jc w:val="left"/>
              <w:rPr>
                <w:rFonts w:hint="eastAsia" w:ascii="宋体" w:hAnsi="宋体" w:eastAsia="宋体" w:cs="宋体"/>
                <w:color w:val="auto"/>
                <w:kern w:val="0"/>
                <w:sz w:val="15"/>
                <w:szCs w:val="15"/>
                <w:highlight w:val="none"/>
              </w:rPr>
            </w:pPr>
          </w:p>
        </w:tc>
      </w:tr>
      <w:tr w14:paraId="757320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9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517D16E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vMerge w:val="restart"/>
            <w:tcBorders>
              <w:top w:val="nil"/>
              <w:left w:val="single" w:color="auto" w:sz="4" w:space="0"/>
              <w:bottom w:val="single" w:color="auto" w:sz="4" w:space="0"/>
              <w:right w:val="single" w:color="auto" w:sz="4" w:space="0"/>
            </w:tcBorders>
            <w:noWrap w:val="0"/>
            <w:vAlign w:val="center"/>
          </w:tcPr>
          <w:p w14:paraId="7CF494A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在列入名录的湿地保护范围内投放有害物种或者擅自引入外来物种</w:t>
            </w:r>
          </w:p>
        </w:tc>
        <w:tc>
          <w:tcPr>
            <w:tcW w:w="2981" w:type="dxa"/>
            <w:vMerge w:val="restart"/>
            <w:tcBorders>
              <w:top w:val="nil"/>
              <w:left w:val="single" w:color="auto" w:sz="4" w:space="0"/>
              <w:bottom w:val="single" w:color="auto" w:sz="4" w:space="0"/>
              <w:right w:val="single" w:color="auto" w:sz="4" w:space="0"/>
            </w:tcBorders>
            <w:noWrap w:val="0"/>
            <w:vAlign w:val="center"/>
          </w:tcPr>
          <w:p w14:paraId="3F406C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51" w:type="dxa"/>
            <w:tcBorders>
              <w:top w:val="nil"/>
              <w:left w:val="nil"/>
              <w:bottom w:val="single" w:color="auto" w:sz="4" w:space="0"/>
              <w:right w:val="single" w:color="auto" w:sz="4" w:space="0"/>
            </w:tcBorders>
            <w:noWrap w:val="0"/>
            <w:vAlign w:val="center"/>
          </w:tcPr>
          <w:p w14:paraId="70ECBA1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55D98EB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905F2F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投放有害物种或者擅自引入外来物种＜3只（头、条、株），系数为0；2.在一般湿地内，3只（头、条、株）≤投放有害物种或者擅自引入外来物种＜10只（头、条、株），系数为2；3.在一般湿地内，10只（头、条、株）≤投放有害物种或者擅自引入外来物种＜20只（头、条、株），系数为4；4.在一般湿地内，20只（头、条、株）≤投放有害物种或者擅自引入外来物种＜40只（头、条、株），系数为6；5.在一般湿地内，40只（头、条、株）≤投放有害物种或者擅自引入外来物种，系数为9。6.存在基准2.1.3规定情形的，系数按照相关规定确定（基准2.1.3.5不适用）。在区级湿地内发生以上行为，系数加1；在市级湿地内发生以上行为，系数加2。</w:t>
            </w:r>
          </w:p>
        </w:tc>
        <w:tc>
          <w:tcPr>
            <w:tcW w:w="1879" w:type="dxa"/>
            <w:gridSpan w:val="3"/>
            <w:tcBorders>
              <w:top w:val="nil"/>
              <w:left w:val="nil"/>
              <w:bottom w:val="single" w:color="auto" w:sz="4" w:space="0"/>
              <w:right w:val="single" w:color="auto" w:sz="4" w:space="0"/>
            </w:tcBorders>
            <w:noWrap w:val="0"/>
            <w:vAlign w:val="center"/>
          </w:tcPr>
          <w:p w14:paraId="1E0036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5BC1C5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51607ED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59EA362D">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C2341400</w:t>
            </w:r>
          </w:p>
        </w:tc>
      </w:tr>
      <w:tr w14:paraId="485DFD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1BFA63A5">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4AEF0543">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0D5F16A1">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2B332F5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14:paraId="10AFA5F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602D9E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投放有害物种或者擅自引入外来物种＜5只（头、条、株），系数为0；5只（头、条、株）≤投放有害物种或者擅自引入外来物种＜10只（头、条、株），系数为1；每增加5只（头、条、株，不足5只的，按5只计），系数加1；45只（头、条、株）≤投放有害物种或擅自引入外来物种，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6E19D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0B332A4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0A721C4F">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32A09A0A">
            <w:pPr>
              <w:widowControl/>
              <w:jc w:val="left"/>
              <w:rPr>
                <w:rFonts w:hint="eastAsia" w:ascii="宋体" w:hAnsi="宋体" w:eastAsia="宋体" w:cs="宋体"/>
                <w:color w:val="auto"/>
                <w:kern w:val="0"/>
                <w:sz w:val="15"/>
                <w:szCs w:val="15"/>
                <w:highlight w:val="none"/>
              </w:rPr>
            </w:pPr>
          </w:p>
        </w:tc>
      </w:tr>
      <w:tr w14:paraId="4FD8E5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6D6EA92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vMerge w:val="restart"/>
            <w:tcBorders>
              <w:top w:val="nil"/>
              <w:left w:val="single" w:color="auto" w:sz="4" w:space="0"/>
              <w:bottom w:val="single" w:color="auto" w:sz="4" w:space="0"/>
              <w:right w:val="single" w:color="auto" w:sz="4" w:space="0"/>
            </w:tcBorders>
            <w:noWrap w:val="0"/>
            <w:vAlign w:val="center"/>
          </w:tcPr>
          <w:p w14:paraId="617FE06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在列入名录的湿地保护范围内擅自排放湿地水资源或者堵截湿地水系与外围水系的</w:t>
            </w:r>
          </w:p>
        </w:tc>
        <w:tc>
          <w:tcPr>
            <w:tcW w:w="2981" w:type="dxa"/>
            <w:vMerge w:val="restart"/>
            <w:tcBorders>
              <w:top w:val="nil"/>
              <w:left w:val="single" w:color="auto" w:sz="4" w:space="0"/>
              <w:bottom w:val="single" w:color="auto" w:sz="4" w:space="0"/>
              <w:right w:val="single" w:color="auto" w:sz="4" w:space="0"/>
            </w:tcBorders>
            <w:noWrap w:val="0"/>
            <w:vAlign w:val="center"/>
          </w:tcPr>
          <w:p w14:paraId="5187B9D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51" w:type="dxa"/>
            <w:tcBorders>
              <w:top w:val="nil"/>
              <w:left w:val="nil"/>
              <w:bottom w:val="single" w:color="auto" w:sz="4" w:space="0"/>
              <w:right w:val="single" w:color="auto" w:sz="4" w:space="0"/>
            </w:tcBorders>
            <w:noWrap w:val="0"/>
            <w:vAlign w:val="center"/>
          </w:tcPr>
          <w:p w14:paraId="54B3026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5D11226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B9376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排放量＜100立方米或堵截时间＜1天，系数为0；2.在一般湿地内，100立方米≤排放量＜500立方米或1天≤堵截时间＜3天，系数为2；3.在一般湿地内，500立方米≤排放量＜1000立方米或3天≤堵截时间＜5天，系数为4；4.在一般湿地内，1000立方米≤排放量＜2000立方米或5天≤堵截时间＜10天，系数为6；5.在一般湿地内，2000立方米≤排放量或10天≤堵截时间，系数为9。6.存在基准2.1.3规定情形的，系数按照相关规定确定（基准2.1.3.5不适用）。在区级湿地内发生以上行为，系数加1；在市级湿地内发生以上行为，系数加2。</w:t>
            </w:r>
          </w:p>
        </w:tc>
        <w:tc>
          <w:tcPr>
            <w:tcW w:w="1879" w:type="dxa"/>
            <w:gridSpan w:val="3"/>
            <w:tcBorders>
              <w:top w:val="nil"/>
              <w:left w:val="nil"/>
              <w:bottom w:val="single" w:color="auto" w:sz="4" w:space="0"/>
              <w:right w:val="single" w:color="auto" w:sz="4" w:space="0"/>
            </w:tcBorders>
            <w:noWrap w:val="0"/>
            <w:vAlign w:val="center"/>
          </w:tcPr>
          <w:p w14:paraId="1D714B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45B13E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147BB41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single" w:color="auto" w:sz="4" w:space="0"/>
              <w:bottom w:val="single" w:color="auto" w:sz="4" w:space="0"/>
              <w:right w:val="single" w:color="auto" w:sz="4" w:space="0"/>
            </w:tcBorders>
            <w:noWrap w:val="0"/>
            <w:vAlign w:val="center"/>
          </w:tcPr>
          <w:p w14:paraId="715D4E8D">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C2341500</w:t>
            </w:r>
          </w:p>
        </w:tc>
      </w:tr>
      <w:tr w14:paraId="481533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18CBCACC">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669A524F">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0AB9F467">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1315444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14:paraId="6FFD918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1FEA1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排放量＜100立方米或堵截时间＜1天，系数为0；100立方米≤排放量＜300立方米或1天≤堵截时间＜2天，系数为1；排放量每增加200立方米（不足200立方米的，按200立方米计）或堵截时间每增加1天（不足1天的，按1天计），系数加1；1700立方米≤排放量0或9天≤堵截时间，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B4990E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1BBF9B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0593BE51">
            <w:pPr>
              <w:widowControl/>
              <w:jc w:val="left"/>
              <w:rPr>
                <w:rFonts w:hint="eastAsia" w:ascii="宋体" w:hAnsi="宋体" w:eastAsia="宋体" w:cs="宋体"/>
                <w:color w:val="auto"/>
                <w:kern w:val="0"/>
                <w:sz w:val="15"/>
                <w:szCs w:val="15"/>
                <w:highlight w:val="none"/>
              </w:rPr>
            </w:pPr>
          </w:p>
        </w:tc>
        <w:tc>
          <w:tcPr>
            <w:tcW w:w="1869" w:type="dxa"/>
            <w:tcBorders>
              <w:top w:val="nil"/>
              <w:left w:val="single" w:color="auto" w:sz="4" w:space="0"/>
              <w:bottom w:val="single" w:color="auto" w:sz="4" w:space="0"/>
              <w:right w:val="single" w:color="auto" w:sz="4" w:space="0"/>
            </w:tcBorders>
            <w:noWrap w:val="0"/>
            <w:vAlign w:val="center"/>
          </w:tcPr>
          <w:p w14:paraId="4733EA20">
            <w:pPr>
              <w:widowControl/>
              <w:jc w:val="left"/>
              <w:rPr>
                <w:rFonts w:hint="eastAsia" w:ascii="宋体" w:hAnsi="宋体" w:eastAsia="宋体" w:cs="宋体"/>
                <w:color w:val="auto"/>
                <w:kern w:val="0"/>
                <w:sz w:val="15"/>
                <w:szCs w:val="15"/>
                <w:highlight w:val="none"/>
              </w:rPr>
            </w:pPr>
          </w:p>
        </w:tc>
      </w:tr>
      <w:tr w14:paraId="2142B4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22762F4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vMerge w:val="restart"/>
            <w:tcBorders>
              <w:top w:val="nil"/>
              <w:left w:val="single" w:color="auto" w:sz="4" w:space="0"/>
              <w:bottom w:val="single" w:color="auto" w:sz="4" w:space="0"/>
              <w:right w:val="single" w:color="auto" w:sz="4" w:space="0"/>
            </w:tcBorders>
            <w:noWrap w:val="0"/>
            <w:vAlign w:val="center"/>
          </w:tcPr>
          <w:p w14:paraId="1089F01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在列入名录的湿地保护范围内破坏湿地保护监测设施设备</w:t>
            </w:r>
          </w:p>
        </w:tc>
        <w:tc>
          <w:tcPr>
            <w:tcW w:w="2981" w:type="dxa"/>
            <w:vMerge w:val="restart"/>
            <w:tcBorders>
              <w:top w:val="nil"/>
              <w:left w:val="single" w:color="auto" w:sz="4" w:space="0"/>
              <w:bottom w:val="single" w:color="auto" w:sz="4" w:space="0"/>
              <w:right w:val="single" w:color="auto" w:sz="4" w:space="0"/>
            </w:tcBorders>
            <w:noWrap w:val="0"/>
            <w:vAlign w:val="center"/>
          </w:tcPr>
          <w:p w14:paraId="30BCC2B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51" w:type="dxa"/>
            <w:tcBorders>
              <w:top w:val="nil"/>
              <w:left w:val="nil"/>
              <w:bottom w:val="single" w:color="auto" w:sz="4" w:space="0"/>
              <w:right w:val="single" w:color="auto" w:sz="4" w:space="0"/>
            </w:tcBorders>
            <w:noWrap w:val="0"/>
            <w:vAlign w:val="center"/>
          </w:tcPr>
          <w:p w14:paraId="51116EE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67A4B6F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D27819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设备原值＜1万元，系数为0；2.在一般湿地内，1万元≤设备原值＜5万元，系数为2；3.在一般湿地内，5万元≤设备原值＜10万元，系数为4；4.在一般湿地内，10万元≤设备原值＜50万元，系数为6；5.在一般湿地内，50万元≤设备原值，系数为9。6.存在基准2.1.3规定情形的，系数按照相关规定确定（基准2.1.3.5不适用）。在区级湿地内发生以上行为，系数加1；在市级湿地内发生以上行为，系数加2。</w:t>
            </w:r>
          </w:p>
        </w:tc>
        <w:tc>
          <w:tcPr>
            <w:tcW w:w="1879" w:type="dxa"/>
            <w:gridSpan w:val="3"/>
            <w:tcBorders>
              <w:top w:val="nil"/>
              <w:left w:val="nil"/>
              <w:bottom w:val="single" w:color="auto" w:sz="4" w:space="0"/>
              <w:right w:val="single" w:color="auto" w:sz="4" w:space="0"/>
            </w:tcBorders>
            <w:noWrap w:val="0"/>
            <w:vAlign w:val="center"/>
          </w:tcPr>
          <w:p w14:paraId="4C7647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2B33F3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7155B66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38BB12F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C2341600</w:t>
            </w:r>
          </w:p>
        </w:tc>
      </w:tr>
      <w:tr w14:paraId="6027AD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140F9999">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35CCBED0">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248DEC59">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3CAACCF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14:paraId="5C5154B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DA45CB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设备原值＜1万元，系数为0；1万元≤设备原值＜5万元，系数为1；设备原值每增加5万元（不足5万元的，按5万元计），系数加1；40万元≤设备原值，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21CE0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51D61F2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054D9041">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65944104">
            <w:pPr>
              <w:widowControl/>
              <w:jc w:val="left"/>
              <w:rPr>
                <w:rFonts w:hint="eastAsia" w:ascii="宋体" w:hAnsi="宋体" w:eastAsia="宋体" w:cs="宋体"/>
                <w:color w:val="auto"/>
                <w:kern w:val="0"/>
                <w:sz w:val="15"/>
                <w:szCs w:val="15"/>
                <w:highlight w:val="none"/>
              </w:rPr>
            </w:pPr>
          </w:p>
        </w:tc>
      </w:tr>
      <w:tr w14:paraId="271238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4"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0CDDB4A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vMerge w:val="restart"/>
            <w:tcBorders>
              <w:top w:val="nil"/>
              <w:left w:val="single" w:color="auto" w:sz="4" w:space="0"/>
              <w:bottom w:val="single" w:color="auto" w:sz="4" w:space="0"/>
              <w:right w:val="single" w:color="auto" w:sz="4" w:space="0"/>
            </w:tcBorders>
            <w:noWrap w:val="0"/>
            <w:vAlign w:val="center"/>
          </w:tcPr>
          <w:p w14:paraId="2C43621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在列入名录的湿地保护范围内擅自建造建筑物、构筑物</w:t>
            </w:r>
          </w:p>
        </w:tc>
        <w:tc>
          <w:tcPr>
            <w:tcW w:w="2981" w:type="dxa"/>
            <w:vMerge w:val="restart"/>
            <w:tcBorders>
              <w:top w:val="nil"/>
              <w:left w:val="single" w:color="auto" w:sz="4" w:space="0"/>
              <w:bottom w:val="single" w:color="auto" w:sz="4" w:space="0"/>
              <w:right w:val="single" w:color="auto" w:sz="4" w:space="0"/>
            </w:tcBorders>
            <w:noWrap w:val="0"/>
            <w:vAlign w:val="center"/>
          </w:tcPr>
          <w:p w14:paraId="699996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51" w:type="dxa"/>
            <w:tcBorders>
              <w:top w:val="nil"/>
              <w:left w:val="nil"/>
              <w:bottom w:val="single" w:color="auto" w:sz="4" w:space="0"/>
              <w:right w:val="single" w:color="auto" w:sz="4" w:space="0"/>
            </w:tcBorders>
            <w:noWrap w:val="0"/>
            <w:vAlign w:val="center"/>
          </w:tcPr>
          <w:p w14:paraId="0F83AF8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492AD9F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ABEA9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建造建筑物、构筑物建筑面积＜20平方米，系数为0；2.在一般湿地内，20平方米≤建造建筑物、构筑物建筑面积＜100平方米，系数为2；3.在一般湿地内，100平方米≤建造建筑物、构筑物建筑面积＜500平方米，系数为4；4.在一般湿地内，500平方米≤建造建筑物、构筑物建筑面积＜1000平方米，系数为6；5.在一般湿地内，1000平方米≤建造建筑物、构筑物建筑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恶劣影响，系数为9。6.存在基准2.1.3规定情形的，系数按照相关规定确定（基准2.1.3.5不适用）。在区级湿地内发生以上行为，系数加1；在市级湿地内发生以上行为，系数加2。</w:t>
            </w:r>
          </w:p>
        </w:tc>
        <w:tc>
          <w:tcPr>
            <w:tcW w:w="1879" w:type="dxa"/>
            <w:gridSpan w:val="3"/>
            <w:tcBorders>
              <w:top w:val="nil"/>
              <w:left w:val="nil"/>
              <w:bottom w:val="single" w:color="auto" w:sz="4" w:space="0"/>
              <w:right w:val="single" w:color="auto" w:sz="4" w:space="0"/>
            </w:tcBorders>
            <w:noWrap w:val="0"/>
            <w:vAlign w:val="center"/>
          </w:tcPr>
          <w:p w14:paraId="156C83A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12BBF3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5F183F2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2A001186">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C2341700</w:t>
            </w:r>
          </w:p>
        </w:tc>
      </w:tr>
      <w:tr w14:paraId="7A7CBC8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51583910">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38CF20FF">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3AEF5879">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400BCC3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14:paraId="6B3C651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D6E4A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建造建筑物、构筑物建筑面积＜20平方米，系数为0；20平方米≤建造建筑物、构筑物建筑面积＜100平方米，系数为1；每增加100平方米（不足100平方米的，按100平方米计），系数加1；800平方米≤建造建筑物、构筑物建筑面积，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5AD4B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6BFE6E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76E9ABD1">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60ED119F">
            <w:pPr>
              <w:widowControl/>
              <w:jc w:val="left"/>
              <w:rPr>
                <w:rFonts w:hint="eastAsia" w:ascii="宋体" w:hAnsi="宋体" w:eastAsia="宋体" w:cs="宋体"/>
                <w:color w:val="auto"/>
                <w:kern w:val="0"/>
                <w:sz w:val="15"/>
                <w:szCs w:val="15"/>
                <w:highlight w:val="none"/>
              </w:rPr>
            </w:pPr>
          </w:p>
        </w:tc>
      </w:tr>
      <w:tr w14:paraId="08EDDC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83"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03DEEAFC">
            <w:pPr>
              <w:widowControl/>
              <w:jc w:val="center"/>
              <w:outlineLvl w:val="1"/>
              <w:rPr>
                <w:rFonts w:hint="eastAsia" w:ascii="宋体" w:hAnsi="宋体" w:eastAsia="宋体" w:cs="宋体"/>
                <w:color w:val="auto"/>
                <w:kern w:val="0"/>
                <w:szCs w:val="21"/>
                <w:highlight w:val="none"/>
              </w:rPr>
            </w:pPr>
            <w:bookmarkStart w:id="261" w:name="_Toc1312199602"/>
            <w:bookmarkStart w:id="262" w:name="_Toc218468855"/>
            <w:r>
              <w:rPr>
                <w:rFonts w:hint="eastAsia" w:ascii="宋体" w:hAnsi="宋体" w:eastAsia="宋体" w:cs="宋体"/>
                <w:b/>
                <w:bCs/>
                <w:color w:val="auto"/>
                <w:kern w:val="0"/>
                <w:szCs w:val="21"/>
                <w:highlight w:val="none"/>
              </w:rPr>
              <w:t>《北京市水污染防治条例》案由2项</w:t>
            </w:r>
            <w:bookmarkEnd w:id="261"/>
            <w:bookmarkEnd w:id="262"/>
          </w:p>
        </w:tc>
        <w:tc>
          <w:tcPr>
            <w:tcW w:w="3173" w:type="dxa"/>
            <w:gridSpan w:val="3"/>
            <w:tcBorders>
              <w:top w:val="nil"/>
              <w:left w:val="single" w:color="auto" w:sz="4" w:space="0"/>
              <w:bottom w:val="single" w:color="auto" w:sz="4" w:space="0"/>
              <w:right w:val="single" w:color="auto" w:sz="4" w:space="0"/>
            </w:tcBorders>
            <w:noWrap w:val="0"/>
            <w:vAlign w:val="center"/>
          </w:tcPr>
          <w:p w14:paraId="01F0C42D">
            <w:pPr>
              <w:widowControl/>
              <w:jc w:val="center"/>
              <w:outlineLvl w:val="1"/>
              <w:rPr>
                <w:rFonts w:hint="eastAsia" w:ascii="宋体" w:hAnsi="宋体" w:eastAsia="宋体" w:cs="宋体"/>
                <w:b/>
                <w:bCs/>
                <w:color w:val="auto"/>
                <w:kern w:val="0"/>
                <w:szCs w:val="21"/>
                <w:highlight w:val="none"/>
              </w:rPr>
            </w:pPr>
          </w:p>
        </w:tc>
      </w:tr>
      <w:tr w14:paraId="1AFF59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660" w:hRule="atLeast"/>
        </w:trPr>
        <w:tc>
          <w:tcPr>
            <w:tcW w:w="716" w:type="dxa"/>
            <w:gridSpan w:val="2"/>
            <w:tcBorders>
              <w:top w:val="nil"/>
              <w:left w:val="single" w:color="auto" w:sz="4" w:space="0"/>
              <w:bottom w:val="single" w:color="auto" w:sz="4" w:space="0"/>
              <w:right w:val="single" w:color="auto" w:sz="4" w:space="0"/>
            </w:tcBorders>
            <w:noWrap/>
            <w:vAlign w:val="center"/>
          </w:tcPr>
          <w:p w14:paraId="161244C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4FA6967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在地表饮用水水源一级保护区的水域内垂钓</w:t>
            </w:r>
          </w:p>
        </w:tc>
        <w:tc>
          <w:tcPr>
            <w:tcW w:w="2981" w:type="dxa"/>
            <w:tcBorders>
              <w:top w:val="nil"/>
              <w:left w:val="nil"/>
              <w:bottom w:val="single" w:color="auto" w:sz="4" w:space="0"/>
              <w:right w:val="single" w:color="auto" w:sz="4" w:space="0"/>
            </w:tcBorders>
            <w:noWrap w:val="0"/>
            <w:vAlign w:val="center"/>
          </w:tcPr>
          <w:p w14:paraId="353F87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处罚条款：第八十条第二款，责令停止违法行为，并可以处五百元以下的罚款。</w:t>
            </w:r>
          </w:p>
        </w:tc>
        <w:tc>
          <w:tcPr>
            <w:tcW w:w="851" w:type="dxa"/>
            <w:tcBorders>
              <w:top w:val="nil"/>
              <w:left w:val="nil"/>
              <w:bottom w:val="single" w:color="auto" w:sz="4" w:space="0"/>
              <w:right w:val="single" w:color="auto" w:sz="4" w:space="0"/>
            </w:tcBorders>
            <w:noWrap w:val="0"/>
            <w:vAlign w:val="center"/>
          </w:tcPr>
          <w:p w14:paraId="1BC921C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14:paraId="5CA32E4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50107E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559AD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2016" w:type="dxa"/>
            <w:tcBorders>
              <w:top w:val="nil"/>
              <w:left w:val="nil"/>
              <w:bottom w:val="single" w:color="auto" w:sz="4" w:space="0"/>
              <w:right w:val="single" w:color="auto" w:sz="4" w:space="0"/>
            </w:tcBorders>
            <w:noWrap w:val="0"/>
            <w:vAlign w:val="center"/>
          </w:tcPr>
          <w:p w14:paraId="5CAFC6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544F1A0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tcBorders>
              <w:top w:val="nil"/>
              <w:left w:val="nil"/>
              <w:bottom w:val="single" w:color="auto" w:sz="4" w:space="0"/>
              <w:right w:val="single" w:color="auto" w:sz="4" w:space="0"/>
            </w:tcBorders>
            <w:noWrap w:val="0"/>
            <w:vAlign w:val="center"/>
          </w:tcPr>
          <w:p w14:paraId="5CFA975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C2345600</w:t>
            </w:r>
          </w:p>
        </w:tc>
      </w:tr>
      <w:tr w14:paraId="06F7052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5C3E7F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5A38D38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在地表饮用水水源保护区组织水上旅游或者其他可能污染饮用水水源活动</w:t>
            </w:r>
          </w:p>
        </w:tc>
        <w:tc>
          <w:tcPr>
            <w:tcW w:w="2981" w:type="dxa"/>
            <w:tcBorders>
              <w:top w:val="nil"/>
              <w:left w:val="nil"/>
              <w:bottom w:val="single" w:color="auto" w:sz="4" w:space="0"/>
              <w:right w:val="single" w:color="auto" w:sz="4" w:space="0"/>
            </w:tcBorders>
            <w:noWrap w:val="0"/>
            <w:vAlign w:val="center"/>
          </w:tcPr>
          <w:p w14:paraId="3AD5B8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处罚条款：第八十条第二款，责令停止违法行为，并处二万元以上十万元以下的罚款。</w:t>
            </w:r>
          </w:p>
        </w:tc>
        <w:tc>
          <w:tcPr>
            <w:tcW w:w="851" w:type="dxa"/>
            <w:tcBorders>
              <w:top w:val="nil"/>
              <w:left w:val="nil"/>
              <w:bottom w:val="single" w:color="auto" w:sz="4" w:space="0"/>
              <w:right w:val="single" w:color="auto" w:sz="4" w:space="0"/>
            </w:tcBorders>
            <w:noWrap w:val="0"/>
            <w:vAlign w:val="center"/>
          </w:tcPr>
          <w:p w14:paraId="35F5217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75AD811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B461E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参与人数＜10人，系数为0；2.10人≤参与人数＜30人，系数为1；3.30人≤参与人数＜50人，系数为2；4.50人≤参与人数＜100人，系数为3；5.100人≤参与人数，或造成水源污染等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5FA76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14:paraId="0D91F6D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DF3BCC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tcBorders>
              <w:top w:val="nil"/>
              <w:left w:val="nil"/>
              <w:bottom w:val="single" w:color="auto" w:sz="4" w:space="0"/>
              <w:right w:val="single" w:color="auto" w:sz="4" w:space="0"/>
            </w:tcBorders>
            <w:noWrap w:val="0"/>
            <w:vAlign w:val="center"/>
          </w:tcPr>
          <w:p w14:paraId="2F3502B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C2350100</w:t>
            </w:r>
          </w:p>
        </w:tc>
      </w:tr>
      <w:tr w14:paraId="56FF3D6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374" w:hRule="atLeast"/>
        </w:trPr>
        <w:tc>
          <w:tcPr>
            <w:tcW w:w="13283" w:type="dxa"/>
            <w:gridSpan w:val="11"/>
            <w:tcBorders>
              <w:top w:val="nil"/>
              <w:left w:val="single" w:color="auto" w:sz="4" w:space="0"/>
              <w:bottom w:val="single" w:color="auto" w:sz="4" w:space="0"/>
              <w:right w:val="single" w:color="auto" w:sz="4" w:space="0"/>
            </w:tcBorders>
            <w:noWrap/>
            <w:vAlign w:val="center"/>
          </w:tcPr>
          <w:p w14:paraId="5F62ABB8">
            <w:pPr>
              <w:widowControl/>
              <w:jc w:val="center"/>
              <w:outlineLvl w:val="0"/>
              <w:rPr>
                <w:rFonts w:hint="eastAsia" w:ascii="宋体" w:hAnsi="宋体" w:eastAsia="宋体" w:cs="宋体"/>
                <w:color w:val="auto"/>
                <w:kern w:val="0"/>
                <w:sz w:val="28"/>
                <w:szCs w:val="28"/>
                <w:highlight w:val="none"/>
              </w:rPr>
            </w:pPr>
            <w:bookmarkStart w:id="263" w:name="_Toc218468856"/>
            <w:bookmarkStart w:id="264" w:name="_Toc895443353"/>
            <w:r>
              <w:rPr>
                <w:rFonts w:hint="eastAsia" w:ascii="黑体" w:hAnsi="黑体" w:eastAsia="黑体" w:cs="黑体"/>
                <w:color w:val="auto"/>
                <w:kern w:val="0"/>
                <w:sz w:val="28"/>
                <w:szCs w:val="28"/>
                <w:highlight w:val="none"/>
              </w:rPr>
              <w:t>水土保持管理方面</w:t>
            </w:r>
            <w:bookmarkEnd w:id="263"/>
            <w:bookmarkEnd w:id="264"/>
          </w:p>
        </w:tc>
        <w:tc>
          <w:tcPr>
            <w:tcW w:w="3173" w:type="dxa"/>
            <w:gridSpan w:val="3"/>
            <w:tcBorders>
              <w:top w:val="nil"/>
              <w:left w:val="single" w:color="auto" w:sz="4" w:space="0"/>
              <w:bottom w:val="single" w:color="auto" w:sz="4" w:space="0"/>
              <w:right w:val="single" w:color="auto" w:sz="4" w:space="0"/>
            </w:tcBorders>
            <w:noWrap/>
            <w:vAlign w:val="center"/>
          </w:tcPr>
          <w:p w14:paraId="66D4395C">
            <w:pPr>
              <w:widowControl/>
              <w:jc w:val="center"/>
              <w:outlineLvl w:val="0"/>
              <w:rPr>
                <w:rFonts w:hint="eastAsia" w:ascii="黑体" w:hAnsi="黑体" w:eastAsia="黑体" w:cs="黑体"/>
                <w:color w:val="auto"/>
                <w:kern w:val="0"/>
                <w:sz w:val="28"/>
                <w:szCs w:val="28"/>
                <w:highlight w:val="none"/>
              </w:rPr>
            </w:pPr>
          </w:p>
        </w:tc>
      </w:tr>
      <w:tr w14:paraId="0361E9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14:paraId="634EF53E">
            <w:pPr>
              <w:widowControl/>
              <w:jc w:val="center"/>
              <w:outlineLvl w:val="1"/>
              <w:rPr>
                <w:rFonts w:hint="eastAsia" w:ascii="宋体" w:hAnsi="宋体" w:eastAsia="宋体" w:cs="宋体"/>
                <w:color w:val="auto"/>
                <w:kern w:val="0"/>
                <w:szCs w:val="21"/>
                <w:highlight w:val="none"/>
              </w:rPr>
            </w:pPr>
            <w:bookmarkStart w:id="265" w:name="_Toc218468857"/>
            <w:bookmarkStart w:id="266" w:name="_Toc1182701798"/>
            <w:r>
              <w:rPr>
                <w:rFonts w:hint="eastAsia" w:ascii="宋体" w:hAnsi="宋体" w:eastAsia="宋体" w:cs="宋体"/>
                <w:b/>
                <w:bCs/>
                <w:color w:val="auto"/>
                <w:kern w:val="0"/>
                <w:szCs w:val="21"/>
                <w:highlight w:val="none"/>
              </w:rPr>
              <w:t>《中华人民共和国水土保持法》案由9项</w:t>
            </w:r>
            <w:bookmarkEnd w:id="265"/>
            <w:bookmarkEnd w:id="266"/>
          </w:p>
        </w:tc>
        <w:tc>
          <w:tcPr>
            <w:tcW w:w="3173" w:type="dxa"/>
            <w:gridSpan w:val="3"/>
            <w:tcBorders>
              <w:top w:val="nil"/>
              <w:left w:val="single" w:color="auto" w:sz="4" w:space="0"/>
              <w:bottom w:val="single" w:color="auto" w:sz="4" w:space="0"/>
              <w:right w:val="single" w:color="auto" w:sz="4" w:space="0"/>
            </w:tcBorders>
            <w:noWrap/>
            <w:vAlign w:val="center"/>
          </w:tcPr>
          <w:p w14:paraId="078C3EF6">
            <w:pPr>
              <w:widowControl/>
              <w:jc w:val="center"/>
              <w:outlineLvl w:val="1"/>
              <w:rPr>
                <w:rFonts w:hint="eastAsia" w:ascii="宋体" w:hAnsi="宋体" w:eastAsia="宋体" w:cs="宋体"/>
                <w:b/>
                <w:bCs/>
                <w:color w:val="auto"/>
                <w:kern w:val="0"/>
                <w:szCs w:val="21"/>
                <w:highlight w:val="none"/>
              </w:rPr>
            </w:pPr>
          </w:p>
        </w:tc>
      </w:tr>
      <w:tr w14:paraId="0EC53E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636B6E2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14:paraId="514476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采集发菜，或者在水土流失重点预防区和重点治理区铲草皮、挖树兜、滥挖虫草、甘草、麻黄等</w:t>
            </w:r>
          </w:p>
        </w:tc>
        <w:tc>
          <w:tcPr>
            <w:tcW w:w="2981" w:type="dxa"/>
            <w:vMerge w:val="restart"/>
            <w:tcBorders>
              <w:top w:val="nil"/>
              <w:left w:val="single" w:color="auto" w:sz="4" w:space="0"/>
              <w:bottom w:val="single" w:color="auto" w:sz="4" w:space="0"/>
              <w:right w:val="single" w:color="auto" w:sz="4" w:space="0"/>
            </w:tcBorders>
            <w:noWrap w:val="0"/>
            <w:vAlign w:val="center"/>
          </w:tcPr>
          <w:p w14:paraId="248249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处罚条款：第五十一条第一款，责令停止违法行为，采取补救措施，没收违法所得，并处违法所得一倍以上五倍以下的罚款；没有违法所得的，可以处五万元以下的罚款。</w:t>
            </w:r>
          </w:p>
        </w:tc>
        <w:tc>
          <w:tcPr>
            <w:tcW w:w="851" w:type="dxa"/>
            <w:tcBorders>
              <w:top w:val="nil"/>
              <w:left w:val="nil"/>
              <w:bottom w:val="single" w:color="auto" w:sz="4" w:space="0"/>
              <w:right w:val="single" w:color="auto" w:sz="4" w:space="0"/>
            </w:tcBorders>
            <w:noWrap w:val="0"/>
            <w:vAlign w:val="center"/>
          </w:tcPr>
          <w:p w14:paraId="3B678CE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14:paraId="74CBD91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51C846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采挖量或采挖面积＜10株或100平方米，系数为0；2.10株或100平方米≤采挖量或采挖面积＜20株或200平方米，系数为1；3.20株或200平方米≤采挖量或采挖面积＜30株或300平方米，系数为2；4.30株或300平方米≤采挖量或采挖面积＜40株或400平方米，系数为3；5.40株或400平方米≤采挖量或采挖面积，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8F86C5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2016" w:type="dxa"/>
            <w:tcBorders>
              <w:top w:val="nil"/>
              <w:left w:val="nil"/>
              <w:bottom w:val="single" w:color="auto" w:sz="4" w:space="0"/>
              <w:right w:val="single" w:color="auto" w:sz="4" w:space="0"/>
            </w:tcBorders>
            <w:noWrap w:val="0"/>
            <w:vAlign w:val="center"/>
          </w:tcPr>
          <w:p w14:paraId="4F82BA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383246F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7384AA3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C231210</w:t>
            </w:r>
          </w:p>
        </w:tc>
      </w:tr>
      <w:tr w14:paraId="6162D4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4301918C">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16576CD7">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3A9821DE">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03D6B7D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33E30F2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2B95C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有违法所得的，处以下罚款：1.采挖量或采挖面积＜10株或100平方米，系数为0；2.10株或100平方米≤采挖量或采挖面积＜20株或200平方米，系数为2；3.20株或200平方米≤采挖量或采挖面积＜30株或300平方米，系数为4；4.30株或300平方米≤采挖量或采挖面积＜40株或400平方米，系数为6；5.40株或400平方米≤采挖量或采挖面积，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585377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227F327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13B7D5C0">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73125573">
            <w:pPr>
              <w:widowControl/>
              <w:jc w:val="left"/>
              <w:rPr>
                <w:rFonts w:hint="eastAsia" w:ascii="宋体" w:hAnsi="宋体" w:eastAsia="宋体" w:cs="宋体"/>
                <w:color w:val="auto"/>
                <w:kern w:val="0"/>
                <w:sz w:val="15"/>
                <w:szCs w:val="15"/>
                <w:highlight w:val="none"/>
                <w:lang w:eastAsia="zh"/>
              </w:rPr>
            </w:pPr>
          </w:p>
        </w:tc>
      </w:tr>
      <w:tr w14:paraId="5DC5FE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237E4C0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24FE25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依法应当编制水土保持方案的生产建设项目，未编制水土保持方案或者编制的水土保持方案未经批准而开工建设</w:t>
            </w:r>
          </w:p>
        </w:tc>
        <w:tc>
          <w:tcPr>
            <w:tcW w:w="2981" w:type="dxa"/>
            <w:tcBorders>
              <w:top w:val="nil"/>
              <w:left w:val="nil"/>
              <w:bottom w:val="single" w:color="auto" w:sz="4" w:space="0"/>
              <w:right w:val="single" w:color="auto" w:sz="4" w:space="0"/>
            </w:tcBorders>
            <w:noWrap w:val="0"/>
            <w:vAlign w:val="center"/>
          </w:tcPr>
          <w:p w14:paraId="21511B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处罚条款：第五十三条第一款第（一）项，责令停止违法行为，限期补办手续；逾期不补办手续的，处五万元以上五十万元以下的罚款。</w:t>
            </w:r>
          </w:p>
        </w:tc>
        <w:tc>
          <w:tcPr>
            <w:tcW w:w="851" w:type="dxa"/>
            <w:tcBorders>
              <w:top w:val="nil"/>
              <w:left w:val="nil"/>
              <w:bottom w:val="single" w:color="auto" w:sz="4" w:space="0"/>
              <w:right w:val="single" w:color="auto" w:sz="4" w:space="0"/>
            </w:tcBorders>
            <w:noWrap w:val="0"/>
            <w:vAlign w:val="center"/>
          </w:tcPr>
          <w:p w14:paraId="1CB3728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02D5FDF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89AE9C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022ED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75E0356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1CCEE6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BB68AB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C2312300</w:t>
            </w:r>
          </w:p>
        </w:tc>
      </w:tr>
      <w:tr w14:paraId="53BB03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440664C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2FE0E62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生产建设项目的地点、规模发生重大变化，未补充、修改水土保持方案或者补充、修改的水土保持方案未经原审批机关批准</w:t>
            </w:r>
          </w:p>
        </w:tc>
        <w:tc>
          <w:tcPr>
            <w:tcW w:w="2981" w:type="dxa"/>
            <w:tcBorders>
              <w:top w:val="nil"/>
              <w:left w:val="nil"/>
              <w:bottom w:val="single" w:color="auto" w:sz="4" w:space="0"/>
              <w:right w:val="single" w:color="auto" w:sz="4" w:space="0"/>
            </w:tcBorders>
            <w:noWrap w:val="0"/>
            <w:vAlign w:val="center"/>
          </w:tcPr>
          <w:p w14:paraId="3D577F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处罚条款：第五十三条第一款第（二）项，责令停止违法行为，限期补办手续；逾期不补办手续的，处五万元以上五十万元以下的罚款。</w:t>
            </w:r>
          </w:p>
        </w:tc>
        <w:tc>
          <w:tcPr>
            <w:tcW w:w="851" w:type="dxa"/>
            <w:tcBorders>
              <w:top w:val="nil"/>
              <w:left w:val="nil"/>
              <w:bottom w:val="single" w:color="auto" w:sz="4" w:space="0"/>
              <w:right w:val="single" w:color="auto" w:sz="4" w:space="0"/>
            </w:tcBorders>
            <w:noWrap w:val="0"/>
            <w:vAlign w:val="center"/>
          </w:tcPr>
          <w:p w14:paraId="2B3AAF1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4BA2190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7BD1F6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CC468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2ACD2B0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FF3651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9A113DC">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C2312400</w:t>
            </w:r>
          </w:p>
        </w:tc>
      </w:tr>
      <w:tr w14:paraId="1BF556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3C2A80F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6A0332C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水土保持方案实施过程中，未经原审批机关批准，对水土保持措施做出重大变更</w:t>
            </w:r>
          </w:p>
        </w:tc>
        <w:tc>
          <w:tcPr>
            <w:tcW w:w="2981" w:type="dxa"/>
            <w:tcBorders>
              <w:top w:val="nil"/>
              <w:left w:val="nil"/>
              <w:bottom w:val="single" w:color="auto" w:sz="4" w:space="0"/>
              <w:right w:val="single" w:color="auto" w:sz="4" w:space="0"/>
            </w:tcBorders>
            <w:noWrap w:val="0"/>
            <w:vAlign w:val="center"/>
          </w:tcPr>
          <w:p w14:paraId="079AA5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处罚条款：第五十三条第一款第（三）项，责令停止违法行为，限期补办手续；逾期不补办手续的，处五万元以上五十万元以下的罚款。</w:t>
            </w:r>
          </w:p>
        </w:tc>
        <w:tc>
          <w:tcPr>
            <w:tcW w:w="851" w:type="dxa"/>
            <w:tcBorders>
              <w:top w:val="nil"/>
              <w:left w:val="nil"/>
              <w:bottom w:val="single" w:color="auto" w:sz="4" w:space="0"/>
              <w:right w:val="single" w:color="auto" w:sz="4" w:space="0"/>
            </w:tcBorders>
            <w:noWrap w:val="0"/>
            <w:vAlign w:val="center"/>
          </w:tcPr>
          <w:p w14:paraId="4F877AA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33AE4F8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8B4DC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700B4E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16A6B97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FC24B1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8DEAC2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C2312500</w:t>
            </w:r>
          </w:p>
        </w:tc>
      </w:tr>
      <w:tr w14:paraId="53ABC4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47B7A5E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14:paraId="796A55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水土保持设施未经验收或者验收不合格将生产建设项目投产使用</w:t>
            </w:r>
          </w:p>
        </w:tc>
        <w:tc>
          <w:tcPr>
            <w:tcW w:w="2981" w:type="dxa"/>
            <w:tcBorders>
              <w:top w:val="nil"/>
              <w:left w:val="nil"/>
              <w:bottom w:val="single" w:color="auto" w:sz="4" w:space="0"/>
              <w:right w:val="single" w:color="auto" w:sz="4" w:space="0"/>
            </w:tcBorders>
            <w:noWrap w:val="0"/>
            <w:vAlign w:val="center"/>
          </w:tcPr>
          <w:p w14:paraId="0353DF3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处罚条款：第五十四条，责令停止生产或者使用，直至验收合格，并处五万元以上五十万元以下的罚款。</w:t>
            </w:r>
          </w:p>
        </w:tc>
        <w:tc>
          <w:tcPr>
            <w:tcW w:w="851" w:type="dxa"/>
            <w:tcBorders>
              <w:top w:val="nil"/>
              <w:left w:val="nil"/>
              <w:bottom w:val="single" w:color="auto" w:sz="4" w:space="0"/>
              <w:right w:val="single" w:color="auto" w:sz="4" w:space="0"/>
            </w:tcBorders>
            <w:noWrap w:val="0"/>
            <w:vAlign w:val="center"/>
          </w:tcPr>
          <w:p w14:paraId="7F7D73F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70DA955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56E52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投产使用面积＜20公顷，系数为0；20公顷≤项目投产使用面积＜60公顷，系数为1；每增加20公顷（不足20公顷，按20公顷计），系数加1；200公顷≤项目投产使用面积，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433B3F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3C7D0E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A08489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116443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C2312600</w:t>
            </w:r>
          </w:p>
        </w:tc>
      </w:tr>
      <w:tr w14:paraId="445020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248755D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vMerge w:val="restart"/>
            <w:tcBorders>
              <w:top w:val="nil"/>
              <w:left w:val="single" w:color="auto" w:sz="4" w:space="0"/>
              <w:bottom w:val="single" w:color="auto" w:sz="4" w:space="0"/>
              <w:right w:val="single" w:color="auto" w:sz="4" w:space="0"/>
            </w:tcBorders>
            <w:noWrap w:val="0"/>
            <w:vAlign w:val="center"/>
          </w:tcPr>
          <w:p w14:paraId="214345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在禁止开垦坡度以上陡坡地开垦种植农作物，或者在禁止开垦、开发的植物保护带内开垦、开发</w:t>
            </w:r>
          </w:p>
        </w:tc>
        <w:tc>
          <w:tcPr>
            <w:tcW w:w="2981" w:type="dxa"/>
            <w:vMerge w:val="restart"/>
            <w:tcBorders>
              <w:top w:val="nil"/>
              <w:left w:val="single" w:color="auto" w:sz="4" w:space="0"/>
              <w:bottom w:val="single" w:color="auto" w:sz="4" w:space="0"/>
              <w:right w:val="single" w:color="auto" w:sz="4" w:space="0"/>
            </w:tcBorders>
            <w:noWrap w:val="0"/>
            <w:vAlign w:val="center"/>
          </w:tcPr>
          <w:p w14:paraId="239C21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处罚条款：第四十九条，责令停止违法行为；按照开垦或者开发面积，可以对个人处每平方米二元以下的罚款、对单位处每平方米十元以下的罚款。</w:t>
            </w:r>
          </w:p>
        </w:tc>
        <w:tc>
          <w:tcPr>
            <w:tcW w:w="851" w:type="dxa"/>
            <w:tcBorders>
              <w:top w:val="nil"/>
              <w:left w:val="nil"/>
              <w:bottom w:val="single" w:color="auto" w:sz="4" w:space="0"/>
              <w:right w:val="single" w:color="auto" w:sz="4" w:space="0"/>
            </w:tcBorders>
            <w:noWrap w:val="0"/>
            <w:vAlign w:val="center"/>
          </w:tcPr>
          <w:p w14:paraId="21CFF7C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590F7C2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CCEC8E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（一）限期改正，系数为0。（二）逾期不改正的，系数为1。（三）存在基准2.1.3规定情形的，系数按照相关规定确定（基准2.1.3.5不适用）。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2FBC94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罚款金额=2×（1+情节系数）×开垦或者开发面积</w:t>
            </w:r>
          </w:p>
        </w:tc>
        <w:tc>
          <w:tcPr>
            <w:tcW w:w="2016" w:type="dxa"/>
            <w:vMerge w:val="restart"/>
            <w:tcBorders>
              <w:top w:val="nil"/>
              <w:left w:val="single" w:color="auto" w:sz="4" w:space="0"/>
              <w:bottom w:val="single" w:color="auto" w:sz="4" w:space="0"/>
              <w:right w:val="single" w:color="auto" w:sz="4" w:space="0"/>
            </w:tcBorders>
            <w:noWrap w:val="0"/>
            <w:vAlign w:val="center"/>
          </w:tcPr>
          <w:p w14:paraId="6A1619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需要作出对个人处每平方米小于1元、对单位处每平方米小于5元的罚款决定的，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2D8E03C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2075A6A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C2347900</w:t>
            </w:r>
          </w:p>
        </w:tc>
      </w:tr>
      <w:tr w14:paraId="223724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36A66FAF">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3D1E431A">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19E93EF8">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53FACE6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1CF8C03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20427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（一）限期改正，系数为0。（二）逾期不改正的，系数为1。（三）存在基准2.1.3规定情形的，系数按照相关规定确定（基准2.1.3.5不适用）。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BDD9F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罚款金额=5×（1+情节系数）×开垦或者开发面积</w:t>
            </w:r>
          </w:p>
        </w:tc>
        <w:tc>
          <w:tcPr>
            <w:tcW w:w="2016" w:type="dxa"/>
            <w:vMerge w:val="continue"/>
            <w:tcBorders>
              <w:top w:val="nil"/>
              <w:left w:val="single" w:color="auto" w:sz="4" w:space="0"/>
              <w:bottom w:val="single" w:color="auto" w:sz="4" w:space="0"/>
              <w:right w:val="single" w:color="auto" w:sz="4" w:space="0"/>
            </w:tcBorders>
            <w:noWrap w:val="0"/>
            <w:vAlign w:val="center"/>
          </w:tcPr>
          <w:p w14:paraId="1CB18DF4">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51FCC11D">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7551FC60">
            <w:pPr>
              <w:widowControl/>
              <w:jc w:val="left"/>
              <w:rPr>
                <w:rFonts w:hint="eastAsia" w:ascii="宋体" w:hAnsi="宋体" w:eastAsia="宋体" w:cs="宋体"/>
                <w:color w:val="auto"/>
                <w:kern w:val="0"/>
                <w:sz w:val="15"/>
                <w:szCs w:val="15"/>
                <w:highlight w:val="none"/>
                <w:lang w:eastAsia="zh"/>
              </w:rPr>
            </w:pPr>
          </w:p>
        </w:tc>
      </w:tr>
      <w:tr w14:paraId="17B42B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2343DBA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vMerge w:val="restart"/>
            <w:tcBorders>
              <w:top w:val="nil"/>
              <w:left w:val="single" w:color="auto" w:sz="4" w:space="0"/>
              <w:bottom w:val="single" w:color="auto" w:sz="4" w:space="0"/>
              <w:right w:val="single" w:color="auto" w:sz="4" w:space="0"/>
            </w:tcBorders>
            <w:noWrap w:val="0"/>
            <w:vAlign w:val="center"/>
          </w:tcPr>
          <w:p w14:paraId="62F36E9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在崩塌、滑坡危险区或者泥石流易发区从事取土、挖砂、采石等可能造成水土流失的活动</w:t>
            </w:r>
          </w:p>
        </w:tc>
        <w:tc>
          <w:tcPr>
            <w:tcW w:w="2981" w:type="dxa"/>
            <w:vMerge w:val="restart"/>
            <w:tcBorders>
              <w:top w:val="nil"/>
              <w:left w:val="single" w:color="auto" w:sz="4" w:space="0"/>
              <w:bottom w:val="single" w:color="auto" w:sz="4" w:space="0"/>
              <w:right w:val="single" w:color="auto" w:sz="4" w:space="0"/>
            </w:tcBorders>
            <w:noWrap w:val="0"/>
            <w:vAlign w:val="center"/>
          </w:tcPr>
          <w:p w14:paraId="6A7AAF8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处罚条款：第四十八条，责令停止违法行为，没收违法所得，对个人处一千元以上一万元以下的罚款，对单位处二万元以上二十万元以下的罚款。</w:t>
            </w:r>
          </w:p>
        </w:tc>
        <w:tc>
          <w:tcPr>
            <w:tcW w:w="851" w:type="dxa"/>
            <w:tcBorders>
              <w:top w:val="nil"/>
              <w:left w:val="nil"/>
              <w:bottom w:val="single" w:color="auto" w:sz="4" w:space="0"/>
              <w:right w:val="single" w:color="auto" w:sz="4" w:space="0"/>
            </w:tcBorders>
            <w:noWrap w:val="0"/>
            <w:vAlign w:val="center"/>
          </w:tcPr>
          <w:p w14:paraId="6BD462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7AC58C0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AA0B06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并处以下罚款：1.采挖量＜100立方米，系数为0；100立方米≤采挖量＜150立方米，系数为1；每增加50立方米（不足50立方米，按50立方米计），系数加1；500立方米≤采挖量，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BC9CDC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0FF28A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7C37C5D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03CAA24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C2352000</w:t>
            </w:r>
          </w:p>
        </w:tc>
      </w:tr>
      <w:tr w14:paraId="4B5C93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3E7CA2BD">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6F8954D1">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02989974">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7B34BD8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26CD99F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4EAFE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并处以下罚款：1.采挖量＜10立方米，系数为0，2.10立方米≤采挖量＜20立方米，系数为2；3.20立方米≤采挖量＜30立方米，系数为4；4.30立方米≤采挖量＜40立方米，系数为6；5.40立方米≤采挖量，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BD69A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36DC3E82">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2C7164F4">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45752537">
            <w:pPr>
              <w:widowControl/>
              <w:jc w:val="left"/>
              <w:rPr>
                <w:rFonts w:hint="eastAsia" w:ascii="宋体" w:hAnsi="宋体" w:eastAsia="宋体" w:cs="宋体"/>
                <w:color w:val="auto"/>
                <w:kern w:val="0"/>
                <w:sz w:val="15"/>
                <w:szCs w:val="15"/>
                <w:highlight w:val="none"/>
                <w:lang w:eastAsia="zh"/>
              </w:rPr>
            </w:pPr>
          </w:p>
        </w:tc>
      </w:tr>
      <w:tr w14:paraId="0CA51E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5BD2D16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14:paraId="5F2DC9F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在林区采伐林木不依法采取防止水土流失措施</w:t>
            </w:r>
          </w:p>
        </w:tc>
        <w:tc>
          <w:tcPr>
            <w:tcW w:w="2981" w:type="dxa"/>
            <w:tcBorders>
              <w:top w:val="nil"/>
              <w:left w:val="nil"/>
              <w:bottom w:val="single" w:color="auto" w:sz="4" w:space="0"/>
              <w:right w:val="single" w:color="auto" w:sz="4" w:space="0"/>
            </w:tcBorders>
            <w:noWrap w:val="0"/>
            <w:vAlign w:val="center"/>
          </w:tcPr>
          <w:p w14:paraId="2AE36E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处罚条款：第五十二条，责令限期改正，采取补救措施；造成水土流失的，由水行政主管部门按照造成水土流失的面积处每平方米二元以上十元以下的罚款。</w:t>
            </w:r>
          </w:p>
        </w:tc>
        <w:tc>
          <w:tcPr>
            <w:tcW w:w="851" w:type="dxa"/>
            <w:tcBorders>
              <w:top w:val="nil"/>
              <w:left w:val="nil"/>
              <w:bottom w:val="single" w:color="auto" w:sz="4" w:space="0"/>
              <w:right w:val="single" w:color="auto" w:sz="4" w:space="0"/>
            </w:tcBorders>
            <w:noWrap w:val="0"/>
            <w:vAlign w:val="center"/>
          </w:tcPr>
          <w:p w14:paraId="1A0306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 </w:t>
            </w:r>
          </w:p>
        </w:tc>
        <w:tc>
          <w:tcPr>
            <w:tcW w:w="840" w:type="dxa"/>
            <w:tcBorders>
              <w:top w:val="nil"/>
              <w:left w:val="nil"/>
              <w:bottom w:val="single" w:color="auto" w:sz="4" w:space="0"/>
              <w:right w:val="single" w:color="auto" w:sz="4" w:space="0"/>
            </w:tcBorders>
            <w:noWrap w:val="0"/>
            <w:vAlign w:val="center"/>
          </w:tcPr>
          <w:p w14:paraId="5F79622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76139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土流失面积＜500平方米，系数为0；2.500平方米≤水土流失面积＜2000平方米，系数为1；3.2000平方米≤水土流失面积＜5000平方米，系数为2；4.5000平方米≤水土流失面积＜10000平方米，系数为3；5.10000平方米≤水土流失面积，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19934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罚款金额=2元/平方米×（1+情节系数）×水土流失面积</w:t>
            </w:r>
          </w:p>
        </w:tc>
        <w:tc>
          <w:tcPr>
            <w:tcW w:w="2016" w:type="dxa"/>
            <w:tcBorders>
              <w:top w:val="nil"/>
              <w:left w:val="nil"/>
              <w:bottom w:val="single" w:color="auto" w:sz="4" w:space="0"/>
              <w:right w:val="single" w:color="auto" w:sz="4" w:space="0"/>
            </w:tcBorders>
            <w:noWrap w:val="0"/>
            <w:vAlign w:val="center"/>
          </w:tcPr>
          <w:p w14:paraId="0E98C1A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BB9D4C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4458104">
            <w:pPr>
              <w:widowControl/>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待新增</w:t>
            </w:r>
          </w:p>
        </w:tc>
      </w:tr>
      <w:tr w14:paraId="5DA401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3E471D3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14:paraId="7CBB422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在水土保持方案确定的专门存放地以外的区域倾倒砂、石、土、矸石、尾矿、废渣等</w:t>
            </w:r>
          </w:p>
        </w:tc>
        <w:tc>
          <w:tcPr>
            <w:tcW w:w="2981" w:type="dxa"/>
            <w:tcBorders>
              <w:top w:val="nil"/>
              <w:left w:val="nil"/>
              <w:bottom w:val="single" w:color="auto" w:sz="4" w:space="0"/>
              <w:right w:val="single" w:color="auto" w:sz="4" w:space="0"/>
            </w:tcBorders>
            <w:noWrap w:val="0"/>
            <w:vAlign w:val="center"/>
          </w:tcPr>
          <w:p w14:paraId="0C9F127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处罚条款：第五十五条，责令停止违法行为，限期清理，按照倾倒数量处每立方米十元以上二十元以下的罚款。</w:t>
            </w:r>
          </w:p>
        </w:tc>
        <w:tc>
          <w:tcPr>
            <w:tcW w:w="851" w:type="dxa"/>
            <w:tcBorders>
              <w:top w:val="nil"/>
              <w:left w:val="nil"/>
              <w:bottom w:val="single" w:color="auto" w:sz="4" w:space="0"/>
              <w:right w:val="single" w:color="auto" w:sz="4" w:space="0"/>
            </w:tcBorders>
            <w:noWrap w:val="0"/>
            <w:vAlign w:val="center"/>
          </w:tcPr>
          <w:p w14:paraId="2739E09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 </w:t>
            </w:r>
          </w:p>
        </w:tc>
        <w:tc>
          <w:tcPr>
            <w:tcW w:w="840" w:type="dxa"/>
            <w:tcBorders>
              <w:top w:val="nil"/>
              <w:left w:val="nil"/>
              <w:bottom w:val="single" w:color="auto" w:sz="4" w:space="0"/>
              <w:right w:val="single" w:color="auto" w:sz="4" w:space="0"/>
            </w:tcBorders>
            <w:noWrap w:val="0"/>
            <w:vAlign w:val="center"/>
          </w:tcPr>
          <w:p w14:paraId="691CE5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960A3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水土保持方案确定的专门存放地以外的区域倾倒砂、石、土、矸石、尾矿、废渣等但采取有效措施的，系数为0。2.在水土保持方案确定的专门存放地以外的区域倾倒砂、石、土、矸石、尾矿、废渣等且未采取有效措施的，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B66A1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罚款金额=10×（1+情节系数）×堆土弃渣量</w:t>
            </w:r>
          </w:p>
        </w:tc>
        <w:tc>
          <w:tcPr>
            <w:tcW w:w="2016" w:type="dxa"/>
            <w:tcBorders>
              <w:top w:val="nil"/>
              <w:left w:val="nil"/>
              <w:bottom w:val="single" w:color="auto" w:sz="4" w:space="0"/>
              <w:right w:val="single" w:color="auto" w:sz="4" w:space="0"/>
            </w:tcBorders>
            <w:noWrap w:val="0"/>
            <w:vAlign w:val="center"/>
          </w:tcPr>
          <w:p w14:paraId="0ADF2F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298CE3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66D83C7">
            <w:pPr>
              <w:widowControl/>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待新增</w:t>
            </w:r>
          </w:p>
        </w:tc>
      </w:tr>
      <w:tr w14:paraId="7AF42A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7" w:hRule="atLeast"/>
        </w:trPr>
        <w:tc>
          <w:tcPr>
            <w:tcW w:w="13283" w:type="dxa"/>
            <w:gridSpan w:val="11"/>
            <w:tcBorders>
              <w:top w:val="nil"/>
              <w:left w:val="single" w:color="auto" w:sz="4" w:space="0"/>
              <w:bottom w:val="single" w:color="auto" w:sz="4" w:space="0"/>
              <w:right w:val="single" w:color="auto" w:sz="4" w:space="0"/>
            </w:tcBorders>
            <w:noWrap/>
            <w:vAlign w:val="center"/>
          </w:tcPr>
          <w:p w14:paraId="0794EFC7">
            <w:pPr>
              <w:widowControl/>
              <w:jc w:val="center"/>
              <w:outlineLvl w:val="1"/>
              <w:rPr>
                <w:rFonts w:hint="eastAsia" w:ascii="宋体" w:hAnsi="宋体" w:eastAsia="宋体" w:cs="宋体"/>
                <w:color w:val="auto"/>
                <w:kern w:val="0"/>
                <w:szCs w:val="21"/>
                <w:highlight w:val="none"/>
              </w:rPr>
            </w:pPr>
            <w:bookmarkStart w:id="267" w:name="_Toc1836068036"/>
            <w:bookmarkStart w:id="268" w:name="_Toc218468858"/>
            <w:r>
              <w:rPr>
                <w:rFonts w:hint="eastAsia" w:ascii="宋体" w:hAnsi="宋体" w:eastAsia="宋体" w:cs="宋体"/>
                <w:b/>
                <w:bCs/>
                <w:color w:val="auto"/>
                <w:kern w:val="0"/>
                <w:szCs w:val="21"/>
                <w:highlight w:val="none"/>
              </w:rPr>
              <w:t>《北京市水土保持条例》案由9项</w:t>
            </w:r>
            <w:bookmarkEnd w:id="267"/>
            <w:bookmarkEnd w:id="268"/>
          </w:p>
        </w:tc>
        <w:tc>
          <w:tcPr>
            <w:tcW w:w="3173" w:type="dxa"/>
            <w:gridSpan w:val="3"/>
            <w:tcBorders>
              <w:top w:val="nil"/>
              <w:left w:val="single" w:color="auto" w:sz="4" w:space="0"/>
              <w:bottom w:val="single" w:color="auto" w:sz="4" w:space="0"/>
              <w:right w:val="single" w:color="auto" w:sz="4" w:space="0"/>
            </w:tcBorders>
            <w:noWrap/>
            <w:vAlign w:val="center"/>
          </w:tcPr>
          <w:p w14:paraId="5E88E2B5">
            <w:pPr>
              <w:widowControl/>
              <w:jc w:val="center"/>
              <w:outlineLvl w:val="1"/>
              <w:rPr>
                <w:rFonts w:hint="eastAsia" w:ascii="宋体" w:hAnsi="宋体" w:eastAsia="宋体" w:cs="宋体"/>
                <w:b/>
                <w:bCs/>
                <w:color w:val="auto"/>
                <w:kern w:val="0"/>
                <w:szCs w:val="21"/>
                <w:highlight w:val="none"/>
              </w:rPr>
            </w:pPr>
          </w:p>
        </w:tc>
      </w:tr>
      <w:tr w14:paraId="798EA3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22116BD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2F4DE4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拒不缴纳水土保持补偿费</w:t>
            </w:r>
          </w:p>
        </w:tc>
        <w:tc>
          <w:tcPr>
            <w:tcW w:w="2981" w:type="dxa"/>
            <w:tcBorders>
              <w:top w:val="nil"/>
              <w:left w:val="nil"/>
              <w:bottom w:val="single" w:color="auto" w:sz="4" w:space="0"/>
              <w:right w:val="single" w:color="auto" w:sz="4" w:space="0"/>
            </w:tcBorders>
            <w:noWrap w:val="0"/>
            <w:vAlign w:val="center"/>
          </w:tcPr>
          <w:p w14:paraId="6940F6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处罚条款：第五十七条，责令限期缴纳；逾期不缴纳的，可以处应缴水土保持补偿费三倍以下的罚款。</w:t>
            </w:r>
          </w:p>
        </w:tc>
        <w:tc>
          <w:tcPr>
            <w:tcW w:w="851" w:type="dxa"/>
            <w:tcBorders>
              <w:top w:val="nil"/>
              <w:left w:val="nil"/>
              <w:bottom w:val="single" w:color="auto" w:sz="4" w:space="0"/>
              <w:right w:val="single" w:color="auto" w:sz="4" w:space="0"/>
            </w:tcBorders>
            <w:noWrap w:val="0"/>
            <w:vAlign w:val="center"/>
          </w:tcPr>
          <w:p w14:paraId="4917841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应缴水土保持补偿费×1倍</w:t>
            </w:r>
          </w:p>
        </w:tc>
        <w:tc>
          <w:tcPr>
            <w:tcW w:w="840" w:type="dxa"/>
            <w:tcBorders>
              <w:top w:val="nil"/>
              <w:left w:val="nil"/>
              <w:bottom w:val="single" w:color="auto" w:sz="4" w:space="0"/>
              <w:right w:val="single" w:color="auto" w:sz="4" w:space="0"/>
            </w:tcBorders>
            <w:noWrap w:val="0"/>
            <w:vAlign w:val="center"/>
          </w:tcPr>
          <w:p w14:paraId="42A8DE9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1079D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1.持续违法时间＜6个月，系数为0；2.6个月≤持续违法时间＜12个月，系数为1；3.12个月≤持续违法时间，系数为2。4.存在基准2.1.3规定情形的，系数按照相关规定确定（基准2.1.3.5不适用）。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D87A8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罚款金额=应缴水土保持补偿费×1倍×（1+情节系数）</w:t>
            </w:r>
          </w:p>
        </w:tc>
        <w:tc>
          <w:tcPr>
            <w:tcW w:w="2016" w:type="dxa"/>
            <w:tcBorders>
              <w:top w:val="nil"/>
              <w:left w:val="nil"/>
              <w:bottom w:val="single" w:color="auto" w:sz="4" w:space="0"/>
              <w:right w:val="single" w:color="auto" w:sz="4" w:space="0"/>
            </w:tcBorders>
            <w:noWrap w:val="0"/>
            <w:vAlign w:val="center"/>
          </w:tcPr>
          <w:p w14:paraId="18A126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4881F95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410EA6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C2312800</w:t>
            </w:r>
          </w:p>
        </w:tc>
      </w:tr>
      <w:tr w14:paraId="42AA0DD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24C93CE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2E2F7D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未将水土保持设施纳入项目主体工程设计</w:t>
            </w:r>
          </w:p>
        </w:tc>
        <w:tc>
          <w:tcPr>
            <w:tcW w:w="2981" w:type="dxa"/>
            <w:tcBorders>
              <w:top w:val="nil"/>
              <w:left w:val="nil"/>
              <w:bottom w:val="single" w:color="auto" w:sz="4" w:space="0"/>
              <w:right w:val="single" w:color="auto" w:sz="4" w:space="0"/>
            </w:tcBorders>
            <w:noWrap w:val="0"/>
            <w:vAlign w:val="center"/>
          </w:tcPr>
          <w:p w14:paraId="794F2B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处罚条款：第三十七条第一款，责令改正，处五万元以上五十万元以下罚款。</w:t>
            </w:r>
          </w:p>
        </w:tc>
        <w:tc>
          <w:tcPr>
            <w:tcW w:w="851" w:type="dxa"/>
            <w:tcBorders>
              <w:top w:val="nil"/>
              <w:left w:val="nil"/>
              <w:bottom w:val="single" w:color="auto" w:sz="4" w:space="0"/>
              <w:right w:val="single" w:color="auto" w:sz="4" w:space="0"/>
            </w:tcBorders>
            <w:noWrap w:val="0"/>
            <w:vAlign w:val="center"/>
          </w:tcPr>
          <w:p w14:paraId="15CECC0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6B683E5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04D463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8FA18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19CD35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D8D1DA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EC3AFFC">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C2345700</w:t>
            </w:r>
          </w:p>
        </w:tc>
      </w:tr>
      <w:tr w14:paraId="59DBC2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0" w:hRule="atLeast"/>
        </w:trPr>
        <w:tc>
          <w:tcPr>
            <w:tcW w:w="716" w:type="dxa"/>
            <w:gridSpan w:val="2"/>
            <w:tcBorders>
              <w:top w:val="nil"/>
              <w:left w:val="single" w:color="auto" w:sz="4" w:space="0"/>
              <w:bottom w:val="single" w:color="auto" w:sz="4" w:space="0"/>
              <w:right w:val="single" w:color="auto" w:sz="4" w:space="0"/>
            </w:tcBorders>
            <w:noWrap/>
            <w:vAlign w:val="center"/>
          </w:tcPr>
          <w:p w14:paraId="64C1D4D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010B81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水土保持设施管护单位未保存水土保持设施清单和管护记录</w:t>
            </w:r>
          </w:p>
        </w:tc>
        <w:tc>
          <w:tcPr>
            <w:tcW w:w="2981" w:type="dxa"/>
            <w:tcBorders>
              <w:top w:val="nil"/>
              <w:left w:val="nil"/>
              <w:bottom w:val="single" w:color="auto" w:sz="4" w:space="0"/>
              <w:right w:val="single" w:color="auto" w:sz="4" w:space="0"/>
            </w:tcBorders>
            <w:noWrap w:val="0"/>
            <w:vAlign w:val="center"/>
          </w:tcPr>
          <w:p w14:paraId="754DB86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处罚条款：第三十七条第二款，责令改正，可处五千元罚款。</w:t>
            </w:r>
          </w:p>
        </w:tc>
        <w:tc>
          <w:tcPr>
            <w:tcW w:w="851" w:type="dxa"/>
            <w:tcBorders>
              <w:top w:val="nil"/>
              <w:left w:val="nil"/>
              <w:bottom w:val="single" w:color="auto" w:sz="4" w:space="0"/>
              <w:right w:val="single" w:color="auto" w:sz="4" w:space="0"/>
            </w:tcBorders>
            <w:noWrap w:val="0"/>
            <w:vAlign w:val="center"/>
          </w:tcPr>
          <w:p w14:paraId="7B07CE4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0AF2A08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77AAD1B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罚款5000元。</w:t>
            </w:r>
          </w:p>
        </w:tc>
        <w:tc>
          <w:tcPr>
            <w:tcW w:w="1879" w:type="dxa"/>
            <w:gridSpan w:val="3"/>
            <w:tcBorders>
              <w:top w:val="nil"/>
              <w:left w:val="nil"/>
              <w:bottom w:val="single" w:color="auto" w:sz="4" w:space="0"/>
              <w:right w:val="single" w:color="auto" w:sz="4" w:space="0"/>
            </w:tcBorders>
            <w:noWrap w:val="0"/>
            <w:vAlign w:val="center"/>
          </w:tcPr>
          <w:p w14:paraId="1659D09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w:t>
            </w:r>
          </w:p>
        </w:tc>
        <w:tc>
          <w:tcPr>
            <w:tcW w:w="2016" w:type="dxa"/>
            <w:tcBorders>
              <w:top w:val="nil"/>
              <w:left w:val="nil"/>
              <w:bottom w:val="single" w:color="auto" w:sz="4" w:space="0"/>
              <w:right w:val="single" w:color="auto" w:sz="4" w:space="0"/>
            </w:tcBorders>
            <w:noWrap w:val="0"/>
            <w:vAlign w:val="center"/>
          </w:tcPr>
          <w:p w14:paraId="20B172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EA9B94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110976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C2346100</w:t>
            </w:r>
          </w:p>
        </w:tc>
      </w:tr>
      <w:tr w14:paraId="222544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67E10A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1BC0D8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未按时报送水土保持监测情况</w:t>
            </w:r>
          </w:p>
        </w:tc>
        <w:tc>
          <w:tcPr>
            <w:tcW w:w="2981" w:type="dxa"/>
            <w:tcBorders>
              <w:top w:val="nil"/>
              <w:left w:val="nil"/>
              <w:bottom w:val="single" w:color="auto" w:sz="4" w:space="0"/>
              <w:right w:val="single" w:color="auto" w:sz="4" w:space="0"/>
            </w:tcBorders>
            <w:noWrap w:val="0"/>
            <w:vAlign w:val="center"/>
          </w:tcPr>
          <w:p w14:paraId="4A8432D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处罚条款：第三十九条，责令限期改正，处五千元以上二万元以下罚款。</w:t>
            </w:r>
          </w:p>
        </w:tc>
        <w:tc>
          <w:tcPr>
            <w:tcW w:w="851" w:type="dxa"/>
            <w:tcBorders>
              <w:top w:val="nil"/>
              <w:left w:val="nil"/>
              <w:bottom w:val="single" w:color="auto" w:sz="4" w:space="0"/>
              <w:right w:val="single" w:color="auto" w:sz="4" w:space="0"/>
            </w:tcBorders>
            <w:noWrap w:val="0"/>
            <w:vAlign w:val="center"/>
          </w:tcPr>
          <w:p w14:paraId="3E48ED4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582B9C2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083C1E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2.20公顷≤项目征占地面积＜80公顷，系数为1；3.80公顷≤项目征占地面积＜140公顷，系数为2；4.140公顷≤项目征占地面积，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AE6C4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7C90E5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3A90225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D2D860C">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C2348800</w:t>
            </w:r>
          </w:p>
        </w:tc>
      </w:tr>
      <w:tr w14:paraId="0CD89E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7D3BF12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14:paraId="5901DF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未建设集雨式绿地、透水铺装、雨水集蓄利用等设施</w:t>
            </w:r>
          </w:p>
        </w:tc>
        <w:tc>
          <w:tcPr>
            <w:tcW w:w="2981" w:type="dxa"/>
            <w:tcBorders>
              <w:top w:val="nil"/>
              <w:left w:val="nil"/>
              <w:bottom w:val="single" w:color="auto" w:sz="4" w:space="0"/>
              <w:right w:val="single" w:color="auto" w:sz="4" w:space="0"/>
            </w:tcBorders>
            <w:noWrap w:val="0"/>
            <w:vAlign w:val="center"/>
          </w:tcPr>
          <w:p w14:paraId="7F52C48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处罚条款：第四十条，责令改正，处五万元以上五十万元以下罚款。</w:t>
            </w:r>
          </w:p>
        </w:tc>
        <w:tc>
          <w:tcPr>
            <w:tcW w:w="851" w:type="dxa"/>
            <w:tcBorders>
              <w:top w:val="nil"/>
              <w:left w:val="nil"/>
              <w:bottom w:val="single" w:color="auto" w:sz="4" w:space="0"/>
              <w:right w:val="single" w:color="auto" w:sz="4" w:space="0"/>
            </w:tcBorders>
            <w:noWrap w:val="0"/>
            <w:vAlign w:val="center"/>
          </w:tcPr>
          <w:p w14:paraId="3EAA2E5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74F8E66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48E38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1.实际值与标准值偏差＜10%，系数为0；10%≤实际值与标准值偏差＜20%，系数为1；每增加10%（不足10%，按10%计），系数加1；90%≤实际值与标准值偏差，系数为 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3FB9C5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1BAE45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E57B78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DC2D5E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C2349100</w:t>
            </w:r>
          </w:p>
        </w:tc>
      </w:tr>
      <w:tr w14:paraId="147C59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7AC2C8D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14:paraId="256BB35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生产建设单位在土石方堆放、转运和综合利用中未采取有效措施加强土石方管理，造成水土流失</w:t>
            </w:r>
          </w:p>
        </w:tc>
        <w:tc>
          <w:tcPr>
            <w:tcW w:w="2981" w:type="dxa"/>
            <w:tcBorders>
              <w:top w:val="nil"/>
              <w:left w:val="nil"/>
              <w:bottom w:val="single" w:color="auto" w:sz="4" w:space="0"/>
              <w:right w:val="single" w:color="auto" w:sz="4" w:space="0"/>
            </w:tcBorders>
            <w:noWrap w:val="0"/>
            <w:vAlign w:val="center"/>
          </w:tcPr>
          <w:p w14:paraId="33CF057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处罚条款：第三十八条，责令改正，处五万元以上五十万元以下罚款。</w:t>
            </w:r>
          </w:p>
        </w:tc>
        <w:tc>
          <w:tcPr>
            <w:tcW w:w="851" w:type="dxa"/>
            <w:tcBorders>
              <w:top w:val="nil"/>
              <w:left w:val="nil"/>
              <w:bottom w:val="single" w:color="auto" w:sz="4" w:space="0"/>
              <w:right w:val="single" w:color="auto" w:sz="4" w:space="0"/>
            </w:tcBorders>
            <w:noWrap w:val="0"/>
            <w:vAlign w:val="center"/>
          </w:tcPr>
          <w:p w14:paraId="69DA60D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1854271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F0D50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土石方量＜2000立方米，系数为0；2000立方米≤土石方量＜3000立方米，系数为1；每增加1000立方米（不足1000立方米，按1000立方米计），系数加1；10000立方米≤土石方量，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0A51E2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194520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6621BE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C5D96B5">
            <w:pPr>
              <w:widowControl/>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待新增</w:t>
            </w:r>
          </w:p>
        </w:tc>
      </w:tr>
      <w:tr w14:paraId="6A3032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28629D5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vMerge w:val="restart"/>
            <w:tcBorders>
              <w:top w:val="nil"/>
              <w:left w:val="single" w:color="auto" w:sz="4" w:space="0"/>
              <w:bottom w:val="single" w:color="auto" w:sz="4" w:space="0"/>
              <w:right w:val="single" w:color="auto" w:sz="4" w:space="0"/>
            </w:tcBorders>
            <w:noWrap w:val="0"/>
            <w:vAlign w:val="center"/>
          </w:tcPr>
          <w:p w14:paraId="069B32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在生态清洁小流域范围内破坏水土保持设施或者干扰其正常运行，或其他影响水土保持设施正常功能</w:t>
            </w:r>
          </w:p>
        </w:tc>
        <w:tc>
          <w:tcPr>
            <w:tcW w:w="2981" w:type="dxa"/>
            <w:vMerge w:val="restart"/>
            <w:tcBorders>
              <w:top w:val="nil"/>
              <w:left w:val="single" w:color="auto" w:sz="4" w:space="0"/>
              <w:bottom w:val="single" w:color="auto" w:sz="4" w:space="0"/>
              <w:right w:val="single" w:color="auto" w:sz="4" w:space="0"/>
            </w:tcBorders>
            <w:noWrap w:val="0"/>
            <w:vAlign w:val="center"/>
          </w:tcPr>
          <w:p w14:paraId="191588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违反条款：第二十条第一款第（三）项、第（四）项；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51" w:type="dxa"/>
            <w:tcBorders>
              <w:top w:val="nil"/>
              <w:left w:val="nil"/>
              <w:bottom w:val="single" w:color="auto" w:sz="4" w:space="0"/>
              <w:right w:val="single" w:color="auto" w:sz="4" w:space="0"/>
            </w:tcBorders>
            <w:noWrap w:val="0"/>
            <w:vAlign w:val="center"/>
          </w:tcPr>
          <w:p w14:paraId="1BAFC5C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0417646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vMerge w:val="restart"/>
            <w:tcBorders>
              <w:top w:val="nil"/>
              <w:left w:val="single" w:color="auto" w:sz="4" w:space="0"/>
              <w:bottom w:val="single" w:color="auto" w:sz="4" w:space="0"/>
              <w:right w:val="single" w:color="auto" w:sz="4" w:space="0"/>
            </w:tcBorders>
            <w:noWrap w:val="0"/>
            <w:vAlign w:val="center"/>
          </w:tcPr>
          <w:p w14:paraId="5A3CC45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涉及到一般设施干扰的，系数为0；2.涉及到一般设施破坏的，系数为3；3.涉及到核心设施干扰的，系数为6；4.涉及到核心设施破坏的，系数为9。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F5101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3AC34E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51408AB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vMerge w:val="restart"/>
            <w:tcBorders>
              <w:top w:val="nil"/>
              <w:left w:val="single" w:color="auto" w:sz="4" w:space="0"/>
              <w:right w:val="single" w:color="auto" w:sz="4" w:space="0"/>
            </w:tcBorders>
            <w:noWrap w:val="0"/>
            <w:vAlign w:val="center"/>
          </w:tcPr>
          <w:p w14:paraId="6187CEC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C2352300</w:t>
            </w:r>
          </w:p>
        </w:tc>
      </w:tr>
      <w:tr w14:paraId="2446B8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38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205C9342">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752BAB34">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1833E74E">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4F3DB3B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ign w:val="center"/>
          </w:tcPr>
          <w:p w14:paraId="748835B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tcBorders>
              <w:top w:val="nil"/>
              <w:left w:val="single" w:color="auto" w:sz="4" w:space="0"/>
              <w:bottom w:val="single" w:color="auto" w:sz="4" w:space="0"/>
              <w:right w:val="single" w:color="auto" w:sz="4" w:space="0"/>
            </w:tcBorders>
            <w:noWrap w:val="0"/>
            <w:vAlign w:val="center"/>
          </w:tcPr>
          <w:p w14:paraId="7C4D1515">
            <w:pPr>
              <w:widowControl/>
              <w:jc w:val="left"/>
              <w:rPr>
                <w:rFonts w:hint="eastAsia" w:ascii="宋体" w:hAnsi="宋体" w:eastAsia="宋体" w:cs="宋体"/>
                <w:color w:val="auto"/>
                <w:kern w:val="0"/>
                <w:sz w:val="15"/>
                <w:szCs w:val="15"/>
                <w:highlight w:val="none"/>
              </w:rPr>
            </w:pPr>
          </w:p>
        </w:tc>
        <w:tc>
          <w:tcPr>
            <w:tcW w:w="1879" w:type="dxa"/>
            <w:gridSpan w:val="3"/>
            <w:tcBorders>
              <w:top w:val="nil"/>
              <w:left w:val="nil"/>
              <w:bottom w:val="single" w:color="auto" w:sz="4" w:space="0"/>
              <w:right w:val="single" w:color="auto" w:sz="4" w:space="0"/>
            </w:tcBorders>
            <w:noWrap w:val="0"/>
            <w:vAlign w:val="center"/>
          </w:tcPr>
          <w:p w14:paraId="4D09EC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54C708C0">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25801269">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408EBF3F">
            <w:pPr>
              <w:widowControl/>
              <w:jc w:val="left"/>
              <w:rPr>
                <w:rFonts w:hint="eastAsia" w:ascii="宋体" w:hAnsi="宋体" w:eastAsia="宋体" w:cs="宋体"/>
                <w:color w:val="auto"/>
                <w:kern w:val="0"/>
                <w:sz w:val="15"/>
                <w:szCs w:val="15"/>
                <w:highlight w:val="none"/>
                <w:lang w:eastAsia="zh"/>
              </w:rPr>
            </w:pPr>
          </w:p>
        </w:tc>
      </w:tr>
      <w:tr w14:paraId="758E35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219C7D6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vMerge w:val="restart"/>
            <w:tcBorders>
              <w:top w:val="nil"/>
              <w:left w:val="single" w:color="auto" w:sz="4" w:space="0"/>
              <w:bottom w:val="single" w:color="auto" w:sz="4" w:space="0"/>
              <w:right w:val="single" w:color="auto" w:sz="4" w:space="0"/>
            </w:tcBorders>
            <w:noWrap w:val="0"/>
            <w:vAlign w:val="center"/>
          </w:tcPr>
          <w:p w14:paraId="39B23F1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在生态清洁小流域范围内随意取土、挖砂、倾倒垃圾、排放污水</w:t>
            </w:r>
          </w:p>
        </w:tc>
        <w:tc>
          <w:tcPr>
            <w:tcW w:w="2981" w:type="dxa"/>
            <w:vMerge w:val="restart"/>
            <w:tcBorders>
              <w:top w:val="nil"/>
              <w:left w:val="single" w:color="auto" w:sz="4" w:space="0"/>
              <w:bottom w:val="single" w:color="auto" w:sz="4" w:space="0"/>
              <w:right w:val="single" w:color="auto" w:sz="4" w:space="0"/>
            </w:tcBorders>
            <w:noWrap w:val="0"/>
            <w:vAlign w:val="center"/>
          </w:tcPr>
          <w:p w14:paraId="660989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51" w:type="dxa"/>
            <w:tcBorders>
              <w:top w:val="nil"/>
              <w:left w:val="nil"/>
              <w:bottom w:val="single" w:color="auto" w:sz="4" w:space="0"/>
              <w:right w:val="single" w:color="auto" w:sz="4" w:space="0"/>
            </w:tcBorders>
            <w:noWrap w:val="0"/>
            <w:vAlign w:val="center"/>
          </w:tcPr>
          <w:p w14:paraId="2F7DB3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1BD888E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vMerge w:val="restart"/>
            <w:tcBorders>
              <w:top w:val="nil"/>
              <w:left w:val="single" w:color="auto" w:sz="4" w:space="0"/>
              <w:bottom w:val="single" w:color="auto" w:sz="4" w:space="0"/>
              <w:right w:val="single" w:color="auto" w:sz="4" w:space="0"/>
            </w:tcBorders>
            <w:noWrap w:val="0"/>
            <w:vAlign w:val="center"/>
          </w:tcPr>
          <w:p w14:paraId="5EBD45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挖砂量＜50立方米或垃圾、污水＜5吨，系数为0；2.50立方米≤取土、挖砂量＜100立方米或5吨≤垃圾、污水＜10吨，系数为4；3.100立方米≤取土、挖砂量或10吨≤垃圾、污水，系数为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A9AE0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3E218C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3E41EE7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vMerge w:val="restart"/>
            <w:tcBorders>
              <w:top w:val="nil"/>
              <w:left w:val="single" w:color="auto" w:sz="4" w:space="0"/>
              <w:right w:val="single" w:color="auto" w:sz="4" w:space="0"/>
            </w:tcBorders>
            <w:noWrap w:val="0"/>
            <w:vAlign w:val="center"/>
          </w:tcPr>
          <w:p w14:paraId="78E5034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C2352400</w:t>
            </w:r>
          </w:p>
        </w:tc>
      </w:tr>
      <w:tr w14:paraId="4CCECA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38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381C880E">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0D35F005">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1CD2632E">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1D99C42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ign w:val="center"/>
          </w:tcPr>
          <w:p w14:paraId="537F535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tcBorders>
              <w:top w:val="nil"/>
              <w:left w:val="single" w:color="auto" w:sz="4" w:space="0"/>
              <w:bottom w:val="single" w:color="auto" w:sz="4" w:space="0"/>
              <w:right w:val="single" w:color="auto" w:sz="4" w:space="0"/>
            </w:tcBorders>
            <w:noWrap w:val="0"/>
            <w:vAlign w:val="center"/>
          </w:tcPr>
          <w:p w14:paraId="36A6CF0B">
            <w:pPr>
              <w:widowControl/>
              <w:jc w:val="left"/>
              <w:rPr>
                <w:rFonts w:hint="eastAsia" w:ascii="宋体" w:hAnsi="宋体" w:eastAsia="宋体" w:cs="宋体"/>
                <w:color w:val="auto"/>
                <w:kern w:val="0"/>
                <w:sz w:val="15"/>
                <w:szCs w:val="15"/>
                <w:highlight w:val="none"/>
              </w:rPr>
            </w:pPr>
          </w:p>
        </w:tc>
        <w:tc>
          <w:tcPr>
            <w:tcW w:w="1879" w:type="dxa"/>
            <w:gridSpan w:val="3"/>
            <w:tcBorders>
              <w:top w:val="nil"/>
              <w:left w:val="nil"/>
              <w:bottom w:val="single" w:color="auto" w:sz="4" w:space="0"/>
              <w:right w:val="single" w:color="auto" w:sz="4" w:space="0"/>
            </w:tcBorders>
            <w:noWrap w:val="0"/>
            <w:vAlign w:val="center"/>
          </w:tcPr>
          <w:p w14:paraId="2108C22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6AB9FAB1">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349E89D5">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249F8213">
            <w:pPr>
              <w:widowControl/>
              <w:jc w:val="left"/>
              <w:rPr>
                <w:rFonts w:hint="eastAsia" w:ascii="宋体" w:hAnsi="宋体" w:eastAsia="宋体" w:cs="宋体"/>
                <w:color w:val="auto"/>
                <w:kern w:val="0"/>
                <w:sz w:val="15"/>
                <w:szCs w:val="15"/>
                <w:highlight w:val="none"/>
                <w:lang w:eastAsia="zh"/>
              </w:rPr>
            </w:pPr>
          </w:p>
        </w:tc>
      </w:tr>
      <w:tr w14:paraId="5A0627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1653950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vMerge w:val="restart"/>
            <w:tcBorders>
              <w:top w:val="nil"/>
              <w:left w:val="single" w:color="auto" w:sz="4" w:space="0"/>
              <w:bottom w:val="single" w:color="auto" w:sz="4" w:space="0"/>
              <w:right w:val="single" w:color="auto" w:sz="4" w:space="0"/>
            </w:tcBorders>
            <w:noWrap w:val="0"/>
            <w:vAlign w:val="center"/>
          </w:tcPr>
          <w:p w14:paraId="5A8DB2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在生态清洁小流域范围内的沟道内私搭乱建、堆放物品</w:t>
            </w:r>
          </w:p>
        </w:tc>
        <w:tc>
          <w:tcPr>
            <w:tcW w:w="2981" w:type="dxa"/>
            <w:vMerge w:val="restart"/>
            <w:tcBorders>
              <w:top w:val="nil"/>
              <w:left w:val="single" w:color="auto" w:sz="4" w:space="0"/>
              <w:bottom w:val="single" w:color="auto" w:sz="4" w:space="0"/>
              <w:right w:val="single" w:color="auto" w:sz="4" w:space="0"/>
            </w:tcBorders>
            <w:noWrap w:val="0"/>
            <w:vAlign w:val="center"/>
          </w:tcPr>
          <w:p w14:paraId="3F5308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51" w:type="dxa"/>
            <w:tcBorders>
              <w:top w:val="nil"/>
              <w:left w:val="nil"/>
              <w:bottom w:val="single" w:color="auto" w:sz="4" w:space="0"/>
              <w:right w:val="single" w:color="auto" w:sz="4" w:space="0"/>
            </w:tcBorders>
            <w:noWrap w:val="0"/>
            <w:vAlign w:val="center"/>
          </w:tcPr>
          <w:p w14:paraId="56398D5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2DE42E6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vMerge w:val="restart"/>
            <w:tcBorders>
              <w:top w:val="nil"/>
              <w:left w:val="single" w:color="auto" w:sz="4" w:space="0"/>
              <w:bottom w:val="single" w:color="auto" w:sz="4" w:space="0"/>
              <w:right w:val="single" w:color="auto" w:sz="4" w:space="0"/>
            </w:tcBorders>
            <w:noWrap w:val="0"/>
            <w:vAlign w:val="center"/>
          </w:tcPr>
          <w:p w14:paraId="68B75B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私搭乱建面积＜5平方米或堆放物品＜1立方米，未影响行洪及生态功能，系数为0；2.5平方米≤私搭乱建面积＜20平方米或1立方米≤堆放物品＜5立方米，造成局部排水不畅，系数为2；3.20平方米≤私搭乱建面积＜50平方米或5立方米≤堆放物品＜20立方米，影响局部行洪安全，系数为4；4.50平方米≤私搭乱建面积＜100平方米或20立方米≤堆放物品＜50立方米，导致河道局部堵塞，系数为6；5.100平方米≤私搭乱建面积或50立方米≤堆放物品，引发重大安全隐患，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8569B2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5AD3F4A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7B9618A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vMerge w:val="restart"/>
            <w:tcBorders>
              <w:top w:val="nil"/>
              <w:left w:val="single" w:color="auto" w:sz="4" w:space="0"/>
              <w:right w:val="single" w:color="auto" w:sz="4" w:space="0"/>
            </w:tcBorders>
            <w:noWrap w:val="0"/>
            <w:vAlign w:val="center"/>
          </w:tcPr>
          <w:p w14:paraId="043F475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C2352500</w:t>
            </w:r>
          </w:p>
        </w:tc>
      </w:tr>
      <w:tr w14:paraId="436152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38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0A5F075B">
            <w:pPr>
              <w:widowControl/>
              <w:jc w:val="left"/>
              <w:rPr>
                <w:rFonts w:ascii="Times New Roman" w:hAnsi="Times New Roman" w:eastAsia="宋体" w:cs="Times New Roman"/>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6E210EF9">
            <w:pPr>
              <w:widowControl/>
              <w:jc w:val="left"/>
              <w:rPr>
                <w:rFonts w:ascii="Times New Roman" w:hAnsi="Times New Roman" w:eastAsia="宋体" w:cs="Times New Roman"/>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5DB207F9">
            <w:pPr>
              <w:widowControl/>
              <w:jc w:val="left"/>
              <w:rPr>
                <w:rFonts w:ascii="Times New Roman" w:hAnsi="Times New Roman" w:eastAsia="宋体" w:cs="Times New Roman"/>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607370D8">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500</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（对个人）</w:t>
            </w:r>
          </w:p>
        </w:tc>
        <w:tc>
          <w:tcPr>
            <w:tcW w:w="840" w:type="dxa"/>
            <w:tcBorders>
              <w:top w:val="nil"/>
              <w:left w:val="nil"/>
              <w:bottom w:val="single" w:color="auto" w:sz="4" w:space="0"/>
              <w:right w:val="single" w:color="auto" w:sz="4" w:space="0"/>
            </w:tcBorders>
            <w:noWrap/>
            <w:vAlign w:val="center"/>
          </w:tcPr>
          <w:p w14:paraId="5A671AB1">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1</w:t>
            </w:r>
          </w:p>
        </w:tc>
        <w:tc>
          <w:tcPr>
            <w:tcW w:w="2376" w:type="dxa"/>
            <w:vMerge w:val="continue"/>
            <w:tcBorders>
              <w:top w:val="nil"/>
              <w:left w:val="single" w:color="auto" w:sz="4" w:space="0"/>
              <w:bottom w:val="single" w:color="auto" w:sz="4" w:space="0"/>
              <w:right w:val="single" w:color="auto" w:sz="4" w:space="0"/>
            </w:tcBorders>
            <w:noWrap w:val="0"/>
            <w:vAlign w:val="center"/>
          </w:tcPr>
          <w:p w14:paraId="4827A8F7">
            <w:pPr>
              <w:widowControl/>
              <w:jc w:val="left"/>
              <w:rPr>
                <w:rFonts w:ascii="Times New Roman" w:hAnsi="Times New Roman" w:eastAsia="宋体" w:cs="Times New Roman"/>
                <w:color w:val="auto"/>
                <w:kern w:val="0"/>
                <w:sz w:val="15"/>
                <w:szCs w:val="15"/>
                <w:highlight w:val="none"/>
              </w:rPr>
            </w:pPr>
          </w:p>
        </w:tc>
        <w:tc>
          <w:tcPr>
            <w:tcW w:w="1879" w:type="dxa"/>
            <w:gridSpan w:val="3"/>
            <w:tcBorders>
              <w:top w:val="nil"/>
              <w:left w:val="nil"/>
              <w:bottom w:val="single" w:color="auto" w:sz="4" w:space="0"/>
              <w:right w:val="single" w:color="auto" w:sz="4" w:space="0"/>
            </w:tcBorders>
            <w:noWrap w:val="0"/>
            <w:vAlign w:val="center"/>
          </w:tcPr>
          <w:p w14:paraId="6904E18C">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罚款金额=500×（1+情节系数）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51B646BE">
            <w:pPr>
              <w:widowControl/>
              <w:jc w:val="left"/>
              <w:rPr>
                <w:rFonts w:ascii="Times New Roman" w:hAnsi="Times New Roman" w:eastAsia="宋体" w:cs="Times New Roman"/>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065CDAC5">
            <w:pPr>
              <w:widowControl/>
              <w:jc w:val="left"/>
              <w:rPr>
                <w:rFonts w:ascii="Times New Roman" w:hAnsi="Times New Roman" w:eastAsia="宋体" w:cs="Times New Roman"/>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406C1A5F">
            <w:pPr>
              <w:widowControl/>
              <w:jc w:val="left"/>
              <w:rPr>
                <w:rFonts w:hint="eastAsia" w:ascii="Times New Roman" w:hAnsi="Times New Roman" w:eastAsia="宋体" w:cs="Times New Roman"/>
                <w:color w:val="auto"/>
                <w:kern w:val="0"/>
                <w:sz w:val="15"/>
                <w:szCs w:val="15"/>
                <w:highlight w:val="none"/>
                <w:lang w:eastAsia="zh"/>
              </w:rPr>
            </w:pPr>
          </w:p>
        </w:tc>
      </w:tr>
      <w:tr w14:paraId="2DBFF9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340"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195E0E4C">
            <w:pPr>
              <w:widowControl/>
              <w:jc w:val="center"/>
              <w:outlineLvl w:val="0"/>
              <w:rPr>
                <w:rFonts w:ascii="Times New Roman" w:hAnsi="Times New Roman" w:eastAsia="宋体" w:cs="Times New Roman"/>
                <w:color w:val="auto"/>
                <w:kern w:val="0"/>
                <w:sz w:val="28"/>
                <w:szCs w:val="28"/>
                <w:highlight w:val="none"/>
              </w:rPr>
            </w:pPr>
            <w:bookmarkStart w:id="269" w:name="_Toc218468859"/>
            <w:bookmarkStart w:id="270" w:name="_Toc1762195202"/>
            <w:r>
              <w:rPr>
                <w:rFonts w:hint="eastAsia" w:ascii="黑体" w:hAnsi="黑体" w:eastAsia="黑体" w:cs="黑体"/>
                <w:color w:val="auto"/>
                <w:kern w:val="0"/>
                <w:sz w:val="28"/>
                <w:szCs w:val="28"/>
                <w:highlight w:val="none"/>
              </w:rPr>
              <w:t>水工程运行管理方面</w:t>
            </w:r>
            <w:bookmarkEnd w:id="269"/>
            <w:bookmarkEnd w:id="270"/>
          </w:p>
        </w:tc>
        <w:tc>
          <w:tcPr>
            <w:tcW w:w="3173" w:type="dxa"/>
            <w:gridSpan w:val="3"/>
            <w:tcBorders>
              <w:top w:val="nil"/>
              <w:left w:val="single" w:color="auto" w:sz="4" w:space="0"/>
              <w:bottom w:val="single" w:color="auto" w:sz="4" w:space="0"/>
              <w:right w:val="single" w:color="auto" w:sz="4" w:space="0"/>
            </w:tcBorders>
            <w:noWrap w:val="0"/>
            <w:vAlign w:val="center"/>
          </w:tcPr>
          <w:p w14:paraId="5F76579E">
            <w:pPr>
              <w:widowControl/>
              <w:jc w:val="center"/>
              <w:outlineLvl w:val="0"/>
              <w:rPr>
                <w:rFonts w:hint="eastAsia" w:ascii="黑体" w:hAnsi="黑体" w:eastAsia="黑体" w:cs="黑体"/>
                <w:color w:val="auto"/>
                <w:kern w:val="0"/>
                <w:sz w:val="28"/>
                <w:szCs w:val="28"/>
                <w:highlight w:val="none"/>
              </w:rPr>
            </w:pPr>
          </w:p>
        </w:tc>
      </w:tr>
      <w:tr w14:paraId="2EBC5C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83"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6894DE1B">
            <w:pPr>
              <w:widowControl/>
              <w:jc w:val="center"/>
              <w:outlineLvl w:val="1"/>
              <w:rPr>
                <w:rFonts w:hint="eastAsia" w:ascii="宋体" w:hAnsi="宋体" w:eastAsia="宋体" w:cs="宋体"/>
                <w:color w:val="auto"/>
                <w:kern w:val="0"/>
                <w:szCs w:val="21"/>
                <w:highlight w:val="none"/>
              </w:rPr>
            </w:pPr>
            <w:bookmarkStart w:id="271" w:name="_Toc218468860"/>
            <w:bookmarkStart w:id="272" w:name="_Toc165216269"/>
            <w:r>
              <w:rPr>
                <w:rFonts w:hint="eastAsia" w:ascii="宋体" w:hAnsi="宋体" w:eastAsia="宋体" w:cs="宋体"/>
                <w:b/>
                <w:bCs/>
                <w:color w:val="auto"/>
                <w:kern w:val="0"/>
                <w:szCs w:val="21"/>
                <w:highlight w:val="none"/>
              </w:rPr>
              <w:t>《中华人民共和国水法》《中华人民共和国河道管理条例》《南水北调工程供用水管理条例》案由10项</w:t>
            </w:r>
            <w:bookmarkEnd w:id="271"/>
            <w:bookmarkEnd w:id="272"/>
          </w:p>
        </w:tc>
        <w:tc>
          <w:tcPr>
            <w:tcW w:w="3173" w:type="dxa"/>
            <w:gridSpan w:val="3"/>
            <w:tcBorders>
              <w:top w:val="nil"/>
              <w:left w:val="single" w:color="auto" w:sz="4" w:space="0"/>
              <w:bottom w:val="single" w:color="auto" w:sz="4" w:space="0"/>
              <w:right w:val="single" w:color="auto" w:sz="4" w:space="0"/>
            </w:tcBorders>
            <w:noWrap w:val="0"/>
            <w:vAlign w:val="center"/>
          </w:tcPr>
          <w:p w14:paraId="37869E04">
            <w:pPr>
              <w:widowControl/>
              <w:jc w:val="center"/>
              <w:outlineLvl w:val="1"/>
              <w:rPr>
                <w:rFonts w:hint="eastAsia" w:ascii="宋体" w:hAnsi="宋体" w:eastAsia="宋体" w:cs="宋体"/>
                <w:b/>
                <w:bCs/>
                <w:color w:val="auto"/>
                <w:kern w:val="0"/>
                <w:szCs w:val="21"/>
                <w:highlight w:val="none"/>
              </w:rPr>
            </w:pPr>
          </w:p>
        </w:tc>
      </w:tr>
      <w:tr w14:paraId="79AED41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ign w:val="center"/>
          </w:tcPr>
          <w:p w14:paraId="19D3381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2D08F0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未经签署规划同意书要求，擅自在江河、湖泊上建设防洪工程和其他水工程、水电站</w:t>
            </w:r>
          </w:p>
        </w:tc>
        <w:tc>
          <w:tcPr>
            <w:tcW w:w="2981" w:type="dxa"/>
            <w:tcBorders>
              <w:top w:val="nil"/>
              <w:left w:val="nil"/>
              <w:bottom w:val="single" w:color="auto" w:sz="4" w:space="0"/>
              <w:right w:val="single" w:color="auto" w:sz="4" w:space="0"/>
            </w:tcBorders>
            <w:noWrap w:val="0"/>
            <w:vAlign w:val="center"/>
          </w:tcPr>
          <w:p w14:paraId="76BA846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二款，责令停止违法行为，限期补办有关手续；逾期不补办或者补办未被批准的，责令限期拆除违法建筑物、构筑物；逾期不拆除的，强行拆除，所需费用由违法单位或者个人负担，并处一万元以上十万元以下的罚款。</w:t>
            </w:r>
          </w:p>
        </w:tc>
        <w:tc>
          <w:tcPr>
            <w:tcW w:w="851" w:type="dxa"/>
            <w:tcBorders>
              <w:top w:val="nil"/>
              <w:left w:val="nil"/>
              <w:bottom w:val="single" w:color="auto" w:sz="4" w:space="0"/>
              <w:right w:val="single" w:color="auto" w:sz="4" w:space="0"/>
            </w:tcBorders>
            <w:noWrap w:val="0"/>
            <w:vAlign w:val="center"/>
          </w:tcPr>
          <w:p w14:paraId="4242383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24FDC5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E6C85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55191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4E44F4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3723509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686DD7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C2315300</w:t>
            </w:r>
          </w:p>
        </w:tc>
      </w:tr>
      <w:tr w14:paraId="17BA94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072" w:hRule="atLeast"/>
        </w:trPr>
        <w:tc>
          <w:tcPr>
            <w:tcW w:w="716" w:type="dxa"/>
            <w:gridSpan w:val="2"/>
            <w:tcBorders>
              <w:top w:val="nil"/>
              <w:left w:val="single" w:color="auto" w:sz="4" w:space="0"/>
              <w:bottom w:val="single" w:color="auto" w:sz="4" w:space="0"/>
              <w:right w:val="single" w:color="auto" w:sz="4" w:space="0"/>
            </w:tcBorders>
            <w:noWrap/>
            <w:vAlign w:val="center"/>
          </w:tcPr>
          <w:p w14:paraId="5A63CD4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54369C9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未经审查同意，擅自建设桥梁、码头和其他拦河、跨河、临河建筑物、构筑物，铺设跨河管道、电缆</w:t>
            </w:r>
          </w:p>
        </w:tc>
        <w:tc>
          <w:tcPr>
            <w:tcW w:w="2981" w:type="dxa"/>
            <w:tcBorders>
              <w:top w:val="nil"/>
              <w:left w:val="nil"/>
              <w:bottom w:val="single" w:color="auto" w:sz="4" w:space="0"/>
              <w:right w:val="single" w:color="auto" w:sz="4" w:space="0"/>
            </w:tcBorders>
            <w:noWrap w:val="0"/>
            <w:vAlign w:val="center"/>
          </w:tcPr>
          <w:p w14:paraId="6D7983C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违反条款：《水法》第三十八条第一款；</w:t>
            </w:r>
            <w:r>
              <w:rPr>
                <w:rFonts w:hint="eastAsia" w:ascii="Times New Roman" w:hAnsi="Times New Roman" w:eastAsia="宋体" w:cs="Times New Roman"/>
                <w:color w:val="auto"/>
                <w:kern w:val="0"/>
                <w:sz w:val="15"/>
                <w:szCs w:val="15"/>
                <w:highlight w:val="none"/>
              </w:rPr>
              <w:t>《铁路安全管理条例》第三十七条</w:t>
            </w:r>
            <w:r>
              <w:rPr>
                <w:rFonts w:hint="eastAsia" w:ascii="Times New Roman" w:hAnsi="Times New Roman" w:eastAsia="宋体" w:cs="Times New Roman"/>
                <w:color w:val="auto"/>
                <w:kern w:val="0"/>
                <w:sz w:val="15"/>
                <w:szCs w:val="15"/>
                <w:highlight w:val="none"/>
                <w:lang w:eastAsia="zh-CN"/>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二款，责令停止违法行为，限期补办有关手续；逾期不补办或者补办未被批准的，责令限期拆除违法建筑物、构筑物；逾期不拆除的，强行拆除，所需费用由违法单位或者个人负担，并处一万元以上十万元以下的罚款。</w:t>
            </w:r>
            <w:r>
              <w:rPr>
                <w:rFonts w:hint="eastAsia" w:ascii="Times New Roman" w:hAnsi="Times New Roman" w:eastAsia="宋体" w:cs="Times New Roman"/>
                <w:color w:val="auto"/>
                <w:kern w:val="0"/>
                <w:sz w:val="15"/>
                <w:szCs w:val="15"/>
                <w:highlight w:val="none"/>
              </w:rPr>
              <w:t>《铁路安全管理条例》第九十一条第一款第</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rPr>
              <w:t>三</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rPr>
              <w:t>项</w:t>
            </w:r>
            <w:r>
              <w:rPr>
                <w:rFonts w:hint="eastAsia" w:ascii="Times New Roman" w:hAnsi="Times New Roman" w:eastAsia="宋体" w:cs="Times New Roman"/>
                <w:color w:val="auto"/>
                <w:kern w:val="0"/>
                <w:sz w:val="15"/>
                <w:szCs w:val="15"/>
                <w:highlight w:val="none"/>
                <w:lang w:eastAsia="zh-CN"/>
              </w:rPr>
              <w:t>，</w:t>
            </w:r>
            <w:r>
              <w:rPr>
                <w:rFonts w:hint="eastAsia" w:ascii="宋体" w:hAnsi="宋体" w:eastAsia="宋体" w:cs="宋体"/>
                <w:color w:val="auto"/>
                <w:kern w:val="0"/>
                <w:sz w:val="15"/>
                <w:szCs w:val="15"/>
                <w:highlight w:val="none"/>
              </w:rPr>
              <w:t>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在铁路桥梁跨越处河道上下游各1000米范围内围垦造田、拦河筑坝、架设浮桥或者修建其他影响铁路桥梁安全的设施</w:t>
            </w:r>
            <w:r>
              <w:rPr>
                <w:rFonts w:hint="eastAsia" w:ascii="宋体" w:hAnsi="宋体" w:eastAsia="宋体" w:cs="宋体"/>
                <w:color w:val="auto"/>
                <w:kern w:val="0"/>
                <w:sz w:val="15"/>
                <w:szCs w:val="15"/>
                <w:highlight w:val="none"/>
                <w:lang w:eastAsia="zh-CN"/>
              </w:rPr>
              <w:t>。</w:t>
            </w:r>
          </w:p>
        </w:tc>
        <w:tc>
          <w:tcPr>
            <w:tcW w:w="851" w:type="dxa"/>
            <w:tcBorders>
              <w:top w:val="nil"/>
              <w:left w:val="nil"/>
              <w:bottom w:val="single" w:color="auto" w:sz="4" w:space="0"/>
              <w:right w:val="single" w:color="auto" w:sz="4" w:space="0"/>
            </w:tcBorders>
            <w:noWrap w:val="0"/>
            <w:vAlign w:val="center"/>
          </w:tcPr>
          <w:p w14:paraId="5C932B8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113CE4A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2EC375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的，处以下罚款：1.面积＜200平方米或长度＜50米，系数为0；2.200平方米≤面积＜500平方米或50米≤长度＜100米，系数为2；3.500平方米≤面积＜800平方米或100米≤长度＜150米，系数为4；4.800平方米≤面积＜1000平方米或150米≤长度＜200米，系数为6；5.1000平方米≤面积或200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D00F24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328B4B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36BAA1C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F03120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C2315500</w:t>
            </w:r>
          </w:p>
        </w:tc>
      </w:tr>
      <w:tr w14:paraId="43868E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2E37C7A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5FCA13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未按审查要求建设桥梁、码头和其他拦河、跨河、临河建筑物、构筑物，铺设跨河管道、电缆</w:t>
            </w:r>
          </w:p>
        </w:tc>
        <w:tc>
          <w:tcPr>
            <w:tcW w:w="2981" w:type="dxa"/>
            <w:tcBorders>
              <w:top w:val="nil"/>
              <w:left w:val="nil"/>
              <w:bottom w:val="single" w:color="auto" w:sz="4" w:space="0"/>
              <w:right w:val="single" w:color="auto" w:sz="4" w:space="0"/>
            </w:tcBorders>
            <w:noWrap w:val="0"/>
            <w:vAlign w:val="center"/>
          </w:tcPr>
          <w:p w14:paraId="13A4342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处罚条款：《水法》第六十五条第三款，责令限期改正，按照情节轻重，处一万元以上十万元以下的罚款。</w:t>
            </w:r>
          </w:p>
        </w:tc>
        <w:tc>
          <w:tcPr>
            <w:tcW w:w="851" w:type="dxa"/>
            <w:tcBorders>
              <w:top w:val="nil"/>
              <w:left w:val="nil"/>
              <w:bottom w:val="single" w:color="auto" w:sz="4" w:space="0"/>
              <w:right w:val="single" w:color="auto" w:sz="4" w:space="0"/>
            </w:tcBorders>
            <w:noWrap w:val="0"/>
            <w:vAlign w:val="center"/>
          </w:tcPr>
          <w:p w14:paraId="5769110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C2F60C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C81E5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平方米或长度＜5米，系数为0；2.20平方米≤面积＜50平方米或5米≤长度＜10米，系数为2；3.50平方米≤面积＜80平方米或10米≤长度＜15米，系数为4；4.80平方米≤面积＜100平方米或15米≤长度＜20米，系数为6；5.100平方米≤面积或20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D8F257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3A7637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91BF47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A2C430D">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C2317000</w:t>
            </w:r>
          </w:p>
        </w:tc>
      </w:tr>
      <w:tr w14:paraId="2862EC8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7292DEF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3370C3C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侵占、毁坏水工程及堤防、护岸等有关设施，毁坏防汛、水文监测、水文地质监测等设施</w:t>
            </w:r>
          </w:p>
        </w:tc>
        <w:tc>
          <w:tcPr>
            <w:tcW w:w="2981" w:type="dxa"/>
            <w:tcBorders>
              <w:top w:val="nil"/>
              <w:left w:val="nil"/>
              <w:bottom w:val="single" w:color="auto" w:sz="4" w:space="0"/>
              <w:right w:val="single" w:color="auto" w:sz="4" w:space="0"/>
            </w:tcBorders>
            <w:noWrap w:val="0"/>
            <w:vAlign w:val="center"/>
          </w:tcPr>
          <w:p w14:paraId="49F6C6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违反条款：《水法》第四十一条；《河道管理条例》第二十二条第一款；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一）项，责令停止违法行为，采取补救措施，处一万元以上五万元以下的罚款；《河道管理条例》第四十五条第一款第（一）项，责令其纠正违法行为，可以并处警告、罚款。</w:t>
            </w:r>
          </w:p>
        </w:tc>
        <w:tc>
          <w:tcPr>
            <w:tcW w:w="851" w:type="dxa"/>
            <w:tcBorders>
              <w:top w:val="nil"/>
              <w:left w:val="nil"/>
              <w:bottom w:val="single" w:color="auto" w:sz="4" w:space="0"/>
              <w:right w:val="single" w:color="auto" w:sz="4" w:space="0"/>
            </w:tcBorders>
            <w:noWrap w:val="0"/>
            <w:vAlign w:val="center"/>
          </w:tcPr>
          <w:p w14:paraId="314B47A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A77FCD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43C407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恶劣影响，系数为9；5.违法行为发生在汛期或侵占、毁坏3处以上，系数加3。6.存在基准2.1.3规定情形的，系数按照相关规定确定（基准2.1.3.5不适用）。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3C01B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4068B0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05FBEA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ABB2FF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C2317100</w:t>
            </w:r>
          </w:p>
        </w:tc>
      </w:tr>
      <w:tr w14:paraId="4FD9E6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ign w:val="center"/>
          </w:tcPr>
          <w:p w14:paraId="3283C3D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14:paraId="4830E7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在南水北调工程受水区地下水禁采区取用地下水、在受水区地下水超采区新增地下水取用水量、在受水区新增开采深层承压水</w:t>
            </w:r>
          </w:p>
        </w:tc>
        <w:tc>
          <w:tcPr>
            <w:tcW w:w="2981" w:type="dxa"/>
            <w:tcBorders>
              <w:top w:val="nil"/>
              <w:left w:val="nil"/>
              <w:bottom w:val="single" w:color="auto" w:sz="4" w:space="0"/>
              <w:right w:val="single" w:color="auto" w:sz="4" w:space="0"/>
            </w:tcBorders>
            <w:noWrap w:val="0"/>
            <w:vAlign w:val="center"/>
          </w:tcPr>
          <w:p w14:paraId="2529AE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违反条款：《水法》第四十八条第一款；《南水北调条例》第三十四条；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九条第一款第（一）项，责令停止违法行为，限期采取补救措施，处二万元以上十万元以下的罚款，情节严重的，吊销其取水许可证；《南水北调条例》第五十条第二款，依照《中华人民共和国水法》的规定处理。</w:t>
            </w:r>
          </w:p>
        </w:tc>
        <w:tc>
          <w:tcPr>
            <w:tcW w:w="851" w:type="dxa"/>
            <w:tcBorders>
              <w:top w:val="nil"/>
              <w:left w:val="nil"/>
              <w:bottom w:val="single" w:color="auto" w:sz="4" w:space="0"/>
              <w:right w:val="single" w:color="auto" w:sz="4" w:space="0"/>
            </w:tcBorders>
            <w:noWrap w:val="0"/>
            <w:vAlign w:val="center"/>
          </w:tcPr>
          <w:p w14:paraId="235CDAD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706B03F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6AE83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系数为0；2.1000立方米≤日最大取水能力＜1500立方米，系数为1；3.1500立方米≤日最大取水能力＜2000立方米，系数为2；4.2000立方米≤日最大取水能力＜3000立方米，系数为3；5.3000立方米≤日最大取水能力，系数为4；6.在禁采区取水，系数加2；违法行为持续时间超过30天，系数加2。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D4D752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14:paraId="744DFC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BEB44F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F54C17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C2339300</w:t>
            </w:r>
          </w:p>
        </w:tc>
      </w:tr>
      <w:tr w14:paraId="3B2FCBA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900" w:hRule="atLeast"/>
        </w:trPr>
        <w:tc>
          <w:tcPr>
            <w:tcW w:w="716" w:type="dxa"/>
            <w:gridSpan w:val="2"/>
            <w:tcBorders>
              <w:top w:val="nil"/>
              <w:left w:val="single" w:color="auto" w:sz="4" w:space="0"/>
              <w:bottom w:val="single" w:color="auto" w:sz="4" w:space="0"/>
              <w:right w:val="single" w:color="auto" w:sz="4" w:space="0"/>
            </w:tcBorders>
            <w:noWrap/>
            <w:vAlign w:val="center"/>
          </w:tcPr>
          <w:p w14:paraId="15F8CBD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14:paraId="014740D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擅自从南水北调工程取用水资源</w:t>
            </w:r>
          </w:p>
        </w:tc>
        <w:tc>
          <w:tcPr>
            <w:tcW w:w="2981" w:type="dxa"/>
            <w:tcBorders>
              <w:top w:val="nil"/>
              <w:left w:val="nil"/>
              <w:bottom w:val="single" w:color="auto" w:sz="4" w:space="0"/>
              <w:right w:val="single" w:color="auto" w:sz="4" w:space="0"/>
            </w:tcBorders>
            <w:noWrap w:val="0"/>
            <w:vAlign w:val="center"/>
          </w:tcPr>
          <w:p w14:paraId="6FE8D7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违反条款：《水法》第四十八条第一款；《南水北调条例》第四十二条第二款；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九条第一款第（一）项，责令停止违法行为，限期采取补救措施，处二万元以上十万元以下的罚款，情节严重的，吊销其取水许可证；《南水北调条例》第五十条第二款，依照《中华人民共和国水法》的规定处理。</w:t>
            </w:r>
          </w:p>
        </w:tc>
        <w:tc>
          <w:tcPr>
            <w:tcW w:w="851" w:type="dxa"/>
            <w:tcBorders>
              <w:top w:val="nil"/>
              <w:left w:val="nil"/>
              <w:bottom w:val="single" w:color="auto" w:sz="4" w:space="0"/>
              <w:right w:val="single" w:color="auto" w:sz="4" w:space="0"/>
            </w:tcBorders>
            <w:noWrap w:val="0"/>
            <w:vAlign w:val="center"/>
          </w:tcPr>
          <w:p w14:paraId="4DC5DFB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5D67227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C74EB0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系数为0；2.1000立方米≤日最大取水能力＜1500立方米，系数为1；3.1500立方米≤日最大取水能力＜2000立方米，系数为2；4.2000立方米≤日最大取水能力＜3000立方米，系数为3；5.3000立方米≤日最大取水能力，系数为4；6.违法行为持续时间超过30天，系数加2。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C2E86F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14:paraId="445364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2422A0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tcBorders>
              <w:top w:val="nil"/>
              <w:left w:val="nil"/>
              <w:bottom w:val="single" w:color="auto" w:sz="4" w:space="0"/>
              <w:right w:val="single" w:color="auto" w:sz="4" w:space="0"/>
            </w:tcBorders>
            <w:noWrap w:val="0"/>
            <w:vAlign w:val="center"/>
          </w:tcPr>
          <w:p w14:paraId="320C435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C2339400</w:t>
            </w:r>
          </w:p>
        </w:tc>
      </w:tr>
      <w:tr w14:paraId="3D60E3D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80" w:hRule="atLeast"/>
        </w:trPr>
        <w:tc>
          <w:tcPr>
            <w:tcW w:w="716" w:type="dxa"/>
            <w:gridSpan w:val="2"/>
            <w:tcBorders>
              <w:top w:val="nil"/>
              <w:left w:val="single" w:color="auto" w:sz="4" w:space="0"/>
              <w:bottom w:val="single" w:color="auto" w:sz="4" w:space="0"/>
              <w:right w:val="single" w:color="auto" w:sz="4" w:space="0"/>
            </w:tcBorders>
            <w:noWrap/>
            <w:vAlign w:val="center"/>
          </w:tcPr>
          <w:p w14:paraId="7313842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14:paraId="2A8D9F6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侵占、损毁、危害南水北调工程设施</w:t>
            </w:r>
          </w:p>
        </w:tc>
        <w:tc>
          <w:tcPr>
            <w:tcW w:w="2981" w:type="dxa"/>
            <w:tcBorders>
              <w:top w:val="nil"/>
              <w:left w:val="nil"/>
              <w:bottom w:val="single" w:color="auto" w:sz="4" w:space="0"/>
              <w:right w:val="single" w:color="auto" w:sz="4" w:space="0"/>
            </w:tcBorders>
            <w:noWrap w:val="0"/>
            <w:vAlign w:val="center"/>
          </w:tcPr>
          <w:p w14:paraId="7355975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违反条款：《水法》第四十一条；《南水北调条例》第四十二条；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一）项，责令停止违法行为，采取补救措施，处一万元以上五万元以下的罚款；《南水北调条例》第五十三条，依照《中华人民共和国水法》的规定处理，《中华人民共和国水法》未作规定的，由县级以上人民政府水行政主管部门或者流域管理机构按照职责权限，责令停止违法行为，限期采取补救措施。</w:t>
            </w:r>
          </w:p>
        </w:tc>
        <w:tc>
          <w:tcPr>
            <w:tcW w:w="851" w:type="dxa"/>
            <w:tcBorders>
              <w:top w:val="nil"/>
              <w:left w:val="nil"/>
              <w:bottom w:val="single" w:color="auto" w:sz="4" w:space="0"/>
              <w:right w:val="single" w:color="auto" w:sz="4" w:space="0"/>
            </w:tcBorders>
            <w:noWrap w:val="0"/>
            <w:vAlign w:val="center"/>
          </w:tcPr>
          <w:p w14:paraId="72355E9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D9C270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A96C8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1.移动、覆盖、涂改、损毁标志物等不影响实际输配水的配套设施，系数为0；2.侵占、损毁、危害影响实际输配水的南水北调</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配套工程设施，系数为2；3.侵占、损毁、危害影响实际输配水的南水北调干线及其配套工程设施或造成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015AA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55221A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21CFBCC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tcBorders>
              <w:top w:val="nil"/>
              <w:left w:val="nil"/>
              <w:bottom w:val="single" w:color="auto" w:sz="4" w:space="0"/>
              <w:right w:val="single" w:color="auto" w:sz="4" w:space="0"/>
            </w:tcBorders>
            <w:noWrap w:val="0"/>
            <w:vAlign w:val="center"/>
          </w:tcPr>
          <w:p w14:paraId="31AE6BC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C2339500</w:t>
            </w:r>
          </w:p>
        </w:tc>
      </w:tr>
      <w:tr w14:paraId="18049D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80" w:hRule="atLeast"/>
        </w:trPr>
        <w:tc>
          <w:tcPr>
            <w:tcW w:w="716" w:type="dxa"/>
            <w:gridSpan w:val="2"/>
            <w:tcBorders>
              <w:top w:val="nil"/>
              <w:left w:val="single" w:color="auto" w:sz="4" w:space="0"/>
              <w:bottom w:val="single" w:color="auto" w:sz="4" w:space="0"/>
              <w:right w:val="single" w:color="auto" w:sz="4" w:space="0"/>
            </w:tcBorders>
            <w:noWrap/>
            <w:vAlign w:val="center"/>
          </w:tcPr>
          <w:p w14:paraId="17105D9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14:paraId="22DD7F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在南水北调工程保护范围内实施影响工程运行、危害工程安全和供水安全</w:t>
            </w:r>
          </w:p>
        </w:tc>
        <w:tc>
          <w:tcPr>
            <w:tcW w:w="2981" w:type="dxa"/>
            <w:tcBorders>
              <w:top w:val="nil"/>
              <w:left w:val="nil"/>
              <w:bottom w:val="single" w:color="auto" w:sz="4" w:space="0"/>
              <w:right w:val="single" w:color="auto" w:sz="4" w:space="0"/>
            </w:tcBorders>
            <w:noWrap w:val="0"/>
            <w:vAlign w:val="center"/>
          </w:tcPr>
          <w:p w14:paraId="779B2E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违反条款：《水法》第四十三条第四款；《南水北调条例》第四十三条；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二）项，责令停止违法行为，采取补救措施，处一万元以上五万元以下的罚款；《南水北调条例》第五十三条，依照《中华人民共和国水法》的规定处理，《中华人民共和国水法》未作规定的，由县级以上人民政府水行政主管部门或者流域管理机构按照职责权限，责令停止违法行为，限期采取补救措施。</w:t>
            </w:r>
          </w:p>
        </w:tc>
        <w:tc>
          <w:tcPr>
            <w:tcW w:w="851" w:type="dxa"/>
            <w:tcBorders>
              <w:top w:val="nil"/>
              <w:left w:val="nil"/>
              <w:bottom w:val="single" w:color="auto" w:sz="4" w:space="0"/>
              <w:right w:val="single" w:color="auto" w:sz="4" w:space="0"/>
            </w:tcBorders>
            <w:noWrap w:val="0"/>
            <w:vAlign w:val="center"/>
          </w:tcPr>
          <w:p w14:paraId="154E8B2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E5088B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3F907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平方米，系数为0；2.10平方米≤占地面积＜50平方米，系数为1；3.50平方米≤占地面积＜100平方米，系数为2；4.100平方米≤占地面积＜150平方米，系数为3；5.150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A27C6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772D6D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072CA2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tcBorders>
              <w:top w:val="nil"/>
              <w:left w:val="nil"/>
              <w:bottom w:val="single" w:color="auto" w:sz="4" w:space="0"/>
              <w:right w:val="single" w:color="auto" w:sz="4" w:space="0"/>
            </w:tcBorders>
            <w:noWrap w:val="0"/>
            <w:vAlign w:val="center"/>
          </w:tcPr>
          <w:p w14:paraId="5B439A7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C2339600</w:t>
            </w:r>
          </w:p>
        </w:tc>
      </w:tr>
      <w:tr w14:paraId="68E3CC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5E13E9A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14:paraId="06F3AE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在河道、湖泊管理范围内建设妨碍行洪的建筑物、构筑物，或者从事影响河势稳定、危害河岸堤防安全和其他妨碍河道行洪的活动</w:t>
            </w:r>
          </w:p>
        </w:tc>
        <w:tc>
          <w:tcPr>
            <w:tcW w:w="2981" w:type="dxa"/>
            <w:tcBorders>
              <w:top w:val="nil"/>
              <w:left w:val="nil"/>
              <w:bottom w:val="single" w:color="auto" w:sz="4" w:space="0"/>
              <w:right w:val="single" w:color="auto" w:sz="4" w:space="0"/>
            </w:tcBorders>
            <w:noWrap w:val="0"/>
            <w:vAlign w:val="center"/>
          </w:tcPr>
          <w:p w14:paraId="0458B3A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一款，责令停止违法行为，限期拆除违法建筑物、构筑物，恢复原状；逾期不拆除、不恢复原状的，强行拆除，所需费用由违法单位或者个人负担，并处一万元以上十万元以下的罚款。</w:t>
            </w:r>
          </w:p>
        </w:tc>
        <w:tc>
          <w:tcPr>
            <w:tcW w:w="851" w:type="dxa"/>
            <w:tcBorders>
              <w:top w:val="nil"/>
              <w:left w:val="nil"/>
              <w:bottom w:val="single" w:color="auto" w:sz="4" w:space="0"/>
              <w:right w:val="single" w:color="auto" w:sz="4" w:space="0"/>
            </w:tcBorders>
            <w:noWrap w:val="0"/>
            <w:vAlign w:val="center"/>
          </w:tcPr>
          <w:p w14:paraId="2510195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872758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370AB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1.面积＜200平方米，系数为0；2.200平方米≤面积＜500平方米，系数为2；3.500平方米≤面积＜800平方米，系数为4；4.800平方米≤面积＜1000平方米，系数为6；5.1000平方米≤面积或造成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BE5739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03420D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4B9583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65C623A">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C2351200</w:t>
            </w:r>
          </w:p>
        </w:tc>
      </w:tr>
      <w:tr w14:paraId="62B0CD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470" w:hRule="atLeast"/>
        </w:trPr>
        <w:tc>
          <w:tcPr>
            <w:tcW w:w="716" w:type="dxa"/>
            <w:gridSpan w:val="2"/>
            <w:tcBorders>
              <w:top w:val="nil"/>
              <w:left w:val="single" w:color="auto" w:sz="4" w:space="0"/>
              <w:bottom w:val="single" w:color="auto" w:sz="4" w:space="0"/>
              <w:right w:val="single" w:color="auto" w:sz="4" w:space="0"/>
            </w:tcBorders>
            <w:noWrap/>
            <w:vAlign w:val="center"/>
          </w:tcPr>
          <w:p w14:paraId="3064433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14:paraId="1B7F1B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在水工程保护范围内，从事影响水工程运行和危害水工程安全的爆破、打井、采石、取土等活动</w:t>
            </w:r>
          </w:p>
        </w:tc>
        <w:tc>
          <w:tcPr>
            <w:tcW w:w="2981" w:type="dxa"/>
            <w:tcBorders>
              <w:top w:val="nil"/>
              <w:left w:val="nil"/>
              <w:bottom w:val="single" w:color="auto" w:sz="4" w:space="0"/>
              <w:right w:val="single" w:color="auto" w:sz="4" w:space="0"/>
            </w:tcBorders>
            <w:noWrap w:val="0"/>
            <w:vAlign w:val="center"/>
          </w:tcPr>
          <w:p w14:paraId="17CE71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违反条款：《水法》第四十三条第四款；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违反条款：《水法》第七十二条第一款第（二）项，责令停止违法行为，采取补救措施，处一万元以上五万元以下的罚款。</w:t>
            </w:r>
          </w:p>
        </w:tc>
        <w:tc>
          <w:tcPr>
            <w:tcW w:w="851" w:type="dxa"/>
            <w:tcBorders>
              <w:top w:val="nil"/>
              <w:left w:val="nil"/>
              <w:bottom w:val="single" w:color="auto" w:sz="4" w:space="0"/>
              <w:right w:val="single" w:color="auto" w:sz="4" w:space="0"/>
            </w:tcBorders>
            <w:noWrap w:val="0"/>
            <w:vAlign w:val="center"/>
          </w:tcPr>
          <w:p w14:paraId="525A9F5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22B7CC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823022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100平方米，系数为0；2.100平方米≤占地面积＜500平方米，系数为1；3.500平方米≤占地面积＜1000平方米，系数为2；4.1000平方米≤占地面积＜1500平方米，系数为3；5.1500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6D602D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0F8A8C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25A1F5B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49781E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C2351300</w:t>
            </w:r>
          </w:p>
        </w:tc>
      </w:tr>
      <w:tr w14:paraId="72E27B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ign w:val="center"/>
          </w:tcPr>
          <w:p w14:paraId="4CCD0BD3">
            <w:pPr>
              <w:widowControl/>
              <w:jc w:val="center"/>
              <w:outlineLvl w:val="1"/>
              <w:rPr>
                <w:rFonts w:hint="eastAsia" w:ascii="宋体" w:hAnsi="宋体" w:eastAsia="宋体" w:cs="宋体"/>
                <w:color w:val="auto"/>
                <w:kern w:val="0"/>
                <w:szCs w:val="21"/>
                <w:highlight w:val="none"/>
              </w:rPr>
            </w:pPr>
            <w:bookmarkStart w:id="273" w:name="_Toc485325612"/>
            <w:bookmarkStart w:id="274" w:name="_Toc218468861"/>
            <w:r>
              <w:rPr>
                <w:rFonts w:hint="eastAsia" w:ascii="宋体" w:hAnsi="宋体" w:eastAsia="宋体" w:cs="宋体"/>
                <w:b/>
                <w:bCs/>
                <w:color w:val="auto"/>
                <w:kern w:val="0"/>
                <w:szCs w:val="21"/>
                <w:highlight w:val="none"/>
              </w:rPr>
              <w:t>《中华人民共和国防洪法》案由7项</w:t>
            </w:r>
            <w:bookmarkEnd w:id="273"/>
            <w:bookmarkEnd w:id="274"/>
          </w:p>
        </w:tc>
        <w:tc>
          <w:tcPr>
            <w:tcW w:w="3173" w:type="dxa"/>
            <w:gridSpan w:val="3"/>
            <w:tcBorders>
              <w:top w:val="nil"/>
              <w:left w:val="single" w:color="auto" w:sz="4" w:space="0"/>
              <w:bottom w:val="single" w:color="auto" w:sz="4" w:space="0"/>
              <w:right w:val="single" w:color="auto" w:sz="4" w:space="0"/>
            </w:tcBorders>
            <w:noWrap/>
            <w:vAlign w:val="center"/>
          </w:tcPr>
          <w:p w14:paraId="6A86117A">
            <w:pPr>
              <w:widowControl/>
              <w:jc w:val="center"/>
              <w:outlineLvl w:val="1"/>
              <w:rPr>
                <w:rFonts w:hint="eastAsia" w:ascii="宋体" w:hAnsi="宋体" w:eastAsia="宋体" w:cs="宋体"/>
                <w:b/>
                <w:bCs/>
                <w:color w:val="auto"/>
                <w:kern w:val="0"/>
                <w:szCs w:val="21"/>
                <w:highlight w:val="none"/>
              </w:rPr>
            </w:pPr>
          </w:p>
        </w:tc>
      </w:tr>
      <w:tr w14:paraId="13347BC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4D8B64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67F1F4B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建设防洪工程和其他水工程、水电站违反规划同意书的要求，影响防洪</w:t>
            </w:r>
          </w:p>
        </w:tc>
        <w:tc>
          <w:tcPr>
            <w:tcW w:w="2981" w:type="dxa"/>
            <w:tcBorders>
              <w:top w:val="nil"/>
              <w:left w:val="nil"/>
              <w:bottom w:val="single" w:color="auto" w:sz="4" w:space="0"/>
              <w:right w:val="single" w:color="auto" w:sz="4" w:space="0"/>
            </w:tcBorders>
            <w:noWrap w:val="0"/>
            <w:vAlign w:val="center"/>
          </w:tcPr>
          <w:p w14:paraId="021915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处罚条款：第五十三条，违反规划同意书的要求，严重影响防洪的，责令限期拆除；违反规划同意书的要求，影响防洪但尚可采取补救措施的，责令限期采取补救措施，可以处一万元以上十万元以下的罚款。</w:t>
            </w:r>
          </w:p>
        </w:tc>
        <w:tc>
          <w:tcPr>
            <w:tcW w:w="851" w:type="dxa"/>
            <w:tcBorders>
              <w:top w:val="nil"/>
              <w:left w:val="nil"/>
              <w:bottom w:val="single" w:color="auto" w:sz="4" w:space="0"/>
              <w:right w:val="single" w:color="auto" w:sz="4" w:space="0"/>
            </w:tcBorders>
            <w:noWrap w:val="0"/>
            <w:vAlign w:val="center"/>
          </w:tcPr>
          <w:p w14:paraId="34584C7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F22747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24CC8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9AADC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2BE5096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9FA03F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42A749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C2317000</w:t>
            </w:r>
          </w:p>
        </w:tc>
      </w:tr>
      <w:tr w14:paraId="5FE162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125F32B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7DCA9D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未按照规划治导线整治河道和修建控制引导河水流向、保护堤岸等工程，影响防洪</w:t>
            </w:r>
          </w:p>
        </w:tc>
        <w:tc>
          <w:tcPr>
            <w:tcW w:w="2981" w:type="dxa"/>
            <w:tcBorders>
              <w:top w:val="nil"/>
              <w:left w:val="nil"/>
              <w:bottom w:val="single" w:color="auto" w:sz="4" w:space="0"/>
              <w:right w:val="single" w:color="auto" w:sz="4" w:space="0"/>
            </w:tcBorders>
            <w:noWrap w:val="0"/>
            <w:vAlign w:val="center"/>
          </w:tcPr>
          <w:p w14:paraId="7C8EEB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处罚条款：第五十四条，责令停止违法行为，恢复原状或者采取其他补救措施，可以处一万元以上十万元以下的罚款。 </w:t>
            </w:r>
          </w:p>
        </w:tc>
        <w:tc>
          <w:tcPr>
            <w:tcW w:w="851" w:type="dxa"/>
            <w:tcBorders>
              <w:top w:val="nil"/>
              <w:left w:val="nil"/>
              <w:bottom w:val="single" w:color="auto" w:sz="4" w:space="0"/>
              <w:right w:val="single" w:color="auto" w:sz="4" w:space="0"/>
            </w:tcBorders>
            <w:noWrap w:val="0"/>
            <w:vAlign w:val="center"/>
          </w:tcPr>
          <w:p w14:paraId="68B30B3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758E01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BC736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整治河道或修建工程的长度＜50米，系数为0；2.50米≤整治河道或修建工程的长度＜200米，系数为2；3.200米≤整治河道或修建工程的长度＜500米，系数为4；4.500米≤整治河道或修建工程的长度＜800米，系数为6；5.800米≤整治河道或修建工程的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C3DD0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11B579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8A0FE3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1AAED8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C2315400</w:t>
            </w:r>
          </w:p>
        </w:tc>
      </w:tr>
      <w:tr w14:paraId="6D5C793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900" w:hRule="atLeast"/>
        </w:trPr>
        <w:tc>
          <w:tcPr>
            <w:tcW w:w="716" w:type="dxa"/>
            <w:gridSpan w:val="2"/>
            <w:tcBorders>
              <w:top w:val="nil"/>
              <w:left w:val="single" w:color="auto" w:sz="4" w:space="0"/>
              <w:bottom w:val="single" w:color="auto" w:sz="4" w:space="0"/>
              <w:right w:val="single" w:color="auto" w:sz="4" w:space="0"/>
            </w:tcBorders>
            <w:noWrap/>
            <w:vAlign w:val="center"/>
          </w:tcPr>
          <w:p w14:paraId="28E38B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4E5181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未经审查同意或者未按照审查批准的位置、界限，在河道、湖泊管理范围内从事工程设施建设活动，影响行洪</w:t>
            </w:r>
          </w:p>
        </w:tc>
        <w:tc>
          <w:tcPr>
            <w:tcW w:w="2981" w:type="dxa"/>
            <w:tcBorders>
              <w:top w:val="nil"/>
              <w:left w:val="nil"/>
              <w:bottom w:val="single" w:color="auto" w:sz="4" w:space="0"/>
              <w:right w:val="single" w:color="auto" w:sz="4" w:space="0"/>
            </w:tcBorders>
            <w:noWrap w:val="0"/>
            <w:vAlign w:val="center"/>
          </w:tcPr>
          <w:p w14:paraId="5AE5C3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tc>
        <w:tc>
          <w:tcPr>
            <w:tcW w:w="851" w:type="dxa"/>
            <w:tcBorders>
              <w:top w:val="nil"/>
              <w:left w:val="nil"/>
              <w:bottom w:val="single" w:color="auto" w:sz="4" w:space="0"/>
              <w:right w:val="single" w:color="auto" w:sz="4" w:space="0"/>
            </w:tcBorders>
            <w:noWrap w:val="0"/>
            <w:vAlign w:val="center"/>
          </w:tcPr>
          <w:p w14:paraId="5C4AA4E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BE318D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8F413C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或长度＜50米，系数为0；2.200平方米≤面积＜500平方米或50米≤长度＜100米，系数为2；3.500平方米≤面积＜800平方米或100米≤长度＜150米，系数为4；4.800平方米≤面积＜1000平方米或150米≤长度＜200米，系数为6；5.1000平方米≤面积或200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A31C0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2FBF3FF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8F1744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C2EBA7D">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 xml:space="preserve"> C2315500</w:t>
            </w:r>
          </w:p>
        </w:tc>
      </w:tr>
      <w:tr w14:paraId="32A6F5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6AB6A3F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6DABE3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在洪泛区、蓄滞洪区内建设非防洪建设项目，未编制洪水影响评价报告或者洪水影响评价报告未经审查批准开工建设</w:t>
            </w:r>
          </w:p>
        </w:tc>
        <w:tc>
          <w:tcPr>
            <w:tcW w:w="2981" w:type="dxa"/>
            <w:tcBorders>
              <w:top w:val="nil"/>
              <w:left w:val="nil"/>
              <w:bottom w:val="single" w:color="auto" w:sz="4" w:space="0"/>
              <w:right w:val="single" w:color="auto" w:sz="4" w:space="0"/>
            </w:tcBorders>
            <w:noWrap w:val="0"/>
            <w:vAlign w:val="center"/>
          </w:tcPr>
          <w:p w14:paraId="04AEDCE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处罚条款：第五十八条第一款，责令限期改正；逾期不改正的，处五万元以下的罚款。</w:t>
            </w:r>
          </w:p>
        </w:tc>
        <w:tc>
          <w:tcPr>
            <w:tcW w:w="851" w:type="dxa"/>
            <w:tcBorders>
              <w:top w:val="nil"/>
              <w:left w:val="nil"/>
              <w:bottom w:val="single" w:color="auto" w:sz="4" w:space="0"/>
              <w:right w:val="single" w:color="auto" w:sz="4" w:space="0"/>
            </w:tcBorders>
            <w:noWrap w:val="0"/>
            <w:vAlign w:val="center"/>
          </w:tcPr>
          <w:p w14:paraId="1C631D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724139D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324D1F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1.项目占地面积＜5公顷，系数为0；2.5公顷≤项目占地面积＜10公顷，系数为2；3.10公顷≤项目占地面积＜15公顷，系数为4；4.15公顷≤项目占地面积＜20公顷，系数为6；5.20公顷≤项目占地面积或造成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2430A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70447B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5812FE5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D5DB99D">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C2315600</w:t>
            </w:r>
          </w:p>
        </w:tc>
      </w:tr>
      <w:tr w14:paraId="0E342B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52E501B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14:paraId="6722E0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防洪工程设施未经验收，即将建设项目投入生产或者使用</w:t>
            </w:r>
          </w:p>
        </w:tc>
        <w:tc>
          <w:tcPr>
            <w:tcW w:w="2981" w:type="dxa"/>
            <w:tcBorders>
              <w:top w:val="nil"/>
              <w:left w:val="nil"/>
              <w:bottom w:val="single" w:color="auto" w:sz="4" w:space="0"/>
              <w:right w:val="single" w:color="auto" w:sz="4" w:space="0"/>
            </w:tcBorders>
            <w:noWrap w:val="0"/>
            <w:vAlign w:val="center"/>
          </w:tcPr>
          <w:p w14:paraId="54B0A0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处罚条款：第五十八条第二款，责令停止生产或者使用，限期验收防洪工程设施，可以处五万元以下的罚款。</w:t>
            </w:r>
          </w:p>
        </w:tc>
        <w:tc>
          <w:tcPr>
            <w:tcW w:w="851" w:type="dxa"/>
            <w:tcBorders>
              <w:top w:val="nil"/>
              <w:left w:val="nil"/>
              <w:bottom w:val="single" w:color="auto" w:sz="4" w:space="0"/>
              <w:right w:val="single" w:color="auto" w:sz="4" w:space="0"/>
            </w:tcBorders>
            <w:noWrap w:val="0"/>
            <w:vAlign w:val="center"/>
          </w:tcPr>
          <w:p w14:paraId="17A09B6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5CC37C4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15255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防洪工程设施占地面积＜5公顷，系数为0；2.5公顷≤防洪工程设施占地面积＜10公顷，系数为2；3.10公顷≤防洪工程设施占地面积＜15公顷，系数为4；4.15公顷≤防洪工程设施占地面积＜20公顷，系数为6；5.20公顷≤防洪工程设施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7A8622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1EABFD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1C52E8A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B16A15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C2315700</w:t>
            </w:r>
          </w:p>
        </w:tc>
      </w:tr>
      <w:tr w14:paraId="3AD973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14D921B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14:paraId="3FA952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围湖造地、未经批准围垦河道</w:t>
            </w:r>
          </w:p>
        </w:tc>
        <w:tc>
          <w:tcPr>
            <w:tcW w:w="2981" w:type="dxa"/>
            <w:tcBorders>
              <w:top w:val="nil"/>
              <w:left w:val="nil"/>
              <w:bottom w:val="single" w:color="auto" w:sz="4" w:space="0"/>
              <w:right w:val="single" w:color="auto" w:sz="4" w:space="0"/>
            </w:tcBorders>
            <w:noWrap w:val="0"/>
            <w:vAlign w:val="center"/>
          </w:tcPr>
          <w:p w14:paraId="765EB8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违反条款：第二十三条；《铁路安全管理条例》第三十七条；</w:t>
            </w:r>
          </w:p>
          <w:p w14:paraId="29F50B90">
            <w:pPr>
              <w:widowControl/>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处罚条款：第五十六条，责令停止违法行为，恢复原状或者采取其他补救措施，可以处五万元以下的罚款；《铁路安全管理条例》第九十一条第一款第</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三</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项，有下列行为之一的，分别由铁路沿线所在地县级以上地方人民政府水行政主管部门、国土资源主管部门或者无线电管理机构等依照有关水资源管理、矿产资源管理、无线电管理等法律、行政法规的规定处罚：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在铁路桥梁跨越处河道上下游各1000米范围内围垦造田、拦河筑坝、架设浮桥或者修建其他影响铁路桥梁安全的设施</w:t>
            </w:r>
            <w:r>
              <w:rPr>
                <w:rFonts w:hint="eastAsia" w:ascii="宋体" w:hAnsi="宋体" w:eastAsia="宋体" w:cs="宋体"/>
                <w:color w:val="auto"/>
                <w:kern w:val="0"/>
                <w:sz w:val="15"/>
                <w:szCs w:val="15"/>
                <w:highlight w:val="none"/>
                <w:lang w:eastAsia="zh-CN"/>
              </w:rPr>
              <w:t>。</w:t>
            </w:r>
          </w:p>
        </w:tc>
        <w:tc>
          <w:tcPr>
            <w:tcW w:w="851" w:type="dxa"/>
            <w:tcBorders>
              <w:top w:val="nil"/>
              <w:left w:val="nil"/>
              <w:bottom w:val="single" w:color="auto" w:sz="4" w:space="0"/>
              <w:right w:val="single" w:color="auto" w:sz="4" w:space="0"/>
            </w:tcBorders>
            <w:noWrap w:val="0"/>
            <w:vAlign w:val="center"/>
          </w:tcPr>
          <w:p w14:paraId="31591B6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56A608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E6F54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1.面积＜200平方米，系数为0；2.200平方米≤面积＜400平方米，系数为2；3.400平方米≤面积＜600平方米，系数为4；4.600平方米≤面积＜1000平方米，系数为6；5.1000平方米≤面积或造成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AE2C3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default" w:ascii="宋体" w:hAnsi="宋体" w:eastAsia="宋体" w:cs="宋体"/>
                <w:color w:val="auto"/>
                <w:kern w:val="0"/>
                <w:sz w:val="15"/>
                <w:szCs w:val="15"/>
                <w:highlight w:val="none"/>
                <w:lang w:val="en-US"/>
              </w:rPr>
              <w:t>5</w:t>
            </w:r>
            <w:r>
              <w:rPr>
                <w:rFonts w:hint="eastAsia" w:ascii="宋体" w:hAnsi="宋体" w:eastAsia="宋体" w:cs="宋体"/>
                <w:color w:val="auto"/>
                <w:kern w:val="0"/>
                <w:sz w:val="15"/>
                <w:szCs w:val="15"/>
                <w:highlight w:val="none"/>
              </w:rPr>
              <w:t>000×（1+情节系数）</w:t>
            </w:r>
          </w:p>
        </w:tc>
        <w:tc>
          <w:tcPr>
            <w:tcW w:w="2016" w:type="dxa"/>
            <w:tcBorders>
              <w:top w:val="nil"/>
              <w:left w:val="nil"/>
              <w:bottom w:val="single" w:color="auto" w:sz="4" w:space="0"/>
              <w:right w:val="single" w:color="auto" w:sz="4" w:space="0"/>
            </w:tcBorders>
            <w:noWrap w:val="0"/>
            <w:vAlign w:val="center"/>
          </w:tcPr>
          <w:p w14:paraId="45EEE0C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3D44FCA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82BD97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C2316000</w:t>
            </w:r>
          </w:p>
        </w:tc>
      </w:tr>
      <w:tr w14:paraId="5C3532E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7C57932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14:paraId="394C2B3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破坏、侵占、毁损堤防、水闸、护岸、抽水站、排水渠系等防洪工程和水文、通信设施以及防汛备用的器材、物料</w:t>
            </w:r>
          </w:p>
        </w:tc>
        <w:tc>
          <w:tcPr>
            <w:tcW w:w="2981" w:type="dxa"/>
            <w:tcBorders>
              <w:top w:val="nil"/>
              <w:left w:val="nil"/>
              <w:bottom w:val="single" w:color="auto" w:sz="4" w:space="0"/>
              <w:right w:val="single" w:color="auto" w:sz="4" w:space="0"/>
            </w:tcBorders>
            <w:noWrap w:val="0"/>
            <w:vAlign w:val="center"/>
          </w:tcPr>
          <w:p w14:paraId="70328A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处罚条款：第六十条，责令停止违法行为，采取补救措施，可以处五万元以下的罚款。</w:t>
            </w:r>
          </w:p>
        </w:tc>
        <w:tc>
          <w:tcPr>
            <w:tcW w:w="851" w:type="dxa"/>
            <w:tcBorders>
              <w:top w:val="nil"/>
              <w:left w:val="nil"/>
              <w:bottom w:val="single" w:color="auto" w:sz="4" w:space="0"/>
              <w:right w:val="single" w:color="auto" w:sz="4" w:space="0"/>
            </w:tcBorders>
            <w:noWrap w:val="0"/>
            <w:vAlign w:val="center"/>
          </w:tcPr>
          <w:p w14:paraId="31D881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198FA2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E9FDB3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恶劣影响，系数为9；5.违法行为发生在汛期或侵占、毁坏、毁损3处以上，系数加3。6.存在基准2.1.3规定情形的，系数按照相关规定确定（基准2.1.3.5不适用）。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95131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3E052A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678ED55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3C7B31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C2348100</w:t>
            </w:r>
          </w:p>
        </w:tc>
      </w:tr>
      <w:tr w14:paraId="6796A6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14:paraId="0464DF39">
            <w:pPr>
              <w:widowControl/>
              <w:jc w:val="center"/>
              <w:outlineLvl w:val="1"/>
              <w:rPr>
                <w:rFonts w:hint="eastAsia" w:ascii="宋体" w:hAnsi="宋体" w:eastAsia="宋体" w:cs="宋体"/>
                <w:color w:val="auto"/>
                <w:kern w:val="0"/>
                <w:szCs w:val="21"/>
                <w:highlight w:val="none"/>
              </w:rPr>
            </w:pPr>
            <w:bookmarkStart w:id="275" w:name="_Toc1484818321"/>
            <w:bookmarkStart w:id="276" w:name="_Toc218468862"/>
            <w:r>
              <w:rPr>
                <w:rFonts w:hint="eastAsia" w:ascii="宋体" w:hAnsi="宋体" w:eastAsia="宋体" w:cs="宋体"/>
                <w:b/>
                <w:bCs/>
                <w:color w:val="auto"/>
                <w:kern w:val="0"/>
                <w:szCs w:val="21"/>
                <w:highlight w:val="none"/>
              </w:rPr>
              <w:t>《中华人民共和国河道管理条例》案由1项</w:t>
            </w:r>
            <w:bookmarkEnd w:id="275"/>
            <w:bookmarkEnd w:id="276"/>
          </w:p>
        </w:tc>
        <w:tc>
          <w:tcPr>
            <w:tcW w:w="3173" w:type="dxa"/>
            <w:gridSpan w:val="3"/>
            <w:tcBorders>
              <w:top w:val="nil"/>
              <w:left w:val="single" w:color="auto" w:sz="4" w:space="0"/>
              <w:bottom w:val="single" w:color="auto" w:sz="4" w:space="0"/>
              <w:right w:val="single" w:color="auto" w:sz="4" w:space="0"/>
            </w:tcBorders>
            <w:noWrap/>
            <w:vAlign w:val="center"/>
          </w:tcPr>
          <w:p w14:paraId="7392EAA5">
            <w:pPr>
              <w:widowControl/>
              <w:jc w:val="center"/>
              <w:outlineLvl w:val="1"/>
              <w:rPr>
                <w:rFonts w:hint="eastAsia" w:ascii="宋体" w:hAnsi="宋体" w:eastAsia="宋体" w:cs="宋体"/>
                <w:b/>
                <w:bCs/>
                <w:color w:val="auto"/>
                <w:kern w:val="0"/>
                <w:szCs w:val="21"/>
                <w:highlight w:val="none"/>
              </w:rPr>
            </w:pPr>
          </w:p>
        </w:tc>
      </w:tr>
      <w:tr w14:paraId="06B62F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0156003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1B4849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未经批准或者不按照国家规定的防洪标准、工程安全标准整治河道或者修建水工程建筑物和其他设施</w:t>
            </w:r>
          </w:p>
        </w:tc>
        <w:tc>
          <w:tcPr>
            <w:tcW w:w="2981" w:type="dxa"/>
            <w:tcBorders>
              <w:top w:val="nil"/>
              <w:left w:val="nil"/>
              <w:bottom w:val="single" w:color="auto" w:sz="4" w:space="0"/>
              <w:right w:val="single" w:color="auto" w:sz="4" w:space="0"/>
            </w:tcBorders>
            <w:noWrap w:val="0"/>
            <w:vAlign w:val="center"/>
          </w:tcPr>
          <w:p w14:paraId="111E01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处罚条款：第四十四条第一款第（三）项，责令其纠正违法行为，可以并处警告、罚款、没收非法所得</w:t>
            </w:r>
          </w:p>
        </w:tc>
        <w:tc>
          <w:tcPr>
            <w:tcW w:w="851" w:type="dxa"/>
            <w:tcBorders>
              <w:top w:val="nil"/>
              <w:left w:val="nil"/>
              <w:bottom w:val="single" w:color="auto" w:sz="4" w:space="0"/>
              <w:right w:val="single" w:color="auto" w:sz="4" w:space="0"/>
            </w:tcBorders>
            <w:noWrap w:val="0"/>
            <w:vAlign w:val="center"/>
          </w:tcPr>
          <w:p w14:paraId="50EDCE2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45DAC93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0378A8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（一）无非法所得，限期改正，给予警告。（二）有非法所得，没收非法所得。</w:t>
            </w:r>
          </w:p>
        </w:tc>
        <w:tc>
          <w:tcPr>
            <w:tcW w:w="1879" w:type="dxa"/>
            <w:gridSpan w:val="3"/>
            <w:tcBorders>
              <w:top w:val="nil"/>
              <w:left w:val="nil"/>
              <w:bottom w:val="single" w:color="auto" w:sz="4" w:space="0"/>
              <w:right w:val="single" w:color="auto" w:sz="4" w:space="0"/>
            </w:tcBorders>
            <w:noWrap w:val="0"/>
            <w:vAlign w:val="center"/>
          </w:tcPr>
          <w:p w14:paraId="4045064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2016" w:type="dxa"/>
            <w:tcBorders>
              <w:top w:val="nil"/>
              <w:left w:val="nil"/>
              <w:bottom w:val="single" w:color="auto" w:sz="4" w:space="0"/>
              <w:right w:val="single" w:color="auto" w:sz="4" w:space="0"/>
            </w:tcBorders>
            <w:noWrap w:val="0"/>
            <w:vAlign w:val="center"/>
          </w:tcPr>
          <w:p w14:paraId="42D933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5A16A3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C51726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C2318300</w:t>
            </w:r>
          </w:p>
        </w:tc>
      </w:tr>
      <w:tr w14:paraId="02A06F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14:paraId="4032D176">
            <w:pPr>
              <w:widowControl/>
              <w:jc w:val="center"/>
              <w:outlineLvl w:val="1"/>
              <w:rPr>
                <w:rFonts w:hint="eastAsia" w:ascii="宋体" w:hAnsi="宋体" w:eastAsia="宋体" w:cs="宋体"/>
                <w:color w:val="auto"/>
                <w:kern w:val="0"/>
                <w:szCs w:val="21"/>
                <w:highlight w:val="none"/>
              </w:rPr>
            </w:pPr>
            <w:bookmarkStart w:id="277" w:name="_Toc612642073"/>
            <w:bookmarkStart w:id="278" w:name="_Toc218468863"/>
            <w:r>
              <w:rPr>
                <w:rFonts w:hint="eastAsia" w:ascii="宋体" w:hAnsi="宋体" w:eastAsia="宋体" w:cs="宋体"/>
                <w:b/>
                <w:bCs/>
                <w:color w:val="auto"/>
                <w:kern w:val="0"/>
                <w:szCs w:val="21"/>
                <w:highlight w:val="none"/>
              </w:rPr>
              <w:t>《水库大坝注册登记办法》案由1项</w:t>
            </w:r>
            <w:bookmarkEnd w:id="277"/>
            <w:bookmarkEnd w:id="278"/>
          </w:p>
        </w:tc>
        <w:tc>
          <w:tcPr>
            <w:tcW w:w="3173" w:type="dxa"/>
            <w:gridSpan w:val="3"/>
            <w:tcBorders>
              <w:top w:val="nil"/>
              <w:left w:val="single" w:color="auto" w:sz="4" w:space="0"/>
              <w:bottom w:val="single" w:color="auto" w:sz="4" w:space="0"/>
              <w:right w:val="single" w:color="auto" w:sz="4" w:space="0"/>
            </w:tcBorders>
            <w:noWrap/>
            <w:vAlign w:val="center"/>
          </w:tcPr>
          <w:p w14:paraId="3C2F2E8F">
            <w:pPr>
              <w:widowControl/>
              <w:jc w:val="center"/>
              <w:outlineLvl w:val="1"/>
              <w:rPr>
                <w:rFonts w:hint="eastAsia" w:ascii="宋体" w:hAnsi="宋体" w:eastAsia="宋体" w:cs="宋体"/>
                <w:b/>
                <w:bCs/>
                <w:color w:val="auto"/>
                <w:kern w:val="0"/>
                <w:szCs w:val="21"/>
                <w:highlight w:val="none"/>
              </w:rPr>
            </w:pPr>
          </w:p>
        </w:tc>
      </w:tr>
      <w:tr w14:paraId="28FD2B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76A6D40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4F39DD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经发现已登记的大坝有关安全的数据和情况发生变更而未及时申报换证或在具体事项办理中有弄虚作假</w:t>
            </w:r>
          </w:p>
        </w:tc>
        <w:tc>
          <w:tcPr>
            <w:tcW w:w="2981" w:type="dxa"/>
            <w:tcBorders>
              <w:top w:val="nil"/>
              <w:left w:val="nil"/>
              <w:bottom w:val="single" w:color="auto" w:sz="4" w:space="0"/>
              <w:right w:val="single" w:color="auto" w:sz="4" w:space="0"/>
            </w:tcBorders>
            <w:noWrap w:val="0"/>
            <w:vAlign w:val="center"/>
          </w:tcPr>
          <w:p w14:paraId="207B41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处罚条款：第十一条，警告或1000元以下罚款。</w:t>
            </w:r>
          </w:p>
        </w:tc>
        <w:tc>
          <w:tcPr>
            <w:tcW w:w="851" w:type="dxa"/>
            <w:tcBorders>
              <w:top w:val="nil"/>
              <w:left w:val="nil"/>
              <w:bottom w:val="single" w:color="auto" w:sz="4" w:space="0"/>
              <w:right w:val="single" w:color="auto" w:sz="4" w:space="0"/>
            </w:tcBorders>
            <w:noWrap w:val="0"/>
            <w:vAlign w:val="center"/>
          </w:tcPr>
          <w:p w14:paraId="7B98A78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14:paraId="59C5E5C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E40F42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不涉及弄虚作假的，给予警告。（二）逾期不改正的，不涉及弄虚作假，系数为0；（三）涉及弄虚作假，系数为1。（四）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6571F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14:paraId="302689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504B097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77D364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C2345500</w:t>
            </w:r>
          </w:p>
        </w:tc>
      </w:tr>
      <w:tr w14:paraId="147804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3" w:hRule="atLeast"/>
        </w:trPr>
        <w:tc>
          <w:tcPr>
            <w:tcW w:w="13283" w:type="dxa"/>
            <w:gridSpan w:val="11"/>
            <w:tcBorders>
              <w:top w:val="nil"/>
              <w:left w:val="single" w:color="auto" w:sz="4" w:space="0"/>
              <w:bottom w:val="single" w:color="auto" w:sz="4" w:space="0"/>
              <w:right w:val="single" w:color="auto" w:sz="4" w:space="0"/>
            </w:tcBorders>
            <w:noWrap/>
            <w:vAlign w:val="center"/>
          </w:tcPr>
          <w:p w14:paraId="621BA9C9">
            <w:pPr>
              <w:widowControl/>
              <w:jc w:val="center"/>
              <w:outlineLvl w:val="1"/>
              <w:rPr>
                <w:rFonts w:hint="eastAsia" w:ascii="宋体" w:hAnsi="宋体" w:eastAsia="宋体" w:cs="宋体"/>
                <w:color w:val="auto"/>
                <w:kern w:val="0"/>
                <w:szCs w:val="21"/>
                <w:highlight w:val="none"/>
              </w:rPr>
            </w:pPr>
            <w:bookmarkStart w:id="279" w:name="_Toc218468864"/>
            <w:bookmarkStart w:id="280" w:name="_Toc1278537336"/>
            <w:r>
              <w:rPr>
                <w:rFonts w:hint="eastAsia" w:ascii="宋体" w:hAnsi="宋体" w:eastAsia="宋体" w:cs="宋体"/>
                <w:b/>
                <w:bCs/>
                <w:color w:val="auto"/>
                <w:kern w:val="0"/>
                <w:szCs w:val="21"/>
                <w:highlight w:val="none"/>
              </w:rPr>
              <w:t>《北京市河湖保护管理条例》《中华人民共和国河道管理条例》案由10项</w:t>
            </w:r>
            <w:bookmarkEnd w:id="279"/>
            <w:bookmarkEnd w:id="280"/>
          </w:p>
        </w:tc>
        <w:tc>
          <w:tcPr>
            <w:tcW w:w="3173" w:type="dxa"/>
            <w:gridSpan w:val="3"/>
            <w:tcBorders>
              <w:top w:val="nil"/>
              <w:left w:val="single" w:color="auto" w:sz="4" w:space="0"/>
              <w:bottom w:val="single" w:color="auto" w:sz="4" w:space="0"/>
              <w:right w:val="single" w:color="auto" w:sz="4" w:space="0"/>
            </w:tcBorders>
            <w:noWrap/>
            <w:vAlign w:val="center"/>
          </w:tcPr>
          <w:p w14:paraId="15258E67">
            <w:pPr>
              <w:widowControl/>
              <w:jc w:val="center"/>
              <w:outlineLvl w:val="1"/>
              <w:rPr>
                <w:rFonts w:hint="eastAsia" w:ascii="宋体" w:hAnsi="宋体" w:eastAsia="宋体" w:cs="宋体"/>
                <w:b/>
                <w:bCs/>
                <w:color w:val="auto"/>
                <w:kern w:val="0"/>
                <w:szCs w:val="21"/>
                <w:highlight w:val="none"/>
              </w:rPr>
            </w:pPr>
          </w:p>
        </w:tc>
      </w:tr>
      <w:tr w14:paraId="47D2D0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80" w:hRule="atLeast"/>
        </w:trPr>
        <w:tc>
          <w:tcPr>
            <w:tcW w:w="716" w:type="dxa"/>
            <w:gridSpan w:val="2"/>
            <w:tcBorders>
              <w:top w:val="nil"/>
              <w:left w:val="single" w:color="auto" w:sz="4" w:space="0"/>
              <w:bottom w:val="single" w:color="auto" w:sz="4" w:space="0"/>
              <w:right w:val="single" w:color="auto" w:sz="4" w:space="0"/>
            </w:tcBorders>
            <w:noWrap/>
            <w:vAlign w:val="center"/>
          </w:tcPr>
          <w:p w14:paraId="580FB40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513C94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在河湖管理范围内围堤，修建阻水渠道、阻水道路</w:t>
            </w:r>
          </w:p>
        </w:tc>
        <w:tc>
          <w:tcPr>
            <w:tcW w:w="2981" w:type="dxa"/>
            <w:tcBorders>
              <w:top w:val="nil"/>
              <w:left w:val="nil"/>
              <w:bottom w:val="single" w:color="auto" w:sz="4" w:space="0"/>
              <w:right w:val="single" w:color="auto" w:sz="4" w:space="0"/>
            </w:tcBorders>
            <w:noWrap w:val="0"/>
            <w:vAlign w:val="center"/>
          </w:tcPr>
          <w:p w14:paraId="56DBD1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违反条款：《北京市河湖保护管理条例》第十九条第一款第（八）项；《中华人民共和国河道管理条例》第二十四条第（一）项；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中华人民共和国河道管理条例》第四十四条第一款第（一）项，责令其纠正违法行为，可以并处警告、罚款、没收非法所得。</w:t>
            </w:r>
          </w:p>
        </w:tc>
        <w:tc>
          <w:tcPr>
            <w:tcW w:w="851" w:type="dxa"/>
            <w:tcBorders>
              <w:top w:val="nil"/>
              <w:left w:val="nil"/>
              <w:bottom w:val="single" w:color="auto" w:sz="4" w:space="0"/>
              <w:right w:val="single" w:color="auto" w:sz="4" w:space="0"/>
            </w:tcBorders>
            <w:noWrap w:val="0"/>
            <w:vAlign w:val="center"/>
          </w:tcPr>
          <w:p w14:paraId="01DB12A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14:paraId="7E23CCC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98D87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阻水长度＜5米，围堤面积＜5平方米，系数为0；2.5米≤阻水长度＜50米，5平方米≤围堤面积＜50平方米，系数为2；3.50米≤阻水长度＜100米，50平方米≤围堤面积＜100平方米，系数为4；4.100米≤阻水长度＜200米，100平方米≤围堤面积＜200平方米，系数为6；5.200米≤阻水长度，200平方米≤围堤面积，系数为9。6.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39C75C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1EFC187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1571E8B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86712C6">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C2318600</w:t>
            </w:r>
          </w:p>
        </w:tc>
      </w:tr>
      <w:tr w14:paraId="2B6773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2D6695A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23B7AB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在河湖管理范围内，行驶履带车辆、超过限载标准的车辆</w:t>
            </w:r>
          </w:p>
        </w:tc>
        <w:tc>
          <w:tcPr>
            <w:tcW w:w="2981" w:type="dxa"/>
            <w:tcBorders>
              <w:top w:val="nil"/>
              <w:left w:val="nil"/>
              <w:bottom w:val="single" w:color="auto" w:sz="4" w:space="0"/>
              <w:right w:val="single" w:color="auto" w:sz="4" w:space="0"/>
            </w:tcBorders>
            <w:noWrap w:val="0"/>
            <w:vAlign w:val="center"/>
          </w:tcPr>
          <w:p w14:paraId="40B125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违反条款：《北京市河湖保护管理条例》第十九条第（一）项第十款；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w:t>
            </w:r>
          </w:p>
        </w:tc>
        <w:tc>
          <w:tcPr>
            <w:tcW w:w="851" w:type="dxa"/>
            <w:tcBorders>
              <w:top w:val="nil"/>
              <w:left w:val="nil"/>
              <w:bottom w:val="single" w:color="auto" w:sz="4" w:space="0"/>
              <w:right w:val="single" w:color="auto" w:sz="4" w:space="0"/>
            </w:tcBorders>
            <w:noWrap w:val="0"/>
            <w:vAlign w:val="center"/>
          </w:tcPr>
          <w:p w14:paraId="49894DE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1E2F982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E746A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09A62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443705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5E6C8ED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4F60CA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C2319200</w:t>
            </w:r>
          </w:p>
        </w:tc>
      </w:tr>
      <w:tr w14:paraId="519C0E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712A9D3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52A207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在河湖管理范围、保护范围内围河、挖筑鱼塘、挖坑开槽、勘探或者设立线杆、线塔、无线通信塔、标识</w:t>
            </w:r>
          </w:p>
        </w:tc>
        <w:tc>
          <w:tcPr>
            <w:tcW w:w="2981" w:type="dxa"/>
            <w:tcBorders>
              <w:top w:val="nil"/>
              <w:left w:val="nil"/>
              <w:bottom w:val="single" w:color="auto" w:sz="4" w:space="0"/>
              <w:right w:val="single" w:color="auto" w:sz="4" w:space="0"/>
            </w:tcBorders>
            <w:noWrap w:val="0"/>
            <w:vAlign w:val="center"/>
          </w:tcPr>
          <w:p w14:paraId="76F687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处罚条款：《北京市河湖保护管理条例》第三十九条第一款第（一）项，责令停止违法行为，限期补办行政许可手续，处一万元以上五万元以下的罚款。</w:t>
            </w:r>
          </w:p>
        </w:tc>
        <w:tc>
          <w:tcPr>
            <w:tcW w:w="851" w:type="dxa"/>
            <w:tcBorders>
              <w:top w:val="nil"/>
              <w:left w:val="nil"/>
              <w:bottom w:val="single" w:color="auto" w:sz="4" w:space="0"/>
              <w:right w:val="single" w:color="auto" w:sz="4" w:space="0"/>
            </w:tcBorders>
            <w:noWrap w:val="0"/>
            <w:vAlign w:val="center"/>
          </w:tcPr>
          <w:p w14:paraId="79778CF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EE4BF2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D25E21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684C77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440F62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DC3D28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14:paraId="21531BF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tcBorders>
              <w:top w:val="nil"/>
              <w:left w:val="nil"/>
              <w:bottom w:val="single" w:color="auto" w:sz="4" w:space="0"/>
              <w:right w:val="single" w:color="auto" w:sz="4" w:space="0"/>
            </w:tcBorders>
            <w:noWrap w:val="0"/>
            <w:vAlign w:val="center"/>
          </w:tcPr>
          <w:p w14:paraId="338957E6">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C2320300</w:t>
            </w:r>
          </w:p>
        </w:tc>
      </w:tr>
      <w:tr w14:paraId="78B1D8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02237A3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2A107A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在河湖管理范围、保护范围内设置固定停车场所</w:t>
            </w:r>
          </w:p>
        </w:tc>
        <w:tc>
          <w:tcPr>
            <w:tcW w:w="2981" w:type="dxa"/>
            <w:tcBorders>
              <w:top w:val="nil"/>
              <w:left w:val="nil"/>
              <w:bottom w:val="single" w:color="auto" w:sz="4" w:space="0"/>
              <w:right w:val="single" w:color="auto" w:sz="4" w:space="0"/>
            </w:tcBorders>
            <w:noWrap w:val="0"/>
            <w:vAlign w:val="center"/>
          </w:tcPr>
          <w:p w14:paraId="34F0E75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处罚条款：《北京市河湖保护管理条例》第三十九条第一款第（二）项，责令停止违法行为，限期补办行政许可手续，处五万元以下的罚款。</w:t>
            </w:r>
          </w:p>
        </w:tc>
        <w:tc>
          <w:tcPr>
            <w:tcW w:w="851" w:type="dxa"/>
            <w:tcBorders>
              <w:top w:val="nil"/>
              <w:left w:val="nil"/>
              <w:bottom w:val="single" w:color="auto" w:sz="4" w:space="0"/>
              <w:right w:val="single" w:color="auto" w:sz="4" w:space="0"/>
            </w:tcBorders>
            <w:noWrap w:val="0"/>
            <w:vAlign w:val="center"/>
          </w:tcPr>
          <w:p w14:paraId="3665A82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566B02F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78ED7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7E119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0DCAE2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03DF854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14:paraId="03A9E7B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tcBorders>
              <w:top w:val="nil"/>
              <w:left w:val="nil"/>
              <w:bottom w:val="single" w:color="auto" w:sz="4" w:space="0"/>
              <w:right w:val="single" w:color="auto" w:sz="4" w:space="0"/>
            </w:tcBorders>
            <w:noWrap w:val="0"/>
            <w:vAlign w:val="center"/>
          </w:tcPr>
          <w:p w14:paraId="1B86178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C2320500</w:t>
            </w:r>
          </w:p>
        </w:tc>
      </w:tr>
      <w:tr w14:paraId="39D68A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73E33FA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14:paraId="0292111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在河湖管理范围、保护范围内修路，或者修建园林小品、管理房及其附属设施</w:t>
            </w:r>
          </w:p>
        </w:tc>
        <w:tc>
          <w:tcPr>
            <w:tcW w:w="2981" w:type="dxa"/>
            <w:tcBorders>
              <w:top w:val="nil"/>
              <w:left w:val="nil"/>
              <w:bottom w:val="single" w:color="auto" w:sz="4" w:space="0"/>
              <w:right w:val="single" w:color="auto" w:sz="4" w:space="0"/>
            </w:tcBorders>
            <w:noWrap w:val="0"/>
            <w:vAlign w:val="center"/>
          </w:tcPr>
          <w:p w14:paraId="64A4B08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处罚条款：《北京市河湖保护管理条例》第三十九条第一款第（三）项，责令停止违法行为，限期补办行政许可手续，处一万元以上十万元以下的罚款。</w:t>
            </w:r>
          </w:p>
        </w:tc>
        <w:tc>
          <w:tcPr>
            <w:tcW w:w="851" w:type="dxa"/>
            <w:tcBorders>
              <w:top w:val="nil"/>
              <w:left w:val="nil"/>
              <w:bottom w:val="single" w:color="auto" w:sz="4" w:space="0"/>
              <w:right w:val="single" w:color="auto" w:sz="4" w:space="0"/>
            </w:tcBorders>
            <w:noWrap w:val="0"/>
            <w:vAlign w:val="center"/>
          </w:tcPr>
          <w:p w14:paraId="4426DFA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F2A6F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8A298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AB3076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304459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A1C94A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14:paraId="7AC24FC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tcBorders>
              <w:top w:val="nil"/>
              <w:left w:val="nil"/>
              <w:bottom w:val="single" w:color="auto" w:sz="4" w:space="0"/>
              <w:right w:val="single" w:color="auto" w:sz="4" w:space="0"/>
            </w:tcBorders>
            <w:noWrap w:val="0"/>
            <w:vAlign w:val="center"/>
          </w:tcPr>
          <w:p w14:paraId="0250A8A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C2320600</w:t>
            </w:r>
          </w:p>
        </w:tc>
      </w:tr>
      <w:tr w14:paraId="65A162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820" w:hRule="atLeast"/>
        </w:trPr>
        <w:tc>
          <w:tcPr>
            <w:tcW w:w="716" w:type="dxa"/>
            <w:gridSpan w:val="2"/>
            <w:tcBorders>
              <w:top w:val="nil"/>
              <w:left w:val="single" w:color="auto" w:sz="4" w:space="0"/>
              <w:bottom w:val="single" w:color="auto" w:sz="4" w:space="0"/>
              <w:right w:val="single" w:color="auto" w:sz="4" w:space="0"/>
            </w:tcBorders>
            <w:noWrap/>
            <w:vAlign w:val="center"/>
          </w:tcPr>
          <w:p w14:paraId="5FB15F7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14:paraId="5DF5093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在河湖管理范围、保护范围内进行河道改线、开挖人工湖泊</w:t>
            </w:r>
          </w:p>
        </w:tc>
        <w:tc>
          <w:tcPr>
            <w:tcW w:w="2981" w:type="dxa"/>
            <w:tcBorders>
              <w:top w:val="nil"/>
              <w:left w:val="nil"/>
              <w:bottom w:val="single" w:color="auto" w:sz="4" w:space="0"/>
              <w:right w:val="single" w:color="auto" w:sz="4" w:space="0"/>
            </w:tcBorders>
            <w:noWrap w:val="0"/>
            <w:vAlign w:val="center"/>
          </w:tcPr>
          <w:p w14:paraId="6210FD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处罚条款：《北京市河湖保护管理条例》第三十九条第一款第（五）项，责令停止违法行为，限期补办行政许可手续，处一万元以上五万元以下的罚款。</w:t>
            </w:r>
          </w:p>
        </w:tc>
        <w:tc>
          <w:tcPr>
            <w:tcW w:w="851" w:type="dxa"/>
            <w:tcBorders>
              <w:top w:val="nil"/>
              <w:left w:val="nil"/>
              <w:bottom w:val="single" w:color="auto" w:sz="4" w:space="0"/>
              <w:right w:val="single" w:color="auto" w:sz="4" w:space="0"/>
            </w:tcBorders>
            <w:noWrap w:val="0"/>
            <w:vAlign w:val="center"/>
          </w:tcPr>
          <w:p w14:paraId="50AACFB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56D3E2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E8468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改线长度＜50米或人工湖泊面积＜50平方米，系数为0；2.50米≤改线长度＜200米或50平方米≤人工湖泊面积＜200平方米，系数为1；3.200米≤改线长度＜500米或200平方米≤人工湖泊面积＜500平方米，系数为2；4.500米≤改线长度＜1000米或500平方米≤人工湖泊面积＜1000平方米，系数为3；5.1000米≤改线长度或1000平方米≤人工湖泊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恶劣影响，系数为4;6.涉及管理范围的，系数加1。7.存在基准2.1.3规定情形的，系数按照相关规定确定（基准2.1.3.5不适用）。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1A410B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048CEF9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560C65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14:paraId="369825D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tcBorders>
              <w:top w:val="nil"/>
              <w:left w:val="nil"/>
              <w:bottom w:val="single" w:color="auto" w:sz="4" w:space="0"/>
              <w:right w:val="single" w:color="auto" w:sz="4" w:space="0"/>
            </w:tcBorders>
            <w:noWrap w:val="0"/>
            <w:vAlign w:val="center"/>
          </w:tcPr>
          <w:p w14:paraId="3A60D98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C2320700</w:t>
            </w:r>
          </w:p>
        </w:tc>
      </w:tr>
      <w:tr w14:paraId="137756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90" w:hRule="atLeast"/>
        </w:trPr>
        <w:tc>
          <w:tcPr>
            <w:tcW w:w="716" w:type="dxa"/>
            <w:gridSpan w:val="2"/>
            <w:tcBorders>
              <w:top w:val="nil"/>
              <w:left w:val="single" w:color="auto" w:sz="4" w:space="0"/>
              <w:bottom w:val="single" w:color="auto" w:sz="4" w:space="0"/>
              <w:right w:val="single" w:color="auto" w:sz="4" w:space="0"/>
            </w:tcBorders>
            <w:noWrap/>
            <w:vAlign w:val="center"/>
          </w:tcPr>
          <w:p w14:paraId="05466B1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14:paraId="1A0F9D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建设单位的工程建设方案未经水行政主管部门同意擅自开工</w:t>
            </w:r>
          </w:p>
        </w:tc>
        <w:tc>
          <w:tcPr>
            <w:tcW w:w="2981" w:type="dxa"/>
            <w:tcBorders>
              <w:top w:val="nil"/>
              <w:left w:val="nil"/>
              <w:bottom w:val="single" w:color="auto" w:sz="4" w:space="0"/>
              <w:right w:val="single" w:color="auto" w:sz="4" w:space="0"/>
            </w:tcBorders>
            <w:noWrap w:val="0"/>
            <w:vAlign w:val="center"/>
          </w:tcPr>
          <w:p w14:paraId="338A454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条第一款，责令停止违法行为，限期补办有关手续；逾期不补办或者补办未被批准的，责令限期拆除违法建筑物、构筑物，恢复原状；逾期不拆除、不恢复原状的，强制拆除，所需费用由违法单位或者个人负担，并处一万元以上十万元以下的罚款。</w:t>
            </w:r>
          </w:p>
        </w:tc>
        <w:tc>
          <w:tcPr>
            <w:tcW w:w="851" w:type="dxa"/>
            <w:tcBorders>
              <w:top w:val="nil"/>
              <w:left w:val="nil"/>
              <w:bottom w:val="single" w:color="auto" w:sz="4" w:space="0"/>
              <w:right w:val="single" w:color="auto" w:sz="4" w:space="0"/>
            </w:tcBorders>
            <w:noWrap w:val="0"/>
            <w:vAlign w:val="center"/>
          </w:tcPr>
          <w:p w14:paraId="100B0F3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BD71EF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CD78D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不恢复原状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EF138C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451C95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884AE0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742422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C2320800</w:t>
            </w:r>
          </w:p>
        </w:tc>
      </w:tr>
      <w:tr w14:paraId="3380C9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90" w:hRule="atLeast"/>
        </w:trPr>
        <w:tc>
          <w:tcPr>
            <w:tcW w:w="716" w:type="dxa"/>
            <w:gridSpan w:val="2"/>
            <w:tcBorders>
              <w:top w:val="nil"/>
              <w:left w:val="single" w:color="auto" w:sz="4" w:space="0"/>
              <w:bottom w:val="single" w:color="auto" w:sz="4" w:space="0"/>
              <w:right w:val="single" w:color="auto" w:sz="4" w:space="0"/>
            </w:tcBorders>
            <w:noWrap/>
            <w:vAlign w:val="center"/>
          </w:tcPr>
          <w:p w14:paraId="05B409E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14:paraId="5C5877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建设单位未按照经批准的工程建设方案修建工程设施</w:t>
            </w:r>
          </w:p>
        </w:tc>
        <w:tc>
          <w:tcPr>
            <w:tcW w:w="2981" w:type="dxa"/>
            <w:tcBorders>
              <w:top w:val="nil"/>
              <w:left w:val="nil"/>
              <w:bottom w:val="single" w:color="auto" w:sz="4" w:space="0"/>
              <w:right w:val="single" w:color="auto" w:sz="4" w:space="0"/>
            </w:tcBorders>
            <w:noWrap w:val="0"/>
            <w:vAlign w:val="center"/>
          </w:tcPr>
          <w:p w14:paraId="6A07E6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条第二款，责令限期采取补救措施；逾期不采取补救措施或者未达到要求的，责令停止违法行为，限期拆除违法建筑物、构筑物，恢复原状；逾期不拆除、不恢复原状的，强制拆除，所需费用由违法单位或者个人负担，并处一万元以上十万元以下的罚款。</w:t>
            </w:r>
          </w:p>
        </w:tc>
        <w:tc>
          <w:tcPr>
            <w:tcW w:w="851" w:type="dxa"/>
            <w:tcBorders>
              <w:top w:val="nil"/>
              <w:left w:val="nil"/>
              <w:bottom w:val="single" w:color="auto" w:sz="4" w:space="0"/>
              <w:right w:val="single" w:color="auto" w:sz="4" w:space="0"/>
            </w:tcBorders>
            <w:noWrap w:val="0"/>
            <w:vAlign w:val="center"/>
          </w:tcPr>
          <w:p w14:paraId="47EC52C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290475A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5561A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采取补救措施或者未达到要求，且逾期不拆除、不恢复原状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955CF4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53B71A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DFEC38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69AF9A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C2320900</w:t>
            </w:r>
          </w:p>
        </w:tc>
      </w:tr>
      <w:tr w14:paraId="4A5BC6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6A051D3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14:paraId="3F1738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非河湖工程及相关设施不符合河湖保护管理标准规范，且产权单位或者管理单位未按规定及时改正</w:t>
            </w:r>
          </w:p>
        </w:tc>
        <w:tc>
          <w:tcPr>
            <w:tcW w:w="2981" w:type="dxa"/>
            <w:tcBorders>
              <w:top w:val="nil"/>
              <w:left w:val="nil"/>
              <w:bottom w:val="single" w:color="auto" w:sz="4" w:space="0"/>
              <w:right w:val="single" w:color="auto" w:sz="4" w:space="0"/>
            </w:tcBorders>
            <w:noWrap w:val="0"/>
            <w:vAlign w:val="center"/>
          </w:tcPr>
          <w:p w14:paraId="07F1E62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处罚条款：《北京市河湖保护管理条例》第四十一条，责令限期改正或者采取补救措施，可以处一万元以上十万元以下的罚款。</w:t>
            </w:r>
          </w:p>
        </w:tc>
        <w:tc>
          <w:tcPr>
            <w:tcW w:w="851" w:type="dxa"/>
            <w:tcBorders>
              <w:top w:val="nil"/>
              <w:left w:val="nil"/>
              <w:bottom w:val="single" w:color="auto" w:sz="4" w:space="0"/>
              <w:right w:val="single" w:color="auto" w:sz="4" w:space="0"/>
            </w:tcBorders>
            <w:noWrap w:val="0"/>
            <w:vAlign w:val="center"/>
          </w:tcPr>
          <w:p w14:paraId="63CC257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6B08A4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2B85DC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恶劣影响的，系数为9；5.违法行为发生在汛期，系数加3。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87843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57F361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1CA449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27ABE8A">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C2321000</w:t>
            </w:r>
          </w:p>
        </w:tc>
      </w:tr>
      <w:tr w14:paraId="023B4F7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40" w:hRule="atLeast"/>
        </w:trPr>
        <w:tc>
          <w:tcPr>
            <w:tcW w:w="716" w:type="dxa"/>
            <w:gridSpan w:val="2"/>
            <w:tcBorders>
              <w:top w:val="nil"/>
              <w:left w:val="single" w:color="auto" w:sz="4" w:space="0"/>
              <w:bottom w:val="single" w:color="auto" w:sz="4" w:space="0"/>
              <w:right w:val="single" w:color="auto" w:sz="4" w:space="0"/>
            </w:tcBorders>
            <w:noWrap/>
            <w:vAlign w:val="center"/>
          </w:tcPr>
          <w:p w14:paraId="32F419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14:paraId="0239CE7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非管理人员开关、启闭水利设备或者干扰河道管理单位正常工作</w:t>
            </w:r>
          </w:p>
        </w:tc>
        <w:tc>
          <w:tcPr>
            <w:tcW w:w="2981" w:type="dxa"/>
            <w:tcBorders>
              <w:top w:val="nil"/>
              <w:left w:val="nil"/>
              <w:bottom w:val="single" w:color="auto" w:sz="4" w:space="0"/>
              <w:right w:val="single" w:color="auto" w:sz="4" w:space="0"/>
            </w:tcBorders>
            <w:noWrap w:val="0"/>
            <w:vAlign w:val="center"/>
          </w:tcPr>
          <w:p w14:paraId="583510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违反条款：《北京市河湖保护管理条例》第十九条第一款第（九）项；《中华人民共和国河道管理条例》第二十三条；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中华人民共和国河道管理条例》第四十五条第一款第（三）项，责令其纠正违法行为，可以并处警告、罚款。</w:t>
            </w:r>
          </w:p>
        </w:tc>
        <w:tc>
          <w:tcPr>
            <w:tcW w:w="851" w:type="dxa"/>
            <w:tcBorders>
              <w:top w:val="nil"/>
              <w:left w:val="nil"/>
              <w:bottom w:val="single" w:color="auto" w:sz="4" w:space="0"/>
              <w:right w:val="single" w:color="auto" w:sz="4" w:space="0"/>
            </w:tcBorders>
            <w:noWrap w:val="0"/>
            <w:vAlign w:val="center"/>
          </w:tcPr>
          <w:p w14:paraId="1740D1C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1A2B715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A0DCC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损失的，系数为0；2.造成经济损失但未造成人员伤亡，系数为4；3.有人员受伤，系数为6；4.有人员死亡，系数为9。5.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203689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6B5CAD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43A136F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FFC204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C2350800</w:t>
            </w:r>
          </w:p>
        </w:tc>
      </w:tr>
      <w:tr w14:paraId="5C8A14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7" w:hRule="atLeast"/>
        </w:trPr>
        <w:tc>
          <w:tcPr>
            <w:tcW w:w="13283" w:type="dxa"/>
            <w:gridSpan w:val="11"/>
            <w:tcBorders>
              <w:top w:val="nil"/>
              <w:left w:val="single" w:color="auto" w:sz="4" w:space="0"/>
              <w:bottom w:val="single" w:color="auto" w:sz="4" w:space="0"/>
              <w:right w:val="single" w:color="auto" w:sz="4" w:space="0"/>
            </w:tcBorders>
            <w:noWrap/>
            <w:vAlign w:val="center"/>
          </w:tcPr>
          <w:p w14:paraId="0D24E34C">
            <w:pPr>
              <w:widowControl/>
              <w:jc w:val="center"/>
              <w:outlineLvl w:val="1"/>
              <w:rPr>
                <w:rFonts w:hint="eastAsia" w:ascii="宋体" w:hAnsi="宋体" w:eastAsia="宋体" w:cs="宋体"/>
                <w:color w:val="auto"/>
                <w:kern w:val="0"/>
                <w:szCs w:val="21"/>
                <w:highlight w:val="none"/>
              </w:rPr>
            </w:pPr>
            <w:bookmarkStart w:id="281" w:name="_Toc218468865"/>
            <w:bookmarkStart w:id="282" w:name="_Toc666852362"/>
            <w:r>
              <w:rPr>
                <w:rFonts w:hint="eastAsia" w:ascii="宋体" w:hAnsi="宋体" w:eastAsia="宋体" w:cs="宋体"/>
                <w:b/>
                <w:bCs/>
                <w:color w:val="auto"/>
                <w:kern w:val="0"/>
                <w:szCs w:val="21"/>
                <w:highlight w:val="none"/>
              </w:rPr>
              <w:t>《北京市湿地保护条例》案由1项</w:t>
            </w:r>
            <w:bookmarkEnd w:id="281"/>
            <w:bookmarkEnd w:id="282"/>
          </w:p>
        </w:tc>
        <w:tc>
          <w:tcPr>
            <w:tcW w:w="3173" w:type="dxa"/>
            <w:gridSpan w:val="3"/>
            <w:tcBorders>
              <w:top w:val="nil"/>
              <w:left w:val="single" w:color="auto" w:sz="4" w:space="0"/>
              <w:bottom w:val="single" w:color="auto" w:sz="4" w:space="0"/>
              <w:right w:val="single" w:color="auto" w:sz="4" w:space="0"/>
            </w:tcBorders>
            <w:noWrap/>
            <w:vAlign w:val="center"/>
          </w:tcPr>
          <w:p w14:paraId="422BC078">
            <w:pPr>
              <w:widowControl/>
              <w:jc w:val="center"/>
              <w:outlineLvl w:val="1"/>
              <w:rPr>
                <w:rFonts w:hint="eastAsia" w:ascii="宋体" w:hAnsi="宋体" w:eastAsia="宋体" w:cs="宋体"/>
                <w:b/>
                <w:bCs/>
                <w:color w:val="auto"/>
                <w:kern w:val="0"/>
                <w:szCs w:val="21"/>
                <w:highlight w:val="none"/>
              </w:rPr>
            </w:pPr>
          </w:p>
        </w:tc>
      </w:tr>
      <w:tr w14:paraId="4B7073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4A9F525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6D8C51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损毁、涂改、擅自移动湿地保护标志</w:t>
            </w:r>
          </w:p>
        </w:tc>
        <w:tc>
          <w:tcPr>
            <w:tcW w:w="2981" w:type="dxa"/>
            <w:tcBorders>
              <w:top w:val="nil"/>
              <w:left w:val="nil"/>
              <w:bottom w:val="single" w:color="auto" w:sz="4" w:space="0"/>
              <w:right w:val="single" w:color="auto" w:sz="4" w:space="0"/>
            </w:tcBorders>
            <w:noWrap w:val="0"/>
            <w:vAlign w:val="center"/>
          </w:tcPr>
          <w:p w14:paraId="1DCC57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处罚条款：第三十九条，责令限期改正，可以处500元以上5000元以下罚款。</w:t>
            </w:r>
          </w:p>
        </w:tc>
        <w:tc>
          <w:tcPr>
            <w:tcW w:w="851" w:type="dxa"/>
            <w:tcBorders>
              <w:top w:val="nil"/>
              <w:left w:val="nil"/>
              <w:bottom w:val="single" w:color="auto" w:sz="4" w:space="0"/>
              <w:right w:val="single" w:color="auto" w:sz="4" w:space="0"/>
            </w:tcBorders>
            <w:noWrap w:val="0"/>
            <w:vAlign w:val="center"/>
          </w:tcPr>
          <w:p w14:paraId="54FD27E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14:paraId="2F6C2F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04798B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损毁、涂改、擅自移动1个湿地保护标志，系数为0；2.在区级湿地内损毁、涂改、擅自移动1个湿地保护标志，系数为1；3.在市级湿地内损毁、涂改、擅自移动1个湿地保护标志，系数为2；4.在国家重要湿地内损毁、涂改、擅自移动1个湿地保护标志，系数为3。5.每增加1个标志，系数加1。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F990A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14:paraId="1C74B9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3A5D2B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2E212B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C2340900</w:t>
            </w:r>
          </w:p>
        </w:tc>
      </w:tr>
      <w:tr w14:paraId="52CA5F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14:paraId="1C623F15">
            <w:pPr>
              <w:widowControl/>
              <w:jc w:val="center"/>
              <w:outlineLvl w:val="1"/>
              <w:rPr>
                <w:rFonts w:hint="eastAsia" w:ascii="宋体" w:hAnsi="宋体" w:eastAsia="宋体" w:cs="宋体"/>
                <w:color w:val="auto"/>
                <w:kern w:val="0"/>
                <w:szCs w:val="21"/>
                <w:highlight w:val="none"/>
              </w:rPr>
            </w:pPr>
            <w:bookmarkStart w:id="283" w:name="_Toc218468866"/>
            <w:bookmarkStart w:id="284" w:name="_Toc428926240"/>
            <w:r>
              <w:rPr>
                <w:rFonts w:hint="eastAsia" w:ascii="宋体" w:hAnsi="宋体" w:eastAsia="宋体" w:cs="宋体"/>
                <w:b/>
                <w:bCs/>
                <w:color w:val="auto"/>
                <w:kern w:val="0"/>
                <w:szCs w:val="21"/>
                <w:highlight w:val="none"/>
              </w:rPr>
              <w:t>《北京市南水北调工程保护办法》案由7项</w:t>
            </w:r>
            <w:bookmarkEnd w:id="283"/>
            <w:bookmarkEnd w:id="284"/>
          </w:p>
        </w:tc>
        <w:tc>
          <w:tcPr>
            <w:tcW w:w="3173" w:type="dxa"/>
            <w:gridSpan w:val="3"/>
            <w:tcBorders>
              <w:top w:val="nil"/>
              <w:left w:val="single" w:color="auto" w:sz="4" w:space="0"/>
              <w:bottom w:val="single" w:color="auto" w:sz="4" w:space="0"/>
              <w:right w:val="single" w:color="auto" w:sz="4" w:space="0"/>
            </w:tcBorders>
            <w:noWrap/>
            <w:vAlign w:val="center"/>
          </w:tcPr>
          <w:p w14:paraId="7B7D88DC">
            <w:pPr>
              <w:widowControl/>
              <w:jc w:val="center"/>
              <w:outlineLvl w:val="1"/>
              <w:rPr>
                <w:rFonts w:hint="eastAsia" w:ascii="宋体" w:hAnsi="宋体" w:eastAsia="宋体" w:cs="宋体"/>
                <w:b/>
                <w:bCs/>
                <w:color w:val="auto"/>
                <w:kern w:val="0"/>
                <w:szCs w:val="21"/>
                <w:highlight w:val="none"/>
              </w:rPr>
            </w:pPr>
          </w:p>
        </w:tc>
      </w:tr>
      <w:tr w14:paraId="0429786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4C5EB30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540AA0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擅自移动、毁损、涂改北京市南水北调工程标志</w:t>
            </w:r>
          </w:p>
        </w:tc>
        <w:tc>
          <w:tcPr>
            <w:tcW w:w="2981" w:type="dxa"/>
            <w:tcBorders>
              <w:top w:val="nil"/>
              <w:left w:val="nil"/>
              <w:bottom w:val="single" w:color="auto" w:sz="4" w:space="0"/>
              <w:right w:val="single" w:color="auto" w:sz="4" w:space="0"/>
            </w:tcBorders>
            <w:noWrap w:val="0"/>
            <w:vAlign w:val="center"/>
          </w:tcPr>
          <w:p w14:paraId="79E6B4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处罚条款：第二十条，责令限期改正，可处200元以上1000元以下罚款。</w:t>
            </w:r>
          </w:p>
        </w:tc>
        <w:tc>
          <w:tcPr>
            <w:tcW w:w="851" w:type="dxa"/>
            <w:tcBorders>
              <w:top w:val="nil"/>
              <w:left w:val="nil"/>
              <w:bottom w:val="single" w:color="auto" w:sz="4" w:space="0"/>
              <w:right w:val="single" w:color="auto" w:sz="4" w:space="0"/>
            </w:tcBorders>
            <w:noWrap w:val="0"/>
            <w:vAlign w:val="center"/>
          </w:tcPr>
          <w:p w14:paraId="633536B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noWrap w:val="0"/>
            <w:vAlign w:val="center"/>
          </w:tcPr>
          <w:p w14:paraId="76FB359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4633D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1.擅自移动、毁损、涂改1个南水北调工程标志，系数为0，每增加1个，系数加1。2.存在基准2.1.3规定情形的，系数按照相关规定确定（基准2.1.3.5不适用）。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D86D8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w:t>
            </w:r>
          </w:p>
        </w:tc>
        <w:tc>
          <w:tcPr>
            <w:tcW w:w="2016" w:type="dxa"/>
            <w:tcBorders>
              <w:top w:val="nil"/>
              <w:left w:val="nil"/>
              <w:bottom w:val="single" w:color="auto" w:sz="4" w:space="0"/>
              <w:right w:val="single" w:color="auto" w:sz="4" w:space="0"/>
            </w:tcBorders>
            <w:noWrap w:val="0"/>
            <w:vAlign w:val="center"/>
          </w:tcPr>
          <w:p w14:paraId="56ABF1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177FD9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tcBorders>
              <w:top w:val="nil"/>
              <w:left w:val="nil"/>
              <w:bottom w:val="single" w:color="auto" w:sz="4" w:space="0"/>
              <w:right w:val="single" w:color="auto" w:sz="4" w:space="0"/>
            </w:tcBorders>
            <w:noWrap w:val="0"/>
            <w:vAlign w:val="center"/>
          </w:tcPr>
          <w:p w14:paraId="071C2B0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C2339700</w:t>
            </w:r>
          </w:p>
        </w:tc>
      </w:tr>
      <w:tr w14:paraId="28493E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31CE5D6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14:paraId="3BF0ED7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擅自开启、关闭闸、阀（井）或者采用移动、切割、打孔、砸撬、拆卸等手段损坏北京市南水北调工程管涵及其附属设备设施</w:t>
            </w:r>
          </w:p>
        </w:tc>
        <w:tc>
          <w:tcPr>
            <w:tcW w:w="2981" w:type="dxa"/>
            <w:vMerge w:val="restart"/>
            <w:tcBorders>
              <w:top w:val="nil"/>
              <w:left w:val="single" w:color="auto" w:sz="4" w:space="0"/>
              <w:bottom w:val="single" w:color="auto" w:sz="4" w:space="0"/>
              <w:right w:val="single" w:color="auto" w:sz="4" w:space="0"/>
            </w:tcBorders>
            <w:noWrap w:val="0"/>
            <w:vAlign w:val="center"/>
          </w:tcPr>
          <w:p w14:paraId="667D22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处罚条款：第二十一条，责令改正，处3000元以上10万元以下罚款。</w:t>
            </w:r>
          </w:p>
        </w:tc>
        <w:tc>
          <w:tcPr>
            <w:tcW w:w="851" w:type="dxa"/>
            <w:tcBorders>
              <w:top w:val="nil"/>
              <w:left w:val="nil"/>
              <w:bottom w:val="single" w:color="auto" w:sz="4" w:space="0"/>
              <w:right w:val="single" w:color="auto" w:sz="4" w:space="0"/>
            </w:tcBorders>
            <w:noWrap w:val="0"/>
            <w:vAlign w:val="center"/>
          </w:tcPr>
          <w:p w14:paraId="7404CA5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492148E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B93AD6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1.擅自开启、关闭、闸、阀（井）但未造成恶劣影响的，系数为0，每增加1次，系数加1。2.存在基准2.1.3规定情形的，系数按照相关规定确定（基准2.1.3.5不适用）。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61E0D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14:paraId="1C263C7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造成恶劣影响需从重处罚的，报案审会最终确定处罚金额。</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5CA8AEA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vMerge w:val="restart"/>
            <w:tcBorders>
              <w:top w:val="nil"/>
              <w:left w:val="single" w:color="auto" w:sz="4" w:space="0"/>
              <w:right w:val="single" w:color="auto" w:sz="4" w:space="0"/>
            </w:tcBorders>
            <w:noWrap w:val="0"/>
            <w:vAlign w:val="center"/>
          </w:tcPr>
          <w:p w14:paraId="6DBA097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C2339800</w:t>
            </w:r>
          </w:p>
        </w:tc>
      </w:tr>
      <w:tr w14:paraId="47DF36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17BC76F4">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26E61B59">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2B0F8055">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1E1B90E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14:paraId="06C28A0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34CD99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1.移动、拆卸南水北调工程附属设备设施，系数为0；2.移动、拆卸南水北调工程管涵，系数为1；3.切割、打孔、砸撬南水北调工程附属设备设施，系数为2；4.切割、打孔、砸撬南水北调工程管涵或造成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2319CD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14:paraId="13B527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1E249278">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5CF176D3">
            <w:pPr>
              <w:widowControl/>
              <w:jc w:val="left"/>
              <w:rPr>
                <w:rFonts w:hint="eastAsia" w:ascii="宋体" w:hAnsi="宋体" w:eastAsia="宋体" w:cs="宋体"/>
                <w:color w:val="auto"/>
                <w:kern w:val="0"/>
                <w:sz w:val="15"/>
                <w:szCs w:val="15"/>
                <w:highlight w:val="none"/>
                <w:lang w:eastAsia="zh"/>
              </w:rPr>
            </w:pPr>
          </w:p>
        </w:tc>
      </w:tr>
      <w:tr w14:paraId="17C0E2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01E289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045487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在北京市南水北调工程保护范围内种植根系可能深达管涵埋设部位的植物</w:t>
            </w:r>
          </w:p>
        </w:tc>
        <w:tc>
          <w:tcPr>
            <w:tcW w:w="2981" w:type="dxa"/>
            <w:tcBorders>
              <w:top w:val="nil"/>
              <w:left w:val="nil"/>
              <w:bottom w:val="single" w:color="auto" w:sz="4" w:space="0"/>
              <w:right w:val="single" w:color="auto" w:sz="4" w:space="0"/>
            </w:tcBorders>
            <w:noWrap w:val="0"/>
            <w:vAlign w:val="center"/>
          </w:tcPr>
          <w:p w14:paraId="62AF08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51" w:type="dxa"/>
            <w:tcBorders>
              <w:top w:val="nil"/>
              <w:left w:val="nil"/>
              <w:bottom w:val="single" w:color="auto" w:sz="4" w:space="0"/>
              <w:right w:val="single" w:color="auto" w:sz="4" w:space="0"/>
            </w:tcBorders>
            <w:noWrap w:val="0"/>
            <w:vAlign w:val="center"/>
          </w:tcPr>
          <w:p w14:paraId="5054A45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396AA3F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BF7567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1.种植1株根系可能深达管涵埋设部位的植物，系数为0，每增加1株，系数加1；2.造成恶劣影响的，系数为9。3.存在基准2.1.3规定情形的，系数按照相关规定确定（基准2.1.3.5不适用）。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C49599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14:paraId="47D4B7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37DCA8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tcBorders>
              <w:top w:val="nil"/>
              <w:left w:val="nil"/>
              <w:bottom w:val="single" w:color="auto" w:sz="4" w:space="0"/>
              <w:right w:val="single" w:color="auto" w:sz="4" w:space="0"/>
            </w:tcBorders>
            <w:noWrap w:val="0"/>
            <w:vAlign w:val="center"/>
          </w:tcPr>
          <w:p w14:paraId="63B9A61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C2339900</w:t>
            </w:r>
          </w:p>
        </w:tc>
      </w:tr>
      <w:tr w14:paraId="4F6C06B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2A3837C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65F9949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在北京市南水北调工程保护范围内爆破、打井、打桩、钻探、采石、采矿、取土、挖砂</w:t>
            </w:r>
          </w:p>
        </w:tc>
        <w:tc>
          <w:tcPr>
            <w:tcW w:w="2981" w:type="dxa"/>
            <w:tcBorders>
              <w:top w:val="nil"/>
              <w:left w:val="nil"/>
              <w:bottom w:val="single" w:color="auto" w:sz="4" w:space="0"/>
              <w:right w:val="single" w:color="auto" w:sz="4" w:space="0"/>
            </w:tcBorders>
            <w:noWrap w:val="0"/>
            <w:vAlign w:val="center"/>
          </w:tcPr>
          <w:p w14:paraId="56821A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51" w:type="dxa"/>
            <w:tcBorders>
              <w:top w:val="nil"/>
              <w:left w:val="nil"/>
              <w:bottom w:val="single" w:color="auto" w:sz="4" w:space="0"/>
              <w:right w:val="single" w:color="auto" w:sz="4" w:space="0"/>
            </w:tcBorders>
            <w:noWrap w:val="0"/>
            <w:vAlign w:val="center"/>
          </w:tcPr>
          <w:p w14:paraId="139F768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61E5F39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6CE5B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采石等活动占地面积＜10平方米，系数为0,每增加5平方米（以10平方米为基准），系数加1。2.爆破、打井等行为作业深度＜2米，系数为0，每增加1米（以2米为基准），系数加1；导致南水北调工程出现损坏的，系数加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882B7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14:paraId="26587D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CDB36A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tcBorders>
              <w:top w:val="nil"/>
              <w:left w:val="nil"/>
              <w:bottom w:val="single" w:color="auto" w:sz="4" w:space="0"/>
              <w:right w:val="single" w:color="auto" w:sz="4" w:space="0"/>
            </w:tcBorders>
            <w:noWrap w:val="0"/>
            <w:vAlign w:val="center"/>
          </w:tcPr>
          <w:p w14:paraId="67E67A5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C2340000</w:t>
            </w:r>
          </w:p>
        </w:tc>
      </w:tr>
      <w:tr w14:paraId="43D8FD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7B8F03E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14:paraId="0E4C61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在北京市南水北调工程保护范围内擅自建设建筑物、构筑物，堆放超过管涵承受荷载设计标准的重物</w:t>
            </w:r>
          </w:p>
        </w:tc>
        <w:tc>
          <w:tcPr>
            <w:tcW w:w="2981" w:type="dxa"/>
            <w:tcBorders>
              <w:top w:val="nil"/>
              <w:left w:val="nil"/>
              <w:bottom w:val="single" w:color="auto" w:sz="4" w:space="0"/>
              <w:right w:val="single" w:color="auto" w:sz="4" w:space="0"/>
            </w:tcBorders>
            <w:noWrap w:val="0"/>
            <w:vAlign w:val="center"/>
          </w:tcPr>
          <w:p w14:paraId="6419DD6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51" w:type="dxa"/>
            <w:tcBorders>
              <w:top w:val="nil"/>
              <w:left w:val="nil"/>
              <w:bottom w:val="single" w:color="auto" w:sz="4" w:space="0"/>
              <w:right w:val="single" w:color="auto" w:sz="4" w:space="0"/>
            </w:tcBorders>
            <w:noWrap w:val="0"/>
            <w:vAlign w:val="center"/>
          </w:tcPr>
          <w:p w14:paraId="487603A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43F7B10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5A3F2B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建筑物、构筑物面积＜20平方米，系数为0，每增加5平方米（以20平方米为基准），系数加1；2.重物超过设计标准＜5%，系数为0，每增加1%（以5%为基准），系数加1；3.造成恶劣影响的，系数加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B2300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14:paraId="65EA886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23AD92A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tcBorders>
              <w:top w:val="nil"/>
              <w:left w:val="nil"/>
              <w:bottom w:val="single" w:color="auto" w:sz="4" w:space="0"/>
              <w:right w:val="single" w:color="auto" w:sz="4" w:space="0"/>
            </w:tcBorders>
            <w:noWrap w:val="0"/>
            <w:vAlign w:val="center"/>
          </w:tcPr>
          <w:p w14:paraId="05BFA8B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C2340200</w:t>
            </w:r>
          </w:p>
        </w:tc>
      </w:tr>
      <w:tr w14:paraId="79EA0B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505004D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14:paraId="56D790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在北京市南水北调工程保护范围内从事其他可能危害工程安全的行为</w:t>
            </w:r>
          </w:p>
        </w:tc>
        <w:tc>
          <w:tcPr>
            <w:tcW w:w="2981" w:type="dxa"/>
            <w:tcBorders>
              <w:top w:val="nil"/>
              <w:left w:val="nil"/>
              <w:bottom w:val="single" w:color="auto" w:sz="4" w:space="0"/>
              <w:right w:val="single" w:color="auto" w:sz="4" w:space="0"/>
            </w:tcBorders>
            <w:noWrap w:val="0"/>
            <w:vAlign w:val="center"/>
          </w:tcPr>
          <w:p w14:paraId="1449627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51" w:type="dxa"/>
            <w:tcBorders>
              <w:top w:val="nil"/>
              <w:left w:val="nil"/>
              <w:bottom w:val="single" w:color="auto" w:sz="4" w:space="0"/>
              <w:right w:val="single" w:color="auto" w:sz="4" w:space="0"/>
            </w:tcBorders>
            <w:noWrap w:val="0"/>
            <w:vAlign w:val="center"/>
          </w:tcPr>
          <w:p w14:paraId="541E4F0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3A5A03A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07CA7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1.未造成实际危害的，系数为0；2.造成实际危害的，每增加1处，系数加1；3.造成恶劣影响的，系数加9。4.存在基准2.1.3规定情形的，系数按照相关规定确定（基准2.1.3.5不适用）。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8CF6A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14:paraId="02DDFB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1D62C7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tcBorders>
              <w:top w:val="nil"/>
              <w:left w:val="nil"/>
              <w:bottom w:val="single" w:color="auto" w:sz="4" w:space="0"/>
              <w:right w:val="single" w:color="auto" w:sz="4" w:space="0"/>
            </w:tcBorders>
            <w:noWrap w:val="0"/>
            <w:vAlign w:val="center"/>
          </w:tcPr>
          <w:p w14:paraId="055594C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C2340300</w:t>
            </w:r>
          </w:p>
        </w:tc>
      </w:tr>
      <w:tr w14:paraId="049A0D5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0" w:hRule="atLeast"/>
        </w:trPr>
        <w:tc>
          <w:tcPr>
            <w:tcW w:w="716" w:type="dxa"/>
            <w:gridSpan w:val="2"/>
            <w:tcBorders>
              <w:top w:val="nil"/>
              <w:left w:val="single" w:color="auto" w:sz="4" w:space="0"/>
              <w:bottom w:val="single" w:color="auto" w:sz="4" w:space="0"/>
              <w:right w:val="single" w:color="auto" w:sz="4" w:space="0"/>
            </w:tcBorders>
            <w:noWrap/>
            <w:vAlign w:val="center"/>
          </w:tcPr>
          <w:p w14:paraId="70EBA90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14:paraId="14A2294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在北京市南水北调工程保护范围内行驶重型车辆</w:t>
            </w:r>
          </w:p>
        </w:tc>
        <w:tc>
          <w:tcPr>
            <w:tcW w:w="2981" w:type="dxa"/>
            <w:tcBorders>
              <w:top w:val="nil"/>
              <w:left w:val="nil"/>
              <w:bottom w:val="single" w:color="auto" w:sz="4" w:space="0"/>
              <w:right w:val="single" w:color="auto" w:sz="4" w:space="0"/>
            </w:tcBorders>
            <w:noWrap w:val="0"/>
            <w:vAlign w:val="center"/>
          </w:tcPr>
          <w:p w14:paraId="5FC3E4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处罚条款：第二十三条，责令改正，可处200元以上1000元以下罚款。</w:t>
            </w:r>
          </w:p>
        </w:tc>
        <w:tc>
          <w:tcPr>
            <w:tcW w:w="851" w:type="dxa"/>
            <w:tcBorders>
              <w:top w:val="nil"/>
              <w:left w:val="nil"/>
              <w:bottom w:val="single" w:color="auto" w:sz="4" w:space="0"/>
              <w:right w:val="single" w:color="auto" w:sz="4" w:space="0"/>
            </w:tcBorders>
            <w:noWrap w:val="0"/>
            <w:vAlign w:val="center"/>
          </w:tcPr>
          <w:p w14:paraId="45929A9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noWrap w:val="0"/>
            <w:vAlign w:val="center"/>
          </w:tcPr>
          <w:p w14:paraId="1B5DD9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9C129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1.行驶1辆（次），系数为0，每增加1辆（次），系数加1。2.造成恶劣影响的，系数为4。3.存在基准2.1.3规定情形的，系数按照相关规定确定（基准2.1.3.5不适用）。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32A8A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w:t>
            </w:r>
          </w:p>
        </w:tc>
        <w:tc>
          <w:tcPr>
            <w:tcW w:w="2016" w:type="dxa"/>
            <w:tcBorders>
              <w:top w:val="nil"/>
              <w:left w:val="nil"/>
              <w:bottom w:val="single" w:color="auto" w:sz="4" w:space="0"/>
              <w:right w:val="single" w:color="auto" w:sz="4" w:space="0"/>
            </w:tcBorders>
            <w:noWrap w:val="0"/>
            <w:vAlign w:val="center"/>
          </w:tcPr>
          <w:p w14:paraId="03CCA5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1FBDAE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tcBorders>
              <w:top w:val="nil"/>
              <w:left w:val="nil"/>
              <w:bottom w:val="single" w:color="auto" w:sz="4" w:space="0"/>
              <w:right w:val="single" w:color="auto" w:sz="4" w:space="0"/>
            </w:tcBorders>
            <w:noWrap w:val="0"/>
            <w:vAlign w:val="center"/>
          </w:tcPr>
          <w:p w14:paraId="624946A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C2340400</w:t>
            </w:r>
          </w:p>
        </w:tc>
      </w:tr>
      <w:tr w14:paraId="542F2F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ign w:val="center"/>
          </w:tcPr>
          <w:p w14:paraId="7966A1ED">
            <w:pPr>
              <w:widowControl/>
              <w:jc w:val="center"/>
              <w:outlineLvl w:val="1"/>
              <w:rPr>
                <w:rFonts w:hint="eastAsia" w:ascii="宋体" w:hAnsi="宋体" w:eastAsia="宋体" w:cs="宋体"/>
                <w:color w:val="auto"/>
                <w:kern w:val="0"/>
                <w:szCs w:val="21"/>
                <w:highlight w:val="none"/>
              </w:rPr>
            </w:pPr>
            <w:bookmarkStart w:id="285" w:name="_Toc218468867"/>
            <w:bookmarkStart w:id="286" w:name="_Toc1984141459"/>
            <w:r>
              <w:rPr>
                <w:rFonts w:hint="eastAsia" w:ascii="宋体" w:hAnsi="宋体" w:eastAsia="宋体" w:cs="宋体"/>
                <w:b/>
                <w:bCs/>
                <w:color w:val="auto"/>
                <w:kern w:val="0"/>
                <w:szCs w:val="21"/>
                <w:highlight w:val="none"/>
              </w:rPr>
              <w:t>《北京市实施</w:t>
            </w:r>
            <w:r>
              <w:rPr>
                <w:rFonts w:hint="eastAsia" w:ascii="仿宋" w:hAnsi="仿宋" w:eastAsia="仿宋" w:cs="仿宋"/>
                <w:b/>
                <w:bCs/>
                <w:color w:val="auto"/>
                <w:kern w:val="0"/>
                <w:szCs w:val="21"/>
                <w:highlight w:val="none"/>
              </w:rPr>
              <w:t>&lt;</w:t>
            </w:r>
            <w:r>
              <w:rPr>
                <w:rFonts w:hint="eastAsia" w:ascii="宋体" w:hAnsi="宋体" w:eastAsia="宋体" w:cs="宋体"/>
                <w:b/>
                <w:bCs/>
                <w:color w:val="auto"/>
                <w:kern w:val="0"/>
                <w:szCs w:val="21"/>
                <w:highlight w:val="none"/>
              </w:rPr>
              <w:t>中华人民共和国防洪法</w:t>
            </w:r>
            <w:r>
              <w:rPr>
                <w:rFonts w:hint="eastAsia" w:ascii="仿宋" w:hAnsi="仿宋" w:eastAsia="仿宋" w:cs="仿宋"/>
                <w:b/>
                <w:bCs/>
                <w:color w:val="auto"/>
                <w:kern w:val="0"/>
                <w:szCs w:val="21"/>
                <w:highlight w:val="none"/>
              </w:rPr>
              <w:t>&gt;</w:t>
            </w:r>
            <w:r>
              <w:rPr>
                <w:rFonts w:hint="eastAsia" w:ascii="宋体" w:hAnsi="宋体" w:eastAsia="宋体" w:cs="宋体"/>
                <w:b/>
                <w:bCs/>
                <w:color w:val="auto"/>
                <w:kern w:val="0"/>
                <w:szCs w:val="21"/>
                <w:highlight w:val="none"/>
              </w:rPr>
              <w:t>办法》案由2项</w:t>
            </w:r>
            <w:bookmarkEnd w:id="285"/>
            <w:bookmarkEnd w:id="286"/>
          </w:p>
        </w:tc>
        <w:tc>
          <w:tcPr>
            <w:tcW w:w="3173" w:type="dxa"/>
            <w:gridSpan w:val="3"/>
            <w:tcBorders>
              <w:top w:val="nil"/>
              <w:left w:val="single" w:color="auto" w:sz="4" w:space="0"/>
              <w:bottom w:val="single" w:color="auto" w:sz="4" w:space="0"/>
              <w:right w:val="single" w:color="auto" w:sz="4" w:space="0"/>
            </w:tcBorders>
            <w:noWrap/>
            <w:vAlign w:val="center"/>
          </w:tcPr>
          <w:p w14:paraId="7162AE1F">
            <w:pPr>
              <w:widowControl/>
              <w:jc w:val="center"/>
              <w:outlineLvl w:val="1"/>
              <w:rPr>
                <w:rFonts w:hint="eastAsia" w:ascii="宋体" w:hAnsi="宋体" w:eastAsia="宋体" w:cs="宋体"/>
                <w:b/>
                <w:bCs/>
                <w:color w:val="auto"/>
                <w:kern w:val="0"/>
                <w:szCs w:val="21"/>
                <w:highlight w:val="none"/>
              </w:rPr>
            </w:pPr>
          </w:p>
        </w:tc>
      </w:tr>
      <w:tr w14:paraId="671349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80" w:hRule="atLeast"/>
        </w:trPr>
        <w:tc>
          <w:tcPr>
            <w:tcW w:w="716" w:type="dxa"/>
            <w:gridSpan w:val="2"/>
            <w:tcBorders>
              <w:top w:val="nil"/>
              <w:left w:val="single" w:color="auto" w:sz="4" w:space="0"/>
              <w:bottom w:val="single" w:color="auto" w:sz="4" w:space="0"/>
              <w:right w:val="single" w:color="auto" w:sz="4" w:space="0"/>
            </w:tcBorders>
            <w:noWrap/>
            <w:vAlign w:val="center"/>
          </w:tcPr>
          <w:p w14:paraId="0BF0D91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4AF8BAC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在水库、闸坝管理和保护范围内以及河道、湖泊保护范围内，进行爆破、打井、采石、取土等危害防洪工程设施安全的活动</w:t>
            </w:r>
          </w:p>
        </w:tc>
        <w:tc>
          <w:tcPr>
            <w:tcW w:w="2981" w:type="dxa"/>
            <w:tcBorders>
              <w:top w:val="nil"/>
              <w:left w:val="nil"/>
              <w:bottom w:val="single" w:color="auto" w:sz="4" w:space="0"/>
              <w:right w:val="single" w:color="auto" w:sz="4" w:space="0"/>
            </w:tcBorders>
            <w:noWrap w:val="0"/>
            <w:vAlign w:val="center"/>
          </w:tcPr>
          <w:p w14:paraId="059CC2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处罚条款：第四十五条，责令停止违法行为，恢复原状或者采取其他补救措施，可以处1万元以上5万元以下罚款。</w:t>
            </w:r>
          </w:p>
        </w:tc>
        <w:tc>
          <w:tcPr>
            <w:tcW w:w="851" w:type="dxa"/>
            <w:tcBorders>
              <w:top w:val="nil"/>
              <w:left w:val="nil"/>
              <w:bottom w:val="single" w:color="auto" w:sz="4" w:space="0"/>
              <w:right w:val="single" w:color="auto" w:sz="4" w:space="0"/>
            </w:tcBorders>
            <w:noWrap w:val="0"/>
            <w:vAlign w:val="center"/>
          </w:tcPr>
          <w:p w14:paraId="3EFCD41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28D40C9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00910A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平方米，系数为0；2.10平方米≤占地面积＜50平方米，系数为1；3.50平方米≤占地面积＜100平方米，系数为2；4.100平方米≤占地面积＜150平方米，系数为3；5.150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8D824B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5C52539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E5D976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CA1D14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C2316600</w:t>
            </w:r>
          </w:p>
        </w:tc>
      </w:tr>
      <w:tr w14:paraId="12F2B3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2B35787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29B7C88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在堤路结合的大坝、堤防、闸桥行驶超重车辆，在非堤路结合的大坝、堤防、闸桥行驶机动车辆的</w:t>
            </w:r>
          </w:p>
        </w:tc>
        <w:tc>
          <w:tcPr>
            <w:tcW w:w="2981" w:type="dxa"/>
            <w:tcBorders>
              <w:top w:val="nil"/>
              <w:left w:val="nil"/>
              <w:bottom w:val="single" w:color="auto" w:sz="4" w:space="0"/>
              <w:right w:val="single" w:color="auto" w:sz="4" w:space="0"/>
            </w:tcBorders>
            <w:noWrap w:val="0"/>
            <w:vAlign w:val="center"/>
          </w:tcPr>
          <w:p w14:paraId="180477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处罚条款：第四十六条，处以200元以下罚款。</w:t>
            </w:r>
          </w:p>
        </w:tc>
        <w:tc>
          <w:tcPr>
            <w:tcW w:w="851" w:type="dxa"/>
            <w:tcBorders>
              <w:top w:val="nil"/>
              <w:left w:val="nil"/>
              <w:bottom w:val="single" w:color="auto" w:sz="4" w:space="0"/>
              <w:right w:val="single" w:color="auto" w:sz="4" w:space="0"/>
            </w:tcBorders>
            <w:noWrap w:val="0"/>
            <w:vAlign w:val="center"/>
          </w:tcPr>
          <w:p w14:paraId="55CF4E6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14:paraId="2FFFC71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F63A5C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90484A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2016" w:type="dxa"/>
            <w:tcBorders>
              <w:top w:val="nil"/>
              <w:left w:val="nil"/>
              <w:bottom w:val="single" w:color="auto" w:sz="4" w:space="0"/>
              <w:right w:val="single" w:color="auto" w:sz="4" w:space="0"/>
            </w:tcBorders>
            <w:noWrap w:val="0"/>
            <w:vAlign w:val="center"/>
          </w:tcPr>
          <w:p w14:paraId="652C8D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79A5C94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BCC076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C2319200</w:t>
            </w:r>
          </w:p>
        </w:tc>
      </w:tr>
      <w:tr w14:paraId="5C611F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ign w:val="center"/>
          </w:tcPr>
          <w:p w14:paraId="4FC5E859">
            <w:pPr>
              <w:widowControl/>
              <w:jc w:val="center"/>
              <w:outlineLvl w:val="0"/>
              <w:rPr>
                <w:rFonts w:ascii="Times New Roman" w:hAnsi="Times New Roman" w:eastAsia="宋体" w:cs="Times New Roman"/>
                <w:color w:val="auto"/>
                <w:kern w:val="0"/>
                <w:sz w:val="28"/>
                <w:szCs w:val="28"/>
                <w:highlight w:val="none"/>
              </w:rPr>
            </w:pPr>
            <w:bookmarkStart w:id="287" w:name="_Toc1758799852"/>
            <w:bookmarkStart w:id="288" w:name="_Toc218468868"/>
            <w:r>
              <w:rPr>
                <w:rFonts w:hint="eastAsia" w:ascii="黑体" w:hAnsi="黑体" w:eastAsia="黑体" w:cs="黑体"/>
                <w:color w:val="auto"/>
                <w:kern w:val="0"/>
                <w:sz w:val="28"/>
                <w:szCs w:val="28"/>
                <w:highlight w:val="none"/>
              </w:rPr>
              <w:t>水利建设资质管理方面</w:t>
            </w:r>
            <w:bookmarkEnd w:id="287"/>
            <w:bookmarkEnd w:id="288"/>
          </w:p>
        </w:tc>
        <w:tc>
          <w:tcPr>
            <w:tcW w:w="3173" w:type="dxa"/>
            <w:gridSpan w:val="3"/>
            <w:tcBorders>
              <w:top w:val="nil"/>
              <w:left w:val="single" w:color="auto" w:sz="4" w:space="0"/>
              <w:bottom w:val="single" w:color="auto" w:sz="4" w:space="0"/>
              <w:right w:val="single" w:color="auto" w:sz="4" w:space="0"/>
            </w:tcBorders>
            <w:noWrap/>
            <w:vAlign w:val="center"/>
          </w:tcPr>
          <w:p w14:paraId="3C4777CD">
            <w:pPr>
              <w:widowControl/>
              <w:jc w:val="center"/>
              <w:outlineLvl w:val="0"/>
              <w:rPr>
                <w:rFonts w:hint="eastAsia" w:ascii="黑体" w:hAnsi="黑体" w:eastAsia="黑体" w:cs="黑体"/>
                <w:color w:val="auto"/>
                <w:kern w:val="0"/>
                <w:sz w:val="28"/>
                <w:szCs w:val="28"/>
                <w:highlight w:val="none"/>
              </w:rPr>
            </w:pPr>
          </w:p>
        </w:tc>
      </w:tr>
      <w:tr w14:paraId="29249E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14:paraId="27E0A955">
            <w:pPr>
              <w:widowControl/>
              <w:jc w:val="center"/>
              <w:outlineLvl w:val="1"/>
              <w:rPr>
                <w:rFonts w:hint="eastAsia" w:ascii="宋体" w:hAnsi="宋体" w:eastAsia="宋体" w:cs="宋体"/>
                <w:color w:val="auto"/>
                <w:kern w:val="0"/>
                <w:szCs w:val="21"/>
                <w:highlight w:val="none"/>
              </w:rPr>
            </w:pPr>
            <w:bookmarkStart w:id="289" w:name="_Toc212979876"/>
            <w:bookmarkStart w:id="290" w:name="_Toc218468869"/>
            <w:r>
              <w:rPr>
                <w:rFonts w:hint="eastAsia" w:ascii="宋体" w:hAnsi="宋体" w:eastAsia="宋体" w:cs="宋体"/>
                <w:b/>
                <w:bCs/>
                <w:color w:val="auto"/>
                <w:kern w:val="0"/>
                <w:szCs w:val="21"/>
                <w:highlight w:val="none"/>
              </w:rPr>
              <w:t>《中华人民共和国建筑法》案由1项</w:t>
            </w:r>
            <w:bookmarkEnd w:id="289"/>
            <w:bookmarkEnd w:id="290"/>
          </w:p>
        </w:tc>
        <w:tc>
          <w:tcPr>
            <w:tcW w:w="3173" w:type="dxa"/>
            <w:gridSpan w:val="3"/>
            <w:tcBorders>
              <w:top w:val="nil"/>
              <w:left w:val="single" w:color="auto" w:sz="4" w:space="0"/>
              <w:bottom w:val="single" w:color="auto" w:sz="4" w:space="0"/>
              <w:right w:val="single" w:color="auto" w:sz="4" w:space="0"/>
            </w:tcBorders>
            <w:noWrap/>
            <w:vAlign w:val="center"/>
          </w:tcPr>
          <w:p w14:paraId="4EBEB092">
            <w:pPr>
              <w:widowControl/>
              <w:jc w:val="center"/>
              <w:outlineLvl w:val="1"/>
              <w:rPr>
                <w:rFonts w:hint="eastAsia" w:ascii="宋体" w:hAnsi="宋体" w:eastAsia="宋体" w:cs="宋体"/>
                <w:b/>
                <w:bCs/>
                <w:color w:val="auto"/>
                <w:kern w:val="0"/>
                <w:szCs w:val="21"/>
                <w:highlight w:val="none"/>
              </w:rPr>
            </w:pPr>
          </w:p>
        </w:tc>
      </w:tr>
      <w:tr w14:paraId="4CEDC6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62E000C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56279EA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在水利工程发包与承包中索贿、受贿、行贿</w:t>
            </w:r>
          </w:p>
        </w:tc>
        <w:tc>
          <w:tcPr>
            <w:tcW w:w="2981" w:type="dxa"/>
            <w:tcBorders>
              <w:top w:val="nil"/>
              <w:left w:val="nil"/>
              <w:bottom w:val="single" w:color="auto" w:sz="4" w:space="0"/>
              <w:right w:val="single" w:color="auto" w:sz="4" w:space="0"/>
            </w:tcBorders>
            <w:noWrap w:val="0"/>
            <w:vAlign w:val="center"/>
          </w:tcPr>
          <w:p w14:paraId="3905B1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处罚条款：第六十八条，处以罚款，没收贿赂的财物，对在工程承包中行贿的承包单位，除依照前款规定处罚外，可以责令停业整顿，降低资质等级或者吊销资质证书。</w:t>
            </w:r>
          </w:p>
        </w:tc>
        <w:tc>
          <w:tcPr>
            <w:tcW w:w="851" w:type="dxa"/>
            <w:tcBorders>
              <w:top w:val="nil"/>
              <w:left w:val="nil"/>
              <w:bottom w:val="single" w:color="auto" w:sz="4" w:space="0"/>
              <w:right w:val="single" w:color="auto" w:sz="4" w:space="0"/>
            </w:tcBorders>
            <w:noWrap w:val="0"/>
            <w:vAlign w:val="center"/>
          </w:tcPr>
          <w:p w14:paraId="3494311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2C7F5DE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70DD471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14:paraId="21E551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55A920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降低资质等级或者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77A633E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CC0798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C2337600</w:t>
            </w:r>
          </w:p>
        </w:tc>
      </w:tr>
      <w:tr w14:paraId="6BDD2C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3"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1F465687">
            <w:pPr>
              <w:widowControl/>
              <w:jc w:val="center"/>
              <w:outlineLvl w:val="1"/>
              <w:rPr>
                <w:rFonts w:hint="eastAsia" w:ascii="宋体" w:hAnsi="宋体" w:eastAsia="宋体" w:cs="宋体"/>
                <w:color w:val="auto"/>
                <w:kern w:val="0"/>
                <w:szCs w:val="21"/>
                <w:highlight w:val="none"/>
              </w:rPr>
            </w:pPr>
            <w:bookmarkStart w:id="291" w:name="_Toc702307891"/>
            <w:bookmarkStart w:id="292" w:name="_Toc218468870"/>
            <w:r>
              <w:rPr>
                <w:rFonts w:hint="eastAsia" w:ascii="宋体" w:hAnsi="宋体" w:eastAsia="宋体" w:cs="宋体"/>
                <w:b/>
                <w:bCs/>
                <w:color w:val="auto"/>
                <w:kern w:val="0"/>
                <w:szCs w:val="21"/>
                <w:highlight w:val="none"/>
              </w:rPr>
              <w:t>《建设工程质量管理条例》案由3项</w:t>
            </w:r>
            <w:bookmarkEnd w:id="291"/>
            <w:bookmarkEnd w:id="292"/>
          </w:p>
        </w:tc>
        <w:tc>
          <w:tcPr>
            <w:tcW w:w="3173" w:type="dxa"/>
            <w:gridSpan w:val="3"/>
            <w:tcBorders>
              <w:top w:val="nil"/>
              <w:left w:val="single" w:color="auto" w:sz="4" w:space="0"/>
              <w:bottom w:val="single" w:color="auto" w:sz="4" w:space="0"/>
              <w:right w:val="single" w:color="auto" w:sz="4" w:space="0"/>
            </w:tcBorders>
            <w:noWrap w:val="0"/>
            <w:vAlign w:val="center"/>
          </w:tcPr>
          <w:p w14:paraId="5F5B2FFD">
            <w:pPr>
              <w:widowControl/>
              <w:jc w:val="center"/>
              <w:outlineLvl w:val="1"/>
              <w:rPr>
                <w:rFonts w:hint="eastAsia" w:ascii="宋体" w:hAnsi="宋体" w:eastAsia="宋体" w:cs="宋体"/>
                <w:b/>
                <w:bCs/>
                <w:color w:val="auto"/>
                <w:kern w:val="0"/>
                <w:szCs w:val="21"/>
                <w:highlight w:val="none"/>
              </w:rPr>
            </w:pPr>
          </w:p>
        </w:tc>
      </w:tr>
      <w:tr w14:paraId="461862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restart"/>
            <w:tcBorders>
              <w:top w:val="nil"/>
              <w:left w:val="single" w:color="auto" w:sz="4" w:space="0"/>
              <w:bottom w:val="single" w:color="auto" w:sz="4" w:space="0"/>
              <w:right w:val="single" w:color="auto" w:sz="4" w:space="0"/>
            </w:tcBorders>
            <w:noWrap w:val="0"/>
            <w:vAlign w:val="center"/>
          </w:tcPr>
          <w:p w14:paraId="2D1E39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14:paraId="4F3EDB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勘察、设计、施工、监理单位以欺骗手段取得资质证书承揽工程</w:t>
            </w:r>
          </w:p>
        </w:tc>
        <w:tc>
          <w:tcPr>
            <w:tcW w:w="2981" w:type="dxa"/>
            <w:vMerge w:val="restart"/>
            <w:tcBorders>
              <w:top w:val="nil"/>
              <w:left w:val="single" w:color="auto" w:sz="4" w:space="0"/>
              <w:bottom w:val="single" w:color="auto" w:sz="4" w:space="0"/>
              <w:right w:val="single" w:color="auto" w:sz="4" w:space="0"/>
            </w:tcBorders>
            <w:noWrap w:val="0"/>
            <w:vAlign w:val="center"/>
          </w:tcPr>
          <w:p w14:paraId="4492B9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违反条款：第十八条第一款、第二十五条第一款、第三十四条第一款；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第三款，吊销资质证书，对勘察、设计单位或者工程监理单位处合同约定的勘察费、设计费或者监理酬金１倍以上２倍以下的罚款；对施工单位处工程合同价款百分之二以上百分之四以下的罚款，有违法所得的，予以没收；</w:t>
            </w:r>
          </w:p>
        </w:tc>
        <w:tc>
          <w:tcPr>
            <w:tcW w:w="851" w:type="dxa"/>
            <w:tcBorders>
              <w:top w:val="nil"/>
              <w:left w:val="nil"/>
              <w:bottom w:val="single" w:color="auto" w:sz="4" w:space="0"/>
              <w:right w:val="single" w:color="auto" w:sz="4" w:space="0"/>
            </w:tcBorders>
            <w:noWrap w:val="0"/>
            <w:vAlign w:val="center"/>
          </w:tcPr>
          <w:p w14:paraId="13CC342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合同约定的勘察费、设计费或者监理酬金×1倍（勘察、设计、监理单位）</w:t>
            </w:r>
          </w:p>
        </w:tc>
        <w:tc>
          <w:tcPr>
            <w:tcW w:w="840" w:type="dxa"/>
            <w:tcBorders>
              <w:top w:val="nil"/>
              <w:left w:val="nil"/>
              <w:bottom w:val="single" w:color="auto" w:sz="4" w:space="0"/>
              <w:right w:val="single" w:color="auto" w:sz="4" w:space="0"/>
            </w:tcBorders>
            <w:noWrap w:val="0"/>
            <w:vAlign w:val="center"/>
          </w:tcPr>
          <w:p w14:paraId="043DF21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733E9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0F0A11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罚款金额=合同约定的勘察费或设计费或监理酬金×1倍×（1+情节系数）</w:t>
            </w:r>
          </w:p>
        </w:tc>
        <w:tc>
          <w:tcPr>
            <w:tcW w:w="2016" w:type="dxa"/>
            <w:tcBorders>
              <w:top w:val="nil"/>
              <w:left w:val="nil"/>
              <w:bottom w:val="single" w:color="auto" w:sz="4" w:space="0"/>
              <w:right w:val="single" w:color="auto" w:sz="4" w:space="0"/>
            </w:tcBorders>
            <w:noWrap w:val="0"/>
            <w:vAlign w:val="center"/>
          </w:tcPr>
          <w:p w14:paraId="1E5B0E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194FCB1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nil"/>
              <w:right w:val="single" w:color="auto" w:sz="4" w:space="0"/>
            </w:tcBorders>
            <w:noWrap w:val="0"/>
            <w:vAlign w:val="center"/>
          </w:tcPr>
          <w:p w14:paraId="05EB808A">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C2338300</w:t>
            </w:r>
          </w:p>
        </w:tc>
      </w:tr>
      <w:tr w14:paraId="666B488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4DADF9FD">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5804349B">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57C74CA1">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14C28B5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工程合同价款×2%（施工单位）</w:t>
            </w:r>
          </w:p>
        </w:tc>
        <w:tc>
          <w:tcPr>
            <w:tcW w:w="840" w:type="dxa"/>
            <w:tcBorders>
              <w:top w:val="nil"/>
              <w:left w:val="nil"/>
              <w:bottom w:val="single" w:color="auto" w:sz="4" w:space="0"/>
              <w:right w:val="single" w:color="auto" w:sz="4" w:space="0"/>
            </w:tcBorders>
            <w:noWrap w:val="0"/>
            <w:vAlign w:val="center"/>
          </w:tcPr>
          <w:p w14:paraId="62273EF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419E2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5824046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14:paraId="3157634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3AD0E49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continue"/>
            <w:tcBorders>
              <w:left w:val="nil"/>
              <w:bottom w:val="single" w:color="auto" w:sz="4" w:space="0"/>
              <w:right w:val="single" w:color="auto" w:sz="4" w:space="0"/>
            </w:tcBorders>
            <w:noWrap w:val="0"/>
            <w:vAlign w:val="center"/>
          </w:tcPr>
          <w:p w14:paraId="04B6BEAE">
            <w:pPr>
              <w:widowControl/>
              <w:jc w:val="center"/>
              <w:rPr>
                <w:rFonts w:hint="eastAsia" w:ascii="宋体" w:hAnsi="宋体" w:eastAsia="宋体" w:cs="宋体"/>
                <w:color w:val="auto"/>
                <w:kern w:val="0"/>
                <w:sz w:val="15"/>
                <w:szCs w:val="15"/>
                <w:highlight w:val="none"/>
                <w:lang w:eastAsia="zh"/>
              </w:rPr>
            </w:pPr>
          </w:p>
        </w:tc>
      </w:tr>
      <w:tr w14:paraId="4446ED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restart"/>
            <w:tcBorders>
              <w:top w:val="nil"/>
              <w:left w:val="single" w:color="auto" w:sz="4" w:space="0"/>
              <w:bottom w:val="single" w:color="auto" w:sz="4" w:space="0"/>
              <w:right w:val="single" w:color="auto" w:sz="4" w:space="0"/>
            </w:tcBorders>
            <w:noWrap w:val="0"/>
            <w:vAlign w:val="center"/>
          </w:tcPr>
          <w:p w14:paraId="2C2CE3F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14:paraId="50A717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勘察、设计、施工、监理单位未取得相应资质等级证书承揽水利工程</w:t>
            </w:r>
          </w:p>
        </w:tc>
        <w:tc>
          <w:tcPr>
            <w:tcW w:w="2981" w:type="dxa"/>
            <w:vMerge w:val="restart"/>
            <w:tcBorders>
              <w:top w:val="nil"/>
              <w:left w:val="single" w:color="auto" w:sz="4" w:space="0"/>
              <w:bottom w:val="single" w:color="auto" w:sz="4" w:space="0"/>
              <w:right w:val="single" w:color="auto" w:sz="4" w:space="0"/>
            </w:tcBorders>
            <w:noWrap w:val="0"/>
            <w:vAlign w:val="center"/>
          </w:tcPr>
          <w:p w14:paraId="2AC71A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违反条款：第十八条第一款、第二十五条第一款、第三十四条第一款；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第二款，对勘察、设计单位或者工程监理单位处合同约定的勘察费、设计费或者监理酬金１倍以上２倍以下的罚款；对施工单位处工程合同价款百分之二以上百分之四以下的罚款，有违法所得的，予以没收；</w:t>
            </w:r>
          </w:p>
        </w:tc>
        <w:tc>
          <w:tcPr>
            <w:tcW w:w="851" w:type="dxa"/>
            <w:tcBorders>
              <w:top w:val="nil"/>
              <w:left w:val="nil"/>
              <w:bottom w:val="single" w:color="auto" w:sz="4" w:space="0"/>
              <w:right w:val="single" w:color="auto" w:sz="4" w:space="0"/>
            </w:tcBorders>
            <w:noWrap w:val="0"/>
            <w:vAlign w:val="center"/>
          </w:tcPr>
          <w:p w14:paraId="6954368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勘察费、设计费或者监理酬金×1倍（勘察、设计、监理单位</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0495B7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04EB8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0C037F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罚款金额=勘察费、设计费或者监理酬金×1倍×（1+情节系数）</w:t>
            </w:r>
          </w:p>
        </w:tc>
        <w:tc>
          <w:tcPr>
            <w:tcW w:w="2016" w:type="dxa"/>
            <w:tcBorders>
              <w:top w:val="nil"/>
              <w:left w:val="nil"/>
              <w:bottom w:val="single" w:color="auto" w:sz="4" w:space="0"/>
              <w:right w:val="single" w:color="auto" w:sz="4" w:space="0"/>
            </w:tcBorders>
            <w:noWrap w:val="0"/>
            <w:vAlign w:val="center"/>
          </w:tcPr>
          <w:p w14:paraId="7F801E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66FD43D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nil"/>
              <w:right w:val="single" w:color="auto" w:sz="4" w:space="0"/>
            </w:tcBorders>
            <w:noWrap w:val="0"/>
            <w:vAlign w:val="center"/>
          </w:tcPr>
          <w:p w14:paraId="0F65591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C2352700</w:t>
            </w:r>
          </w:p>
        </w:tc>
      </w:tr>
      <w:tr w14:paraId="142E7A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4278359B">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47B3D41E">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1D675B2C">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35637EA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工程合同价款×2%（对施工单位）</w:t>
            </w:r>
          </w:p>
        </w:tc>
        <w:tc>
          <w:tcPr>
            <w:tcW w:w="840" w:type="dxa"/>
            <w:tcBorders>
              <w:top w:val="nil"/>
              <w:left w:val="nil"/>
              <w:bottom w:val="single" w:color="auto" w:sz="4" w:space="0"/>
              <w:right w:val="single" w:color="auto" w:sz="4" w:space="0"/>
            </w:tcBorders>
            <w:noWrap w:val="0"/>
            <w:vAlign w:val="center"/>
          </w:tcPr>
          <w:p w14:paraId="51D86EC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66028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2D9AE62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14:paraId="6AC0AD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790421D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continue"/>
            <w:tcBorders>
              <w:left w:val="nil"/>
              <w:bottom w:val="single" w:color="auto" w:sz="4" w:space="0"/>
              <w:right w:val="single" w:color="auto" w:sz="4" w:space="0"/>
            </w:tcBorders>
            <w:noWrap w:val="0"/>
            <w:vAlign w:val="center"/>
          </w:tcPr>
          <w:p w14:paraId="6F303E22">
            <w:pPr>
              <w:widowControl/>
              <w:jc w:val="center"/>
              <w:rPr>
                <w:rFonts w:hint="eastAsia" w:ascii="宋体" w:hAnsi="宋体" w:eastAsia="宋体" w:cs="宋体"/>
                <w:color w:val="auto"/>
                <w:kern w:val="0"/>
                <w:sz w:val="15"/>
                <w:szCs w:val="15"/>
                <w:highlight w:val="none"/>
                <w:lang w:eastAsia="zh"/>
              </w:rPr>
            </w:pPr>
          </w:p>
        </w:tc>
      </w:tr>
      <w:tr w14:paraId="5ACB19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restart"/>
            <w:tcBorders>
              <w:top w:val="nil"/>
              <w:left w:val="single" w:color="auto" w:sz="4" w:space="0"/>
              <w:bottom w:val="single" w:color="auto" w:sz="4" w:space="0"/>
              <w:right w:val="single" w:color="auto" w:sz="4" w:space="0"/>
            </w:tcBorders>
            <w:noWrap w:val="0"/>
            <w:vAlign w:val="center"/>
          </w:tcPr>
          <w:p w14:paraId="3DEEA76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vMerge w:val="restart"/>
            <w:tcBorders>
              <w:top w:val="nil"/>
              <w:left w:val="single" w:color="auto" w:sz="4" w:space="0"/>
              <w:bottom w:val="single" w:color="auto" w:sz="4" w:space="0"/>
              <w:right w:val="single" w:color="auto" w:sz="4" w:space="0"/>
            </w:tcBorders>
            <w:noWrap w:val="0"/>
            <w:vAlign w:val="center"/>
          </w:tcPr>
          <w:p w14:paraId="0BC481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勘察、设计、施工、监理单位超越本单位资质等级许可的业务范围承揽水利工程</w:t>
            </w:r>
          </w:p>
        </w:tc>
        <w:tc>
          <w:tcPr>
            <w:tcW w:w="2981" w:type="dxa"/>
            <w:vMerge w:val="restart"/>
            <w:tcBorders>
              <w:top w:val="nil"/>
              <w:left w:val="single" w:color="auto" w:sz="4" w:space="0"/>
              <w:bottom w:val="single" w:color="auto" w:sz="4" w:space="0"/>
              <w:right w:val="single" w:color="auto" w:sz="4" w:space="0"/>
            </w:tcBorders>
            <w:noWrap w:val="0"/>
            <w:vAlign w:val="center"/>
          </w:tcPr>
          <w:p w14:paraId="731566F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违反条款：第十八条第二款、第二十五条第二款、第三十四条第二款；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851" w:type="dxa"/>
            <w:tcBorders>
              <w:top w:val="nil"/>
              <w:left w:val="nil"/>
              <w:bottom w:val="single" w:color="auto" w:sz="4" w:space="0"/>
              <w:right w:val="single" w:color="auto" w:sz="4" w:space="0"/>
            </w:tcBorders>
            <w:noWrap w:val="0"/>
            <w:vAlign w:val="center"/>
          </w:tcPr>
          <w:p w14:paraId="03526C2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勘察费、设计费或者监理酬金×1倍（勘察、设计、监理单位）</w:t>
            </w:r>
          </w:p>
        </w:tc>
        <w:tc>
          <w:tcPr>
            <w:tcW w:w="840" w:type="dxa"/>
            <w:tcBorders>
              <w:top w:val="nil"/>
              <w:left w:val="nil"/>
              <w:bottom w:val="single" w:color="auto" w:sz="4" w:space="0"/>
              <w:right w:val="single" w:color="auto" w:sz="4" w:space="0"/>
            </w:tcBorders>
            <w:noWrap w:val="0"/>
            <w:vAlign w:val="center"/>
          </w:tcPr>
          <w:p w14:paraId="7AB2C2B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C7127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56CFBE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罚款金额=勘察费、设计费或者监理酬金×1倍×（1+情节系数）</w:t>
            </w:r>
          </w:p>
        </w:tc>
        <w:tc>
          <w:tcPr>
            <w:tcW w:w="2016" w:type="dxa"/>
            <w:tcBorders>
              <w:top w:val="nil"/>
              <w:left w:val="nil"/>
              <w:bottom w:val="single" w:color="auto" w:sz="4" w:space="0"/>
              <w:right w:val="single" w:color="auto" w:sz="4" w:space="0"/>
            </w:tcBorders>
            <w:noWrap w:val="0"/>
            <w:vAlign w:val="center"/>
          </w:tcPr>
          <w:p w14:paraId="70E689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11ECF1B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nil"/>
              <w:right w:val="single" w:color="auto" w:sz="4" w:space="0"/>
            </w:tcBorders>
            <w:noWrap w:val="0"/>
            <w:vAlign w:val="center"/>
          </w:tcPr>
          <w:p w14:paraId="727FBBA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C2353100</w:t>
            </w:r>
          </w:p>
        </w:tc>
      </w:tr>
      <w:tr w14:paraId="10902A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7FA44636">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4B929BFB">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2727BE9C">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5776DEB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工程合同价款×2%（施工单位）</w:t>
            </w:r>
          </w:p>
        </w:tc>
        <w:tc>
          <w:tcPr>
            <w:tcW w:w="840" w:type="dxa"/>
            <w:tcBorders>
              <w:top w:val="nil"/>
              <w:left w:val="nil"/>
              <w:bottom w:val="single" w:color="auto" w:sz="4" w:space="0"/>
              <w:right w:val="single" w:color="auto" w:sz="4" w:space="0"/>
            </w:tcBorders>
            <w:noWrap w:val="0"/>
            <w:vAlign w:val="center"/>
          </w:tcPr>
          <w:p w14:paraId="2335A50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FD0F9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7A211B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14:paraId="3E6904D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5582ABB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continue"/>
            <w:tcBorders>
              <w:left w:val="nil"/>
              <w:bottom w:val="single" w:color="auto" w:sz="4" w:space="0"/>
              <w:right w:val="single" w:color="auto" w:sz="4" w:space="0"/>
            </w:tcBorders>
            <w:noWrap w:val="0"/>
            <w:vAlign w:val="center"/>
          </w:tcPr>
          <w:p w14:paraId="36411B25">
            <w:pPr>
              <w:widowControl/>
              <w:jc w:val="center"/>
              <w:rPr>
                <w:rFonts w:hint="eastAsia" w:ascii="宋体" w:hAnsi="宋体" w:eastAsia="宋体" w:cs="宋体"/>
                <w:color w:val="auto"/>
                <w:kern w:val="0"/>
                <w:sz w:val="15"/>
                <w:szCs w:val="15"/>
                <w:highlight w:val="none"/>
                <w:lang w:eastAsia="zh"/>
              </w:rPr>
            </w:pPr>
          </w:p>
        </w:tc>
      </w:tr>
      <w:tr w14:paraId="70E4F5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477DC770">
            <w:pPr>
              <w:widowControl/>
              <w:jc w:val="center"/>
              <w:outlineLvl w:val="1"/>
              <w:rPr>
                <w:rFonts w:hint="eastAsia" w:ascii="宋体" w:hAnsi="宋体" w:eastAsia="宋体" w:cs="宋体"/>
                <w:color w:val="auto"/>
                <w:kern w:val="0"/>
                <w:szCs w:val="21"/>
                <w:highlight w:val="none"/>
              </w:rPr>
            </w:pPr>
            <w:bookmarkStart w:id="293" w:name="_Toc218468871"/>
            <w:bookmarkStart w:id="294" w:name="_Toc1211391117"/>
            <w:r>
              <w:rPr>
                <w:rFonts w:hint="eastAsia" w:ascii="宋体" w:hAnsi="宋体" w:eastAsia="宋体" w:cs="宋体"/>
                <w:b/>
                <w:bCs/>
                <w:color w:val="auto"/>
                <w:kern w:val="0"/>
                <w:szCs w:val="21"/>
                <w:highlight w:val="none"/>
              </w:rPr>
              <w:t>《建筑业企业资质管理规定》案由4项</w:t>
            </w:r>
            <w:bookmarkEnd w:id="293"/>
            <w:bookmarkEnd w:id="294"/>
          </w:p>
        </w:tc>
        <w:tc>
          <w:tcPr>
            <w:tcW w:w="3173" w:type="dxa"/>
            <w:gridSpan w:val="3"/>
            <w:tcBorders>
              <w:top w:val="nil"/>
              <w:left w:val="single" w:color="auto" w:sz="4" w:space="0"/>
              <w:bottom w:val="single" w:color="auto" w:sz="4" w:space="0"/>
              <w:right w:val="single" w:color="auto" w:sz="4" w:space="0"/>
            </w:tcBorders>
            <w:noWrap w:val="0"/>
            <w:vAlign w:val="center"/>
          </w:tcPr>
          <w:p w14:paraId="52C1BBA5">
            <w:pPr>
              <w:widowControl/>
              <w:jc w:val="center"/>
              <w:outlineLvl w:val="1"/>
              <w:rPr>
                <w:rFonts w:hint="eastAsia" w:ascii="宋体" w:hAnsi="宋体" w:eastAsia="宋体" w:cs="宋体"/>
                <w:b/>
                <w:bCs/>
                <w:color w:val="auto"/>
                <w:kern w:val="0"/>
                <w:szCs w:val="21"/>
                <w:highlight w:val="none"/>
              </w:rPr>
            </w:pPr>
          </w:p>
        </w:tc>
      </w:tr>
      <w:tr w14:paraId="44F5519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1F17D3A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1B07E3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申请人隐瞒有关情况或者提供虚假材料申请建筑业企业资质（ 水利类）</w:t>
            </w:r>
          </w:p>
        </w:tc>
        <w:tc>
          <w:tcPr>
            <w:tcW w:w="2981" w:type="dxa"/>
            <w:tcBorders>
              <w:top w:val="nil"/>
              <w:left w:val="nil"/>
              <w:bottom w:val="single" w:color="auto" w:sz="4" w:space="0"/>
              <w:right w:val="single" w:color="auto" w:sz="4" w:space="0"/>
            </w:tcBorders>
            <w:noWrap w:val="0"/>
            <w:vAlign w:val="center"/>
          </w:tcPr>
          <w:p w14:paraId="5093EF0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处罚条款：第三十五条，给予警告，申请企业在1年内不得再次申请建筑业企业资质。</w:t>
            </w:r>
          </w:p>
        </w:tc>
        <w:tc>
          <w:tcPr>
            <w:tcW w:w="851" w:type="dxa"/>
            <w:tcBorders>
              <w:top w:val="nil"/>
              <w:left w:val="nil"/>
              <w:bottom w:val="single" w:color="auto" w:sz="4" w:space="0"/>
              <w:right w:val="single" w:color="auto" w:sz="4" w:space="0"/>
            </w:tcBorders>
            <w:noWrap w:val="0"/>
            <w:vAlign w:val="center"/>
          </w:tcPr>
          <w:p w14:paraId="293C3BB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5632CF5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16486F4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14:paraId="5D44B90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00A61D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20B5C89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32884EA">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C2336400</w:t>
            </w:r>
          </w:p>
        </w:tc>
      </w:tr>
      <w:tr w14:paraId="21F510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670CD71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33A05DD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以欺骗、贿赂等不正当手段取得建筑业企业资质证书（水利类）</w:t>
            </w:r>
          </w:p>
        </w:tc>
        <w:tc>
          <w:tcPr>
            <w:tcW w:w="2981" w:type="dxa"/>
            <w:tcBorders>
              <w:top w:val="nil"/>
              <w:left w:val="nil"/>
              <w:bottom w:val="single" w:color="auto" w:sz="4" w:space="0"/>
              <w:right w:val="single" w:color="auto" w:sz="4" w:space="0"/>
            </w:tcBorders>
            <w:noWrap w:val="0"/>
            <w:vAlign w:val="center"/>
          </w:tcPr>
          <w:p w14:paraId="08725F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处罚条款：第三十六条，给予警告，并处3万元的罚款，申请企业3年内不得再次申请建筑业企业资质。</w:t>
            </w:r>
          </w:p>
        </w:tc>
        <w:tc>
          <w:tcPr>
            <w:tcW w:w="851" w:type="dxa"/>
            <w:tcBorders>
              <w:top w:val="nil"/>
              <w:left w:val="nil"/>
              <w:bottom w:val="single" w:color="auto" w:sz="4" w:space="0"/>
              <w:right w:val="single" w:color="auto" w:sz="4" w:space="0"/>
            </w:tcBorders>
            <w:noWrap w:val="0"/>
            <w:vAlign w:val="center"/>
          </w:tcPr>
          <w:p w14:paraId="184DA5A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14:paraId="6F811BB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2F390A3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79" w:type="dxa"/>
            <w:gridSpan w:val="3"/>
            <w:tcBorders>
              <w:top w:val="nil"/>
              <w:left w:val="nil"/>
              <w:bottom w:val="single" w:color="auto" w:sz="4" w:space="0"/>
              <w:right w:val="single" w:color="auto" w:sz="4" w:space="0"/>
            </w:tcBorders>
            <w:noWrap w:val="0"/>
            <w:vAlign w:val="center"/>
          </w:tcPr>
          <w:p w14:paraId="04A6494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69A4EFD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271B96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706115D">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C2336500</w:t>
            </w:r>
          </w:p>
        </w:tc>
      </w:tr>
      <w:tr w14:paraId="56B0DD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014EAF1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370A35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建筑业企业（水务类）存在《建筑业企业资质管理规定》第二十三条规定的行为</w:t>
            </w:r>
          </w:p>
        </w:tc>
        <w:tc>
          <w:tcPr>
            <w:tcW w:w="2981" w:type="dxa"/>
            <w:tcBorders>
              <w:top w:val="nil"/>
              <w:left w:val="nil"/>
              <w:bottom w:val="single" w:color="auto" w:sz="4" w:space="0"/>
              <w:right w:val="single" w:color="auto" w:sz="4" w:space="0"/>
            </w:tcBorders>
            <w:noWrap w:val="0"/>
            <w:vAlign w:val="center"/>
          </w:tcPr>
          <w:p w14:paraId="259BA8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中华人民共和国建筑法》《建设工程质量管理条例》和其他有关法律、法规对处罚机关和处罚方式有规定的，依照法律、法规的规定执行；法律、法规未作规定的，给予警告，责令改正，并处1万元以上3万元以下的罚款。</w:t>
            </w:r>
          </w:p>
        </w:tc>
        <w:tc>
          <w:tcPr>
            <w:tcW w:w="851" w:type="dxa"/>
            <w:tcBorders>
              <w:top w:val="nil"/>
              <w:left w:val="nil"/>
              <w:bottom w:val="single" w:color="auto" w:sz="4" w:space="0"/>
              <w:right w:val="single" w:color="auto" w:sz="4" w:space="0"/>
            </w:tcBorders>
            <w:noWrap w:val="0"/>
            <w:vAlign w:val="center"/>
          </w:tcPr>
          <w:p w14:paraId="102189E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746EA3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93A6A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给予警告，并处以下罚款：1.限期改正，系数为0；2.逾期不改正，系数为2。3.存在基准2.1.3规定情形的，系数按照相关规定确定（基准2.1.3.5不适用）。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B98602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10F7206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2066F8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7391A6A">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C2336600</w:t>
            </w:r>
          </w:p>
        </w:tc>
      </w:tr>
      <w:tr w14:paraId="1B600C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551A928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4A8DBC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未按照《建筑业企业资质管理规定》要求提供建筑业企业信用档案信息</w:t>
            </w:r>
          </w:p>
        </w:tc>
        <w:tc>
          <w:tcPr>
            <w:tcW w:w="2981" w:type="dxa"/>
            <w:tcBorders>
              <w:top w:val="nil"/>
              <w:left w:val="nil"/>
              <w:bottom w:val="single" w:color="auto" w:sz="4" w:space="0"/>
              <w:right w:val="single" w:color="auto" w:sz="4" w:space="0"/>
            </w:tcBorders>
            <w:noWrap w:val="0"/>
            <w:vAlign w:val="center"/>
          </w:tcPr>
          <w:p w14:paraId="549B861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处罚条款：第四十条，给予警告，责令限期改正；逾期未改正的，可处以1000元以上1万元以下的罚款。</w:t>
            </w:r>
          </w:p>
        </w:tc>
        <w:tc>
          <w:tcPr>
            <w:tcW w:w="851" w:type="dxa"/>
            <w:tcBorders>
              <w:top w:val="nil"/>
              <w:left w:val="nil"/>
              <w:bottom w:val="single" w:color="auto" w:sz="4" w:space="0"/>
              <w:right w:val="single" w:color="auto" w:sz="4" w:space="0"/>
            </w:tcBorders>
            <w:noWrap w:val="0"/>
            <w:vAlign w:val="center"/>
          </w:tcPr>
          <w:p w14:paraId="6C090AE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10A1DB7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140E3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未改正的，处以下罚款：1.逾期后改正时间＜2天，系数为0；2.2天≤逾期后改正时间＜4天，系数为2；3.4天≤逾期后改正时间＜6天，系数为4；4.6天≤逾期后改正时间＜8天，系数为6；5.8天≤逾期后改正时间，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3CA959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14:paraId="6186DF5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E2635B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1315FC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C2336800</w:t>
            </w:r>
          </w:p>
        </w:tc>
      </w:tr>
      <w:tr w14:paraId="313889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64BA4630">
            <w:pPr>
              <w:widowControl/>
              <w:jc w:val="center"/>
              <w:outlineLvl w:val="1"/>
              <w:rPr>
                <w:rFonts w:hint="eastAsia" w:ascii="宋体" w:hAnsi="宋体" w:eastAsia="宋体" w:cs="宋体"/>
                <w:color w:val="auto"/>
                <w:kern w:val="0"/>
                <w:szCs w:val="21"/>
                <w:highlight w:val="none"/>
              </w:rPr>
            </w:pPr>
            <w:bookmarkStart w:id="295" w:name="_Toc1423281094"/>
            <w:bookmarkStart w:id="296" w:name="_Toc218468872"/>
            <w:r>
              <w:rPr>
                <w:rFonts w:hint="eastAsia" w:ascii="宋体" w:hAnsi="宋体" w:eastAsia="宋体" w:cs="宋体"/>
                <w:b/>
                <w:bCs/>
                <w:color w:val="auto"/>
                <w:kern w:val="0"/>
                <w:szCs w:val="21"/>
                <w:highlight w:val="none"/>
              </w:rPr>
              <w:t>《工程监理企业资质管理规定》案由3项</w:t>
            </w:r>
            <w:bookmarkEnd w:id="295"/>
            <w:bookmarkEnd w:id="296"/>
          </w:p>
        </w:tc>
        <w:tc>
          <w:tcPr>
            <w:tcW w:w="3173" w:type="dxa"/>
            <w:gridSpan w:val="3"/>
            <w:tcBorders>
              <w:top w:val="nil"/>
              <w:left w:val="single" w:color="auto" w:sz="4" w:space="0"/>
              <w:bottom w:val="single" w:color="auto" w:sz="4" w:space="0"/>
              <w:right w:val="single" w:color="auto" w:sz="4" w:space="0"/>
            </w:tcBorders>
            <w:noWrap w:val="0"/>
            <w:vAlign w:val="center"/>
          </w:tcPr>
          <w:p w14:paraId="5ECE4C82">
            <w:pPr>
              <w:widowControl/>
              <w:jc w:val="center"/>
              <w:outlineLvl w:val="1"/>
              <w:rPr>
                <w:rFonts w:hint="eastAsia" w:ascii="宋体" w:hAnsi="宋体" w:eastAsia="宋体" w:cs="宋体"/>
                <w:b/>
                <w:bCs/>
                <w:color w:val="auto"/>
                <w:kern w:val="0"/>
                <w:szCs w:val="21"/>
                <w:highlight w:val="none"/>
              </w:rPr>
            </w:pPr>
          </w:p>
        </w:tc>
      </w:tr>
      <w:tr w14:paraId="1902A1C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1959DF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447067E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申请人隐瞒有关情况或者提供虚假材料申请水利工程建设监理单位资质</w:t>
            </w:r>
          </w:p>
        </w:tc>
        <w:tc>
          <w:tcPr>
            <w:tcW w:w="2981" w:type="dxa"/>
            <w:tcBorders>
              <w:top w:val="nil"/>
              <w:left w:val="nil"/>
              <w:bottom w:val="single" w:color="auto" w:sz="4" w:space="0"/>
              <w:right w:val="single" w:color="auto" w:sz="4" w:space="0"/>
            </w:tcBorders>
            <w:noWrap w:val="0"/>
            <w:vAlign w:val="center"/>
          </w:tcPr>
          <w:p w14:paraId="397A48B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处罚条款：第二十七条，给予警告，申请人在1年内不得再次申请工程监理企业资质。</w:t>
            </w:r>
          </w:p>
        </w:tc>
        <w:tc>
          <w:tcPr>
            <w:tcW w:w="851" w:type="dxa"/>
            <w:tcBorders>
              <w:top w:val="nil"/>
              <w:left w:val="nil"/>
              <w:bottom w:val="single" w:color="auto" w:sz="4" w:space="0"/>
              <w:right w:val="single" w:color="auto" w:sz="4" w:space="0"/>
            </w:tcBorders>
            <w:noWrap w:val="0"/>
            <w:vAlign w:val="center"/>
          </w:tcPr>
          <w:p w14:paraId="1D0E7EC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3F93F9F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6F331A3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14:paraId="3E7EFCF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65A8E6A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2FADB7F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996E4E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C2328000</w:t>
            </w:r>
          </w:p>
        </w:tc>
      </w:tr>
      <w:tr w14:paraId="2E7272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5BC21F6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4A1959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以欺骗、贿赂等不正当手段取得水利工程建设监理单位资质证书</w:t>
            </w:r>
          </w:p>
        </w:tc>
        <w:tc>
          <w:tcPr>
            <w:tcW w:w="2981" w:type="dxa"/>
            <w:tcBorders>
              <w:top w:val="nil"/>
              <w:left w:val="nil"/>
              <w:bottom w:val="single" w:color="auto" w:sz="4" w:space="0"/>
              <w:right w:val="single" w:color="auto" w:sz="4" w:space="0"/>
            </w:tcBorders>
            <w:noWrap w:val="0"/>
            <w:vAlign w:val="center"/>
          </w:tcPr>
          <w:p w14:paraId="581851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处罚条款：第二十八条，给予警告，并处1万元以上2万元以下的罚款，申请人3年内不得再次申请工程监理企业资质。</w:t>
            </w:r>
          </w:p>
        </w:tc>
        <w:tc>
          <w:tcPr>
            <w:tcW w:w="851" w:type="dxa"/>
            <w:tcBorders>
              <w:top w:val="nil"/>
              <w:left w:val="nil"/>
              <w:bottom w:val="single" w:color="auto" w:sz="4" w:space="0"/>
              <w:right w:val="single" w:color="auto" w:sz="4" w:space="0"/>
            </w:tcBorders>
            <w:noWrap w:val="0"/>
            <w:vAlign w:val="center"/>
          </w:tcPr>
          <w:p w14:paraId="2896367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FC6670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0D18AA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给予警告，并处以下罚款：1.以欺骗、贿赂等不正当手段取得监理资质乙级证书的，系数为0；2.以欺骗、贿赂等不正当手段取得监理资质甲级证书或不区分甲乙级资质的，系数为0.5；3.造成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43AC3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21A4DD7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BA1DAB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8427D7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C2328100</w:t>
            </w:r>
          </w:p>
        </w:tc>
      </w:tr>
      <w:tr w14:paraId="7D8A94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08" w:hRule="atLeast"/>
        </w:trPr>
        <w:tc>
          <w:tcPr>
            <w:tcW w:w="716" w:type="dxa"/>
            <w:gridSpan w:val="2"/>
            <w:tcBorders>
              <w:top w:val="nil"/>
              <w:left w:val="single" w:color="auto" w:sz="4" w:space="0"/>
              <w:bottom w:val="single" w:color="auto" w:sz="4" w:space="0"/>
              <w:right w:val="single" w:color="auto" w:sz="4" w:space="0"/>
            </w:tcBorders>
            <w:noWrap w:val="0"/>
            <w:vAlign w:val="center"/>
          </w:tcPr>
          <w:p w14:paraId="4B82AD8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62BC9E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水利工程建设监理单位在监理过程中实施商业贿赂，或者涂改、伪造、出借、转让工程监理企业资质证书</w:t>
            </w:r>
          </w:p>
        </w:tc>
        <w:tc>
          <w:tcPr>
            <w:tcW w:w="2981" w:type="dxa"/>
            <w:tcBorders>
              <w:top w:val="nil"/>
              <w:left w:val="nil"/>
              <w:bottom w:val="single" w:color="auto" w:sz="4" w:space="0"/>
              <w:right w:val="single" w:color="auto" w:sz="4" w:space="0"/>
            </w:tcBorders>
            <w:noWrap w:val="0"/>
            <w:vAlign w:val="center"/>
          </w:tcPr>
          <w:p w14:paraId="58A33B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违反条款：第十六条第（七）项、第（八）项；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处罚条款：第二十九条，予以警告，责令其改正，并处1万元以上3万元以下的罚款。</w:t>
            </w:r>
          </w:p>
        </w:tc>
        <w:tc>
          <w:tcPr>
            <w:tcW w:w="851" w:type="dxa"/>
            <w:tcBorders>
              <w:top w:val="nil"/>
              <w:left w:val="nil"/>
              <w:bottom w:val="single" w:color="auto" w:sz="4" w:space="0"/>
              <w:right w:val="single" w:color="auto" w:sz="4" w:space="0"/>
            </w:tcBorders>
            <w:noWrap w:val="0"/>
            <w:vAlign w:val="center"/>
          </w:tcPr>
          <w:p w14:paraId="270FDF1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44E734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ED2BA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水利工程监理合同金额＜100万，系数为0；2.100万≤水利工程监理合同金额＜500万，系数为1；3.500万≤水利工程监理合同金额，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377B8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4644D5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2DD9EC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C5B410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C2328200</w:t>
            </w:r>
          </w:p>
        </w:tc>
      </w:tr>
      <w:tr w14:paraId="335687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7"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48D04B5A">
            <w:pPr>
              <w:widowControl/>
              <w:jc w:val="center"/>
              <w:outlineLvl w:val="1"/>
              <w:rPr>
                <w:rFonts w:hint="eastAsia" w:ascii="宋体" w:hAnsi="宋体" w:eastAsia="宋体" w:cs="宋体"/>
                <w:color w:val="auto"/>
                <w:kern w:val="0"/>
                <w:szCs w:val="21"/>
                <w:highlight w:val="none"/>
              </w:rPr>
            </w:pPr>
            <w:bookmarkStart w:id="297" w:name="_Toc2085273921"/>
            <w:bookmarkStart w:id="298" w:name="_Toc218468873"/>
            <w:r>
              <w:rPr>
                <w:rFonts w:hint="eastAsia" w:ascii="宋体" w:hAnsi="宋体" w:eastAsia="宋体" w:cs="宋体"/>
                <w:b/>
                <w:bCs/>
                <w:color w:val="auto"/>
                <w:kern w:val="0"/>
                <w:szCs w:val="21"/>
                <w:highlight w:val="none"/>
              </w:rPr>
              <w:t>《水利工程建设监理规定》案由2项</w:t>
            </w:r>
            <w:bookmarkEnd w:id="297"/>
            <w:bookmarkEnd w:id="298"/>
          </w:p>
        </w:tc>
        <w:tc>
          <w:tcPr>
            <w:tcW w:w="3173" w:type="dxa"/>
            <w:gridSpan w:val="3"/>
            <w:tcBorders>
              <w:top w:val="nil"/>
              <w:left w:val="single" w:color="auto" w:sz="4" w:space="0"/>
              <w:bottom w:val="single" w:color="auto" w:sz="4" w:space="0"/>
              <w:right w:val="single" w:color="auto" w:sz="4" w:space="0"/>
            </w:tcBorders>
            <w:noWrap w:val="0"/>
            <w:vAlign w:val="center"/>
          </w:tcPr>
          <w:p w14:paraId="14EB2645">
            <w:pPr>
              <w:widowControl/>
              <w:jc w:val="center"/>
              <w:outlineLvl w:val="1"/>
              <w:rPr>
                <w:rFonts w:hint="eastAsia" w:ascii="宋体" w:hAnsi="宋体" w:eastAsia="宋体" w:cs="宋体"/>
                <w:b/>
                <w:bCs/>
                <w:color w:val="auto"/>
                <w:kern w:val="0"/>
                <w:szCs w:val="21"/>
                <w:highlight w:val="none"/>
              </w:rPr>
            </w:pPr>
          </w:p>
        </w:tc>
      </w:tr>
      <w:tr w14:paraId="607413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604" w:hRule="atLeast"/>
        </w:trPr>
        <w:tc>
          <w:tcPr>
            <w:tcW w:w="716" w:type="dxa"/>
            <w:gridSpan w:val="2"/>
            <w:tcBorders>
              <w:top w:val="nil"/>
              <w:left w:val="single" w:color="auto" w:sz="4" w:space="0"/>
              <w:bottom w:val="single" w:color="auto" w:sz="4" w:space="0"/>
              <w:right w:val="single" w:color="auto" w:sz="4" w:space="0"/>
            </w:tcBorders>
            <w:noWrap w:val="0"/>
            <w:vAlign w:val="center"/>
          </w:tcPr>
          <w:p w14:paraId="492589D5">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ascii="Times New Roman" w:hAnsi="Times New Roman" w:eastAsia="宋体" w:cs="Times New Roman"/>
                <w:color w:val="000000"/>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695AA1F8">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水利工程建设监理单位聘用无相应资格</w:t>
            </w:r>
            <w:r>
              <w:rPr>
                <w:rFonts w:hint="eastAsia" w:ascii="宋体" w:hAnsi="宋体" w:eastAsia="宋体" w:cs="宋体"/>
                <w:color w:val="000000"/>
                <w:kern w:val="0"/>
                <w:sz w:val="15"/>
                <w:szCs w:val="15"/>
                <w:highlight w:val="none"/>
                <w:lang w:eastAsia="zh-CN"/>
              </w:rPr>
              <w:t>或者不符合条件</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监理</w:t>
            </w:r>
            <w:r>
              <w:rPr>
                <w:rFonts w:hint="eastAsia" w:ascii="宋体" w:hAnsi="宋体" w:eastAsia="宋体" w:cs="宋体"/>
                <w:color w:val="000000"/>
                <w:kern w:val="0"/>
                <w:sz w:val="15"/>
                <w:szCs w:val="15"/>
                <w:highlight w:val="none"/>
              </w:rPr>
              <w:t>人员从事监理业务</w:t>
            </w:r>
          </w:p>
        </w:tc>
        <w:tc>
          <w:tcPr>
            <w:tcW w:w="2981" w:type="dxa"/>
            <w:tcBorders>
              <w:top w:val="nil"/>
              <w:left w:val="nil"/>
              <w:bottom w:val="single" w:color="auto" w:sz="4" w:space="0"/>
              <w:right w:val="single" w:color="auto" w:sz="4" w:space="0"/>
            </w:tcBorders>
            <w:noWrap w:val="0"/>
            <w:vAlign w:val="center"/>
          </w:tcPr>
          <w:p w14:paraId="2F2049F2">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十五</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三十七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51" w:type="dxa"/>
            <w:tcBorders>
              <w:top w:val="nil"/>
              <w:left w:val="nil"/>
              <w:bottom w:val="single" w:color="auto" w:sz="4" w:space="0"/>
              <w:right w:val="single" w:color="auto" w:sz="4" w:space="0"/>
            </w:tcBorders>
            <w:noWrap w:val="0"/>
            <w:vAlign w:val="center"/>
          </w:tcPr>
          <w:p w14:paraId="443806F9">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0"/>
            <w:vAlign w:val="center"/>
          </w:tcPr>
          <w:p w14:paraId="676C3A9B">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w:t>
            </w:r>
          </w:p>
        </w:tc>
        <w:tc>
          <w:tcPr>
            <w:tcW w:w="2376" w:type="dxa"/>
            <w:tcBorders>
              <w:top w:val="nil"/>
              <w:left w:val="nil"/>
              <w:bottom w:val="single" w:color="auto" w:sz="4" w:space="0"/>
              <w:right w:val="single" w:color="auto" w:sz="4" w:space="0"/>
            </w:tcBorders>
            <w:noWrap w:val="0"/>
            <w:vAlign w:val="center"/>
          </w:tcPr>
          <w:p w14:paraId="2D2D7A95">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1.涉及1-2名监理人员，系数为0；涉及3-4名监理人员，系数为1；涉及5名及以上监理人员，系数为2。2.涉及总监理工程师，系数加1；造成严重影响的，系数加2。3</w:t>
            </w:r>
            <w:r>
              <w:rPr>
                <w:rFonts w:hint="eastAsia" w:ascii="宋体" w:hAnsi="宋体" w:eastAsia="宋体" w:cs="宋体"/>
                <w:color w:val="000000"/>
                <w:kern w:val="0"/>
                <w:sz w:val="15"/>
                <w:szCs w:val="15"/>
                <w:highlight w:val="none"/>
              </w:rPr>
              <w:t>.存在基准2.1.3规定情形的，系数按照相关规定确定（基准2.1.3.5不适用）。</w:t>
            </w:r>
          </w:p>
          <w:p w14:paraId="0CFF41FA">
            <w:pPr>
              <w:widowControl/>
              <w:jc w:val="left"/>
              <w:rPr>
                <w:rFonts w:hint="eastAsia" w:ascii="宋体" w:hAnsi="宋体" w:eastAsia="宋体" w:cs="宋体"/>
                <w:color w:val="000000"/>
                <w:kern w:val="0"/>
                <w:sz w:val="15"/>
                <w:szCs w:val="15"/>
                <w:highlight w:val="none"/>
                <w:lang w:val="en-US" w:eastAsia="zh-CN" w:bidi="ar-SA"/>
              </w:rPr>
            </w:pPr>
          </w:p>
        </w:tc>
        <w:tc>
          <w:tcPr>
            <w:tcW w:w="1879" w:type="dxa"/>
            <w:gridSpan w:val="3"/>
            <w:tcBorders>
              <w:top w:val="nil"/>
              <w:left w:val="nil"/>
              <w:bottom w:val="single" w:color="auto" w:sz="4" w:space="0"/>
              <w:right w:val="single" w:color="auto" w:sz="4" w:space="0"/>
            </w:tcBorders>
            <w:noWrap w:val="0"/>
            <w:vAlign w:val="center"/>
          </w:tcPr>
          <w:p w14:paraId="336DEFB4">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14:paraId="23EB4C6D">
            <w:pPr>
              <w:widowControl/>
              <w:numPr>
                <w:ilvl w:val="0"/>
                <w:numId w:val="9"/>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2C6A9FDF">
            <w:pPr>
              <w:widowControl/>
              <w:numPr>
                <w:ilvl w:val="0"/>
                <w:numId w:val="0"/>
              </w:numPr>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14:paraId="1BAF7A00">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C712E30">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C2327500</w:t>
            </w:r>
          </w:p>
        </w:tc>
      </w:tr>
      <w:tr w14:paraId="77AF99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66" w:hRule="atLeast"/>
        </w:trPr>
        <w:tc>
          <w:tcPr>
            <w:tcW w:w="716" w:type="dxa"/>
            <w:gridSpan w:val="2"/>
            <w:tcBorders>
              <w:top w:val="nil"/>
              <w:left w:val="single" w:color="auto" w:sz="4" w:space="0"/>
              <w:bottom w:val="single" w:color="auto" w:sz="4" w:space="0"/>
              <w:right w:val="single" w:color="auto" w:sz="4" w:space="0"/>
            </w:tcBorders>
            <w:noWrap w:val="0"/>
            <w:vAlign w:val="center"/>
          </w:tcPr>
          <w:p w14:paraId="45BD0C0C">
            <w:pPr>
              <w:widowControl/>
              <w:jc w:val="center"/>
              <w:rPr>
                <w:rFonts w:hint="eastAsia" w:ascii="Times New Roman" w:hAnsi="Times New Roman" w:eastAsia="宋体" w:cs="Times New Roman"/>
                <w:color w:val="000000"/>
                <w:kern w:val="0"/>
                <w:sz w:val="15"/>
                <w:szCs w:val="15"/>
                <w:highlight w:val="none"/>
                <w:lang w:val="en-US" w:eastAsia="zh-CN" w:bidi="ar-SA"/>
              </w:rPr>
            </w:pPr>
            <w:bookmarkStart w:id="299" w:name="_Toc218468874"/>
            <w:r>
              <w:rPr>
                <w:rFonts w:ascii="Times New Roman" w:hAnsi="Times New Roman" w:eastAsia="宋体" w:cs="Times New Roman"/>
                <w:color w:val="000000"/>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6F109A48">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水利工程建设监理单位拒绝提供或者篡改、伪造工程建设监理文件和资料</w:t>
            </w:r>
          </w:p>
        </w:tc>
        <w:tc>
          <w:tcPr>
            <w:tcW w:w="2981" w:type="dxa"/>
            <w:tcBorders>
              <w:top w:val="nil"/>
              <w:left w:val="nil"/>
              <w:bottom w:val="single" w:color="auto" w:sz="4" w:space="0"/>
              <w:right w:val="single" w:color="auto" w:sz="4" w:space="0"/>
            </w:tcBorders>
            <w:noWrap w:val="0"/>
            <w:vAlign w:val="center"/>
          </w:tcPr>
          <w:p w14:paraId="467ADEFF">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违反条款：第三十条第（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四</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51" w:type="dxa"/>
            <w:tcBorders>
              <w:top w:val="nil"/>
              <w:left w:val="nil"/>
              <w:bottom w:val="single" w:color="auto" w:sz="4" w:space="0"/>
              <w:right w:val="single" w:color="auto" w:sz="4" w:space="0"/>
            </w:tcBorders>
            <w:noWrap w:val="0"/>
            <w:vAlign w:val="center"/>
          </w:tcPr>
          <w:p w14:paraId="16FDBC34">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0"/>
            <w:vAlign w:val="center"/>
          </w:tcPr>
          <w:p w14:paraId="065C65D5">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w:t>
            </w:r>
          </w:p>
        </w:tc>
        <w:tc>
          <w:tcPr>
            <w:tcW w:w="2376" w:type="dxa"/>
            <w:tcBorders>
              <w:top w:val="nil"/>
              <w:left w:val="nil"/>
              <w:bottom w:val="single" w:color="auto" w:sz="4" w:space="0"/>
              <w:right w:val="single" w:color="auto" w:sz="4" w:space="0"/>
            </w:tcBorders>
            <w:noWrap w:val="0"/>
            <w:vAlign w:val="center"/>
          </w:tcPr>
          <w:p w14:paraId="5374B6E6">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1.涉及1类文件资料，系数为0；涉及2类文件资料，系数为1；涉及3类及以上文件资料，系数为2。2.造成严重影响的，系数加2。3</w:t>
            </w:r>
            <w:r>
              <w:rPr>
                <w:rFonts w:hint="eastAsia" w:ascii="宋体" w:hAnsi="宋体" w:eastAsia="宋体" w:cs="宋体"/>
                <w:color w:val="000000"/>
                <w:kern w:val="0"/>
                <w:sz w:val="15"/>
                <w:szCs w:val="15"/>
                <w:highlight w:val="none"/>
              </w:rPr>
              <w:t>.存在基准2.1.3规定情形的，系数按照相关规定确定（基准</w:t>
            </w:r>
            <w:r>
              <w:rPr>
                <w:rFonts w:hint="eastAsia" w:ascii="宋体" w:hAnsi="宋体" w:eastAsia="宋体" w:cs="宋体"/>
                <w:color w:val="000000"/>
                <w:kern w:val="0"/>
                <w:sz w:val="15"/>
                <w:szCs w:val="15"/>
                <w:highlight w:val="none"/>
                <w:lang w:val="en-US"/>
              </w:rPr>
              <w:t>2.1.3.2</w:t>
            </w:r>
            <w:r>
              <w:rPr>
                <w:rFonts w:hint="eastAsia" w:ascii="宋体" w:hAnsi="宋体" w:eastAsia="宋体" w:cs="宋体"/>
                <w:color w:val="000000"/>
                <w:kern w:val="0"/>
                <w:sz w:val="15"/>
                <w:szCs w:val="15"/>
                <w:highlight w:val="none"/>
                <w:lang w:val="en-US" w:eastAsia="zh-CN"/>
              </w:rPr>
              <w:t>、</w:t>
            </w:r>
            <w:r>
              <w:rPr>
                <w:rFonts w:hint="eastAsia" w:ascii="宋体" w:hAnsi="宋体" w:eastAsia="宋体" w:cs="宋体"/>
                <w:color w:val="000000"/>
                <w:kern w:val="0"/>
                <w:sz w:val="15"/>
                <w:szCs w:val="15"/>
                <w:highlight w:val="none"/>
              </w:rPr>
              <w:t>2.1.3.5不适用）。</w:t>
            </w:r>
          </w:p>
          <w:p w14:paraId="3A424E55">
            <w:pPr>
              <w:widowControl/>
              <w:jc w:val="center"/>
              <w:rPr>
                <w:rFonts w:hint="eastAsia" w:ascii="宋体" w:hAnsi="宋体" w:eastAsia="宋体" w:cs="宋体"/>
                <w:color w:val="000000"/>
                <w:kern w:val="0"/>
                <w:sz w:val="15"/>
                <w:szCs w:val="15"/>
                <w:highlight w:val="none"/>
                <w:lang w:val="en-US" w:eastAsia="zh-CN" w:bidi="ar-SA"/>
              </w:rPr>
            </w:pPr>
          </w:p>
        </w:tc>
        <w:tc>
          <w:tcPr>
            <w:tcW w:w="1879" w:type="dxa"/>
            <w:gridSpan w:val="3"/>
            <w:tcBorders>
              <w:top w:val="nil"/>
              <w:left w:val="nil"/>
              <w:bottom w:val="single" w:color="auto" w:sz="4" w:space="0"/>
              <w:right w:val="single" w:color="auto" w:sz="4" w:space="0"/>
            </w:tcBorders>
            <w:noWrap w:val="0"/>
            <w:vAlign w:val="center"/>
          </w:tcPr>
          <w:p w14:paraId="187720DC">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14:paraId="648F8474">
            <w:pPr>
              <w:widowControl/>
              <w:numPr>
                <w:ilvl w:val="0"/>
                <w:numId w:val="10"/>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2888C85B">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14:paraId="143E1334">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8133E1C">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C2327600</w:t>
            </w:r>
          </w:p>
        </w:tc>
      </w:tr>
      <w:tr w14:paraId="1E81BF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67845553">
            <w:pPr>
              <w:widowControl/>
              <w:jc w:val="center"/>
              <w:outlineLvl w:val="1"/>
              <w:rPr>
                <w:rFonts w:hint="eastAsia" w:ascii="宋体" w:hAnsi="宋体" w:eastAsia="宋体" w:cs="宋体"/>
                <w:color w:val="auto"/>
                <w:kern w:val="0"/>
                <w:szCs w:val="21"/>
                <w:highlight w:val="none"/>
              </w:rPr>
            </w:pPr>
            <w:bookmarkStart w:id="300" w:name="_Toc1083469754"/>
            <w:r>
              <w:rPr>
                <w:rFonts w:hint="eastAsia" w:ascii="宋体" w:hAnsi="宋体" w:eastAsia="宋体" w:cs="宋体"/>
                <w:b/>
                <w:bCs/>
                <w:color w:val="auto"/>
                <w:kern w:val="0"/>
                <w:szCs w:val="21"/>
                <w:highlight w:val="none"/>
              </w:rPr>
              <w:t>《水利工程质量检测管理规定》案由5项</w:t>
            </w:r>
            <w:bookmarkEnd w:id="299"/>
            <w:bookmarkEnd w:id="300"/>
          </w:p>
        </w:tc>
        <w:tc>
          <w:tcPr>
            <w:tcW w:w="3173" w:type="dxa"/>
            <w:gridSpan w:val="3"/>
            <w:tcBorders>
              <w:top w:val="nil"/>
              <w:left w:val="single" w:color="auto" w:sz="4" w:space="0"/>
              <w:bottom w:val="single" w:color="auto" w:sz="4" w:space="0"/>
              <w:right w:val="single" w:color="auto" w:sz="4" w:space="0"/>
            </w:tcBorders>
            <w:noWrap w:val="0"/>
            <w:vAlign w:val="center"/>
          </w:tcPr>
          <w:p w14:paraId="254D50D7">
            <w:pPr>
              <w:widowControl/>
              <w:jc w:val="center"/>
              <w:outlineLvl w:val="1"/>
              <w:rPr>
                <w:rFonts w:hint="eastAsia" w:ascii="宋体" w:hAnsi="宋体" w:eastAsia="宋体" w:cs="宋体"/>
                <w:b/>
                <w:bCs/>
                <w:color w:val="auto"/>
                <w:kern w:val="0"/>
                <w:szCs w:val="21"/>
                <w:highlight w:val="none"/>
              </w:rPr>
            </w:pPr>
          </w:p>
        </w:tc>
      </w:tr>
      <w:tr w14:paraId="4B6ED5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23F68F4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1C222D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未取得相应的资质，擅自承担检测业务</w:t>
            </w:r>
          </w:p>
        </w:tc>
        <w:tc>
          <w:tcPr>
            <w:tcW w:w="2981" w:type="dxa"/>
            <w:tcBorders>
              <w:top w:val="nil"/>
              <w:left w:val="nil"/>
              <w:bottom w:val="single" w:color="auto" w:sz="4" w:space="0"/>
              <w:right w:val="single" w:color="auto" w:sz="4" w:space="0"/>
            </w:tcBorders>
            <w:noWrap w:val="0"/>
            <w:vAlign w:val="center"/>
          </w:tcPr>
          <w:p w14:paraId="6AF1FBA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处罚条款：第二十四条，责令改正，可并处1万元以上3万元以下的罚款。</w:t>
            </w:r>
          </w:p>
        </w:tc>
        <w:tc>
          <w:tcPr>
            <w:tcW w:w="851" w:type="dxa"/>
            <w:tcBorders>
              <w:top w:val="nil"/>
              <w:left w:val="nil"/>
              <w:bottom w:val="single" w:color="auto" w:sz="4" w:space="0"/>
              <w:right w:val="single" w:color="auto" w:sz="4" w:space="0"/>
            </w:tcBorders>
            <w:noWrap w:val="0"/>
            <w:vAlign w:val="center"/>
          </w:tcPr>
          <w:p w14:paraId="37963A3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339C0A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D9BA5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E63A8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4BE41A7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3846C02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205CAD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C2321500</w:t>
            </w:r>
          </w:p>
        </w:tc>
      </w:tr>
      <w:tr w14:paraId="7E35A8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6FACFF7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5F608A7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隐瞒有关情况或者提供虚假材料申请资质</w:t>
            </w:r>
          </w:p>
        </w:tc>
        <w:tc>
          <w:tcPr>
            <w:tcW w:w="2981" w:type="dxa"/>
            <w:tcBorders>
              <w:top w:val="nil"/>
              <w:left w:val="nil"/>
              <w:bottom w:val="single" w:color="auto" w:sz="4" w:space="0"/>
              <w:right w:val="single" w:color="auto" w:sz="4" w:space="0"/>
            </w:tcBorders>
            <w:noWrap w:val="0"/>
            <w:vAlign w:val="center"/>
          </w:tcPr>
          <w:p w14:paraId="2FD505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处罚条款：第二十五条，给予警告或者通报批评，二年之内不得再次申请资质。</w:t>
            </w:r>
          </w:p>
        </w:tc>
        <w:tc>
          <w:tcPr>
            <w:tcW w:w="851" w:type="dxa"/>
            <w:tcBorders>
              <w:top w:val="nil"/>
              <w:left w:val="nil"/>
              <w:bottom w:val="single" w:color="auto" w:sz="4" w:space="0"/>
              <w:right w:val="single" w:color="auto" w:sz="4" w:space="0"/>
            </w:tcBorders>
            <w:noWrap w:val="0"/>
            <w:vAlign w:val="center"/>
          </w:tcPr>
          <w:p w14:paraId="0CDA482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50FA3F8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75677D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（一）隐瞒或者提供虚假材料申请乙级资质的，给予警告；（二）隐瞒或者提供虚假材料申请甲级资质或造成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恶劣影响的，给予通报批评。</w:t>
            </w:r>
          </w:p>
        </w:tc>
        <w:tc>
          <w:tcPr>
            <w:tcW w:w="1879" w:type="dxa"/>
            <w:gridSpan w:val="3"/>
            <w:tcBorders>
              <w:top w:val="nil"/>
              <w:left w:val="nil"/>
              <w:bottom w:val="single" w:color="auto" w:sz="4" w:space="0"/>
              <w:right w:val="single" w:color="auto" w:sz="4" w:space="0"/>
            </w:tcBorders>
            <w:noWrap w:val="0"/>
            <w:vAlign w:val="center"/>
          </w:tcPr>
          <w:p w14:paraId="6622DD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617923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3E67E9D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CD8827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C2321600</w:t>
            </w:r>
          </w:p>
        </w:tc>
      </w:tr>
      <w:tr w14:paraId="0C547B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124137A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64335A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以欺骗、贿赂等不正当手段取得《资质等级证书》</w:t>
            </w:r>
          </w:p>
        </w:tc>
        <w:tc>
          <w:tcPr>
            <w:tcW w:w="2981" w:type="dxa"/>
            <w:tcBorders>
              <w:top w:val="nil"/>
              <w:left w:val="nil"/>
              <w:bottom w:val="single" w:color="auto" w:sz="4" w:space="0"/>
              <w:right w:val="single" w:color="auto" w:sz="4" w:space="0"/>
            </w:tcBorders>
            <w:noWrap w:val="0"/>
            <w:vAlign w:val="center"/>
          </w:tcPr>
          <w:p w14:paraId="3B4D130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处罚条款：第二十六条，3年内不得再次申请，可并处1万元以上3万元以下的罚款。</w:t>
            </w:r>
          </w:p>
        </w:tc>
        <w:tc>
          <w:tcPr>
            <w:tcW w:w="851" w:type="dxa"/>
            <w:tcBorders>
              <w:top w:val="nil"/>
              <w:left w:val="nil"/>
              <w:bottom w:val="single" w:color="auto" w:sz="4" w:space="0"/>
              <w:right w:val="single" w:color="auto" w:sz="4" w:space="0"/>
            </w:tcBorders>
            <w:noWrap w:val="0"/>
            <w:vAlign w:val="center"/>
          </w:tcPr>
          <w:p w14:paraId="27267C6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EC7378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5A97A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1.以欺骗、贿赂等不正当手段取得乙级资质，系数为0；2.以欺骗、贿赂等不正当手段取得甲级资质，系数为1；3.造成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E1F5DE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137E349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9C56A8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894B98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C2321700</w:t>
            </w:r>
          </w:p>
        </w:tc>
      </w:tr>
      <w:tr w14:paraId="62D7BD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242B4FC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3E280C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水利工程质量检测单位超出资质等级范围从事检测活动</w:t>
            </w:r>
          </w:p>
        </w:tc>
        <w:tc>
          <w:tcPr>
            <w:tcW w:w="2981" w:type="dxa"/>
            <w:tcBorders>
              <w:top w:val="nil"/>
              <w:left w:val="nil"/>
              <w:bottom w:val="single" w:color="auto" w:sz="4" w:space="0"/>
              <w:right w:val="single" w:color="auto" w:sz="4" w:space="0"/>
            </w:tcBorders>
            <w:noWrap w:val="0"/>
            <w:vAlign w:val="center"/>
          </w:tcPr>
          <w:p w14:paraId="645D51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处罚条款：第二十七条第一款第（一）项，责令改正，有违法所得的，没收违法所得，可并处1万元以上3万元以下的罚款。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14:paraId="79157D8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15C4D7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86A64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2DF7F89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115A7E0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328A9D7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AF07B36">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C2321800</w:t>
            </w:r>
          </w:p>
        </w:tc>
      </w:tr>
      <w:tr w14:paraId="707873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6573576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14:paraId="589CFA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水利工程质量检测单位涂改、倒卖、出租、出借或者以其他形式非法转让《资质等级证书》</w:t>
            </w:r>
          </w:p>
        </w:tc>
        <w:tc>
          <w:tcPr>
            <w:tcW w:w="2981" w:type="dxa"/>
            <w:tcBorders>
              <w:top w:val="nil"/>
              <w:left w:val="nil"/>
              <w:bottom w:val="single" w:color="auto" w:sz="4" w:space="0"/>
              <w:right w:val="single" w:color="auto" w:sz="4" w:space="0"/>
            </w:tcBorders>
            <w:noWrap w:val="0"/>
            <w:vAlign w:val="center"/>
          </w:tcPr>
          <w:p w14:paraId="1559C1A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处罚条款：第二十七条第一款第（二）项，责令改正，有违法所得的，没收违法所得，可并处1万元以上3万元以下的罚款。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14:paraId="17A258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54E9F5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52697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179CF18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54E85E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110F5A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B277F3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C2321900</w:t>
            </w:r>
          </w:p>
        </w:tc>
      </w:tr>
      <w:tr w14:paraId="148E4A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7EC00421">
            <w:pPr>
              <w:widowControl/>
              <w:jc w:val="center"/>
              <w:outlineLvl w:val="1"/>
              <w:rPr>
                <w:rFonts w:hint="eastAsia" w:ascii="宋体" w:hAnsi="宋体" w:eastAsia="宋体" w:cs="宋体"/>
                <w:color w:val="auto"/>
                <w:kern w:val="0"/>
                <w:szCs w:val="21"/>
                <w:highlight w:val="none"/>
              </w:rPr>
            </w:pPr>
            <w:bookmarkStart w:id="301" w:name="_Toc1980735967"/>
            <w:bookmarkStart w:id="302" w:name="_Toc218468875"/>
            <w:r>
              <w:rPr>
                <w:rFonts w:hint="eastAsia" w:ascii="宋体" w:hAnsi="宋体" w:eastAsia="宋体" w:cs="宋体"/>
                <w:b/>
                <w:bCs/>
                <w:color w:val="auto"/>
                <w:kern w:val="0"/>
                <w:szCs w:val="21"/>
                <w:highlight w:val="none"/>
              </w:rPr>
              <w:t>《市政公用事业特许经营管理办法》案由1项</w:t>
            </w:r>
            <w:bookmarkEnd w:id="301"/>
            <w:bookmarkEnd w:id="302"/>
          </w:p>
        </w:tc>
        <w:tc>
          <w:tcPr>
            <w:tcW w:w="3173" w:type="dxa"/>
            <w:gridSpan w:val="3"/>
            <w:tcBorders>
              <w:top w:val="nil"/>
              <w:left w:val="single" w:color="auto" w:sz="4" w:space="0"/>
              <w:bottom w:val="single" w:color="auto" w:sz="4" w:space="0"/>
              <w:right w:val="single" w:color="auto" w:sz="4" w:space="0"/>
            </w:tcBorders>
            <w:noWrap w:val="0"/>
            <w:vAlign w:val="center"/>
          </w:tcPr>
          <w:p w14:paraId="653BDCE8">
            <w:pPr>
              <w:widowControl/>
              <w:jc w:val="center"/>
              <w:outlineLvl w:val="1"/>
              <w:rPr>
                <w:rFonts w:hint="eastAsia" w:ascii="宋体" w:hAnsi="宋体" w:eastAsia="宋体" w:cs="宋体"/>
                <w:b/>
                <w:bCs/>
                <w:color w:val="auto"/>
                <w:kern w:val="0"/>
                <w:szCs w:val="21"/>
                <w:highlight w:val="none"/>
              </w:rPr>
            </w:pPr>
          </w:p>
        </w:tc>
      </w:tr>
      <w:tr w14:paraId="3D0E0A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62834E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1C515A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以欺骗、贿赂等不正当手段获得水务特许经营权的企业</w:t>
            </w:r>
          </w:p>
        </w:tc>
        <w:tc>
          <w:tcPr>
            <w:tcW w:w="2981" w:type="dxa"/>
            <w:tcBorders>
              <w:top w:val="nil"/>
              <w:left w:val="nil"/>
              <w:bottom w:val="single" w:color="auto" w:sz="4" w:space="0"/>
              <w:right w:val="single" w:color="auto" w:sz="4" w:space="0"/>
            </w:tcBorders>
            <w:noWrap w:val="0"/>
            <w:vAlign w:val="center"/>
          </w:tcPr>
          <w:p w14:paraId="6B1268C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处罚条款：第二十八条，取消其特许经营权，三年内不得参与市政公用事业特许经营竞标。</w:t>
            </w:r>
          </w:p>
        </w:tc>
        <w:tc>
          <w:tcPr>
            <w:tcW w:w="851" w:type="dxa"/>
            <w:tcBorders>
              <w:top w:val="nil"/>
              <w:left w:val="nil"/>
              <w:bottom w:val="single" w:color="auto" w:sz="4" w:space="0"/>
              <w:right w:val="single" w:color="auto" w:sz="4" w:space="0"/>
            </w:tcBorders>
            <w:noWrap w:val="0"/>
            <w:vAlign w:val="center"/>
          </w:tcPr>
          <w:p w14:paraId="5A726EE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0641C85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47D07C7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14:paraId="1C6262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512F476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05884F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36C911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C2345400</w:t>
            </w:r>
          </w:p>
        </w:tc>
      </w:tr>
      <w:tr w14:paraId="18A94D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57565B36">
            <w:pPr>
              <w:widowControl/>
              <w:jc w:val="center"/>
              <w:outlineLvl w:val="1"/>
              <w:rPr>
                <w:rFonts w:hint="eastAsia" w:ascii="宋体" w:hAnsi="宋体" w:eastAsia="宋体" w:cs="宋体"/>
                <w:color w:val="auto"/>
                <w:kern w:val="0"/>
                <w:szCs w:val="21"/>
                <w:highlight w:val="none"/>
              </w:rPr>
            </w:pPr>
            <w:bookmarkStart w:id="303" w:name="_Toc734146450"/>
            <w:bookmarkStart w:id="304" w:name="_Toc218468876"/>
            <w:r>
              <w:rPr>
                <w:rFonts w:hint="eastAsia" w:ascii="宋体" w:hAnsi="宋体" w:eastAsia="宋体" w:cs="宋体"/>
                <w:b/>
                <w:bCs/>
                <w:color w:val="auto"/>
                <w:kern w:val="0"/>
                <w:szCs w:val="21"/>
                <w:highlight w:val="none"/>
              </w:rPr>
              <w:t>《注册造价工程师管理办法》案由3项</w:t>
            </w:r>
            <w:bookmarkEnd w:id="303"/>
            <w:bookmarkEnd w:id="304"/>
          </w:p>
        </w:tc>
        <w:tc>
          <w:tcPr>
            <w:tcW w:w="3173" w:type="dxa"/>
            <w:gridSpan w:val="3"/>
            <w:tcBorders>
              <w:top w:val="nil"/>
              <w:left w:val="single" w:color="auto" w:sz="4" w:space="0"/>
              <w:bottom w:val="single" w:color="auto" w:sz="4" w:space="0"/>
              <w:right w:val="single" w:color="auto" w:sz="4" w:space="0"/>
            </w:tcBorders>
            <w:noWrap w:val="0"/>
            <w:vAlign w:val="center"/>
          </w:tcPr>
          <w:p w14:paraId="08F03351">
            <w:pPr>
              <w:widowControl/>
              <w:jc w:val="center"/>
              <w:outlineLvl w:val="1"/>
              <w:rPr>
                <w:rFonts w:hint="eastAsia" w:ascii="宋体" w:hAnsi="宋体" w:eastAsia="宋体" w:cs="宋体"/>
                <w:b/>
                <w:bCs/>
                <w:color w:val="auto"/>
                <w:kern w:val="0"/>
                <w:szCs w:val="21"/>
                <w:highlight w:val="none"/>
              </w:rPr>
            </w:pPr>
          </w:p>
        </w:tc>
      </w:tr>
      <w:tr w14:paraId="66709E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0E770C9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1A8CBA7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未经注册而以注册造价工程师的名义从事水利工程造价活动</w:t>
            </w:r>
          </w:p>
        </w:tc>
        <w:tc>
          <w:tcPr>
            <w:tcW w:w="2981" w:type="dxa"/>
            <w:tcBorders>
              <w:top w:val="nil"/>
              <w:left w:val="nil"/>
              <w:bottom w:val="single" w:color="auto" w:sz="4" w:space="0"/>
              <w:right w:val="single" w:color="auto" w:sz="4" w:space="0"/>
            </w:tcBorders>
            <w:noWrap w:val="0"/>
            <w:vAlign w:val="center"/>
          </w:tcPr>
          <w:p w14:paraId="15B36D4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处罚条款：第三十四条，给予警告，责令停止违法活动，并可处以1万元以上3万元以下的罚款。</w:t>
            </w:r>
          </w:p>
        </w:tc>
        <w:tc>
          <w:tcPr>
            <w:tcW w:w="851" w:type="dxa"/>
            <w:tcBorders>
              <w:top w:val="nil"/>
              <w:left w:val="nil"/>
              <w:bottom w:val="single" w:color="auto" w:sz="4" w:space="0"/>
              <w:right w:val="single" w:color="auto" w:sz="4" w:space="0"/>
            </w:tcBorders>
            <w:noWrap w:val="0"/>
            <w:vAlign w:val="center"/>
          </w:tcPr>
          <w:p w14:paraId="79F94B0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A710B4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69F16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造价咨询合同金额＜10万，系数为0；2.10万≤造价咨询合同金额＜50万，系数为1；3.50万≤造价咨询合同金额，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A6AC8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4D4CADD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274C01E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CB97B8A">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C2337300</w:t>
            </w:r>
          </w:p>
        </w:tc>
      </w:tr>
      <w:tr w14:paraId="5C4F42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75A7702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4C39D01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注册造价工程师未办理变更注册而继续执业并参与水利工程造价活动</w:t>
            </w:r>
          </w:p>
        </w:tc>
        <w:tc>
          <w:tcPr>
            <w:tcW w:w="2981" w:type="dxa"/>
            <w:tcBorders>
              <w:top w:val="nil"/>
              <w:left w:val="nil"/>
              <w:bottom w:val="single" w:color="auto" w:sz="4" w:space="0"/>
              <w:right w:val="single" w:color="auto" w:sz="4" w:space="0"/>
            </w:tcBorders>
            <w:noWrap w:val="0"/>
            <w:vAlign w:val="center"/>
          </w:tcPr>
          <w:p w14:paraId="4F1D3C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处罚条款：第三十五条，责令限期改正；逾期未改正，可处以5000元以下的罚款。</w:t>
            </w:r>
          </w:p>
        </w:tc>
        <w:tc>
          <w:tcPr>
            <w:tcW w:w="851" w:type="dxa"/>
            <w:tcBorders>
              <w:top w:val="nil"/>
              <w:left w:val="nil"/>
              <w:bottom w:val="single" w:color="auto" w:sz="4" w:space="0"/>
              <w:right w:val="single" w:color="auto" w:sz="4" w:space="0"/>
            </w:tcBorders>
            <w:noWrap w:val="0"/>
            <w:vAlign w:val="center"/>
          </w:tcPr>
          <w:p w14:paraId="4F1A020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14:paraId="11761A9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C32A77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价咨询合同金额＜10万，系数为0；2.10万≤造价咨询合同金额＜20万，系数为2；3.20万≤造价咨询合同金额＜30万，系数为4；4.30万≤造价咨询合同金额＜50万，系数为6；5.50万≤造价咨询合同金额，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7E9EDC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14:paraId="112A7C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7B3A252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2409F0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C2337400</w:t>
            </w:r>
          </w:p>
        </w:tc>
      </w:tr>
      <w:tr w14:paraId="72A391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0"/>
            <w:vAlign w:val="center"/>
          </w:tcPr>
          <w:p w14:paraId="162C0A0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vMerge w:val="restart"/>
            <w:tcBorders>
              <w:top w:val="nil"/>
              <w:left w:val="single" w:color="auto" w:sz="4" w:space="0"/>
              <w:bottom w:val="single" w:color="auto" w:sz="4" w:space="0"/>
              <w:right w:val="single" w:color="auto" w:sz="4" w:space="0"/>
            </w:tcBorders>
            <w:noWrap w:val="0"/>
            <w:vAlign w:val="center"/>
          </w:tcPr>
          <w:p w14:paraId="7673A4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注册造价师存在禁止的行为</w:t>
            </w:r>
          </w:p>
        </w:tc>
        <w:tc>
          <w:tcPr>
            <w:tcW w:w="2981" w:type="dxa"/>
            <w:vMerge w:val="restart"/>
            <w:tcBorders>
              <w:top w:val="nil"/>
              <w:left w:val="single" w:color="auto" w:sz="4" w:space="0"/>
              <w:bottom w:val="single" w:color="auto" w:sz="4" w:space="0"/>
              <w:right w:val="single" w:color="auto" w:sz="4" w:space="0"/>
            </w:tcBorders>
            <w:noWrap w:val="0"/>
            <w:vAlign w:val="center"/>
          </w:tcPr>
          <w:p w14:paraId="7260718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处罚条款：第三十六条，给予警告，责令改正，没有违法所得的，处以1万元以下罚款，有违法所得的，处以违法所得3倍以下且不超过3万元的罚款。</w:t>
            </w:r>
          </w:p>
        </w:tc>
        <w:tc>
          <w:tcPr>
            <w:tcW w:w="851" w:type="dxa"/>
            <w:tcBorders>
              <w:top w:val="nil"/>
              <w:left w:val="nil"/>
              <w:bottom w:val="single" w:color="auto" w:sz="4" w:space="0"/>
              <w:right w:val="single" w:color="auto" w:sz="4" w:space="0"/>
            </w:tcBorders>
            <w:noWrap w:val="0"/>
            <w:vAlign w:val="center"/>
          </w:tcPr>
          <w:p w14:paraId="1E59FE2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245DDDB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1C7AB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给予警告，并处以下罚款：1.未造成危害后果，系数为0；2.影响项目造价准确性，系数为4；3.导致工程质量事故，系数为9。4.存在基准2.1.3规定情形的，系数按照相关规定确定（基准2.1.3.5不适用）。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D781A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14:paraId="7B2D36C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6D7B996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nil"/>
              <w:right w:val="single" w:color="auto" w:sz="4" w:space="0"/>
            </w:tcBorders>
            <w:noWrap w:val="0"/>
            <w:vAlign w:val="center"/>
          </w:tcPr>
          <w:p w14:paraId="411AD4D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C2337500</w:t>
            </w:r>
          </w:p>
        </w:tc>
      </w:tr>
      <w:tr w14:paraId="667BF7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38E23F21">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0B0BC710">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5F0916F5">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2D7BCCF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14:paraId="1AF64B1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BD4635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给予警告，并处以下罚款：1.未造成危害后果，系数为0；2.影响项目造价准确性，系数为1；3.导致工程质量事故，系数为2。4.存在基准2.1.3规定情形的，系数按照相关规定确定（基准2.1.3.5不适用）。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D4703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2016" w:type="dxa"/>
            <w:tcBorders>
              <w:top w:val="nil"/>
              <w:left w:val="nil"/>
              <w:bottom w:val="single" w:color="auto" w:sz="4" w:space="0"/>
              <w:right w:val="single" w:color="auto" w:sz="4" w:space="0"/>
            </w:tcBorders>
            <w:noWrap w:val="0"/>
            <w:vAlign w:val="center"/>
          </w:tcPr>
          <w:p w14:paraId="388E257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需要作出违法所得1倍以下且不超过3万元罚款决定的，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04BF34A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continue"/>
            <w:tcBorders>
              <w:left w:val="nil"/>
              <w:bottom w:val="single" w:color="auto" w:sz="4" w:space="0"/>
              <w:right w:val="single" w:color="auto" w:sz="4" w:space="0"/>
            </w:tcBorders>
            <w:noWrap w:val="0"/>
            <w:vAlign w:val="center"/>
          </w:tcPr>
          <w:p w14:paraId="1631AB3B">
            <w:pPr>
              <w:widowControl/>
              <w:jc w:val="center"/>
              <w:rPr>
                <w:rFonts w:hint="eastAsia" w:ascii="宋体" w:hAnsi="宋体" w:eastAsia="宋体" w:cs="宋体"/>
                <w:color w:val="auto"/>
                <w:kern w:val="0"/>
                <w:sz w:val="15"/>
                <w:szCs w:val="15"/>
                <w:highlight w:val="none"/>
                <w:lang w:eastAsia="zh-CN"/>
              </w:rPr>
            </w:pPr>
          </w:p>
        </w:tc>
      </w:tr>
      <w:tr w14:paraId="62BA79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3"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6AEDF8CC">
            <w:pPr>
              <w:widowControl/>
              <w:jc w:val="center"/>
              <w:outlineLvl w:val="0"/>
              <w:rPr>
                <w:rFonts w:ascii="Times New Roman" w:hAnsi="Times New Roman" w:eastAsia="宋体" w:cs="Times New Roman"/>
                <w:color w:val="auto"/>
                <w:kern w:val="0"/>
                <w:sz w:val="28"/>
                <w:szCs w:val="28"/>
                <w:highlight w:val="none"/>
              </w:rPr>
            </w:pPr>
            <w:bookmarkStart w:id="305" w:name="_Toc904582335"/>
            <w:bookmarkStart w:id="306" w:name="_Toc218468877"/>
            <w:r>
              <w:rPr>
                <w:rFonts w:hint="eastAsia" w:ascii="黑体" w:hAnsi="黑体" w:eastAsia="黑体" w:cs="黑体"/>
                <w:color w:val="auto"/>
                <w:kern w:val="0"/>
                <w:sz w:val="28"/>
                <w:szCs w:val="28"/>
                <w:highlight w:val="none"/>
              </w:rPr>
              <w:t>水文与水行政许可管理方面</w:t>
            </w:r>
            <w:bookmarkEnd w:id="305"/>
            <w:bookmarkEnd w:id="306"/>
          </w:p>
        </w:tc>
        <w:tc>
          <w:tcPr>
            <w:tcW w:w="3173" w:type="dxa"/>
            <w:gridSpan w:val="3"/>
            <w:tcBorders>
              <w:top w:val="nil"/>
              <w:left w:val="single" w:color="auto" w:sz="4" w:space="0"/>
              <w:bottom w:val="single" w:color="auto" w:sz="4" w:space="0"/>
              <w:right w:val="single" w:color="auto" w:sz="4" w:space="0"/>
            </w:tcBorders>
            <w:noWrap w:val="0"/>
            <w:vAlign w:val="center"/>
          </w:tcPr>
          <w:p w14:paraId="271CD8C6">
            <w:pPr>
              <w:widowControl/>
              <w:jc w:val="center"/>
              <w:outlineLvl w:val="0"/>
              <w:rPr>
                <w:rFonts w:hint="eastAsia" w:ascii="黑体" w:hAnsi="黑体" w:eastAsia="黑体" w:cs="黑体"/>
                <w:color w:val="auto"/>
                <w:kern w:val="0"/>
                <w:sz w:val="28"/>
                <w:szCs w:val="28"/>
                <w:highlight w:val="none"/>
              </w:rPr>
            </w:pPr>
          </w:p>
        </w:tc>
      </w:tr>
      <w:tr w14:paraId="31BE53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4B421363">
            <w:pPr>
              <w:widowControl/>
              <w:jc w:val="center"/>
              <w:outlineLvl w:val="1"/>
              <w:rPr>
                <w:rFonts w:hint="eastAsia" w:ascii="宋体" w:hAnsi="宋体" w:eastAsia="宋体" w:cs="宋体"/>
                <w:color w:val="auto"/>
                <w:kern w:val="0"/>
                <w:szCs w:val="21"/>
                <w:highlight w:val="none"/>
              </w:rPr>
            </w:pPr>
            <w:bookmarkStart w:id="307" w:name="_Toc218468878"/>
            <w:bookmarkStart w:id="308" w:name="_Toc12838676"/>
            <w:r>
              <w:rPr>
                <w:rFonts w:hint="eastAsia" w:ascii="宋体" w:hAnsi="宋体" w:eastAsia="宋体" w:cs="宋体"/>
                <w:b/>
                <w:bCs/>
                <w:color w:val="auto"/>
                <w:kern w:val="0"/>
                <w:szCs w:val="21"/>
                <w:highlight w:val="none"/>
              </w:rPr>
              <w:t>《中华人民共和国水文条例》案由5项</w:t>
            </w:r>
            <w:bookmarkEnd w:id="307"/>
            <w:bookmarkEnd w:id="308"/>
          </w:p>
        </w:tc>
        <w:tc>
          <w:tcPr>
            <w:tcW w:w="3173" w:type="dxa"/>
            <w:gridSpan w:val="3"/>
            <w:tcBorders>
              <w:top w:val="nil"/>
              <w:left w:val="single" w:color="auto" w:sz="4" w:space="0"/>
              <w:bottom w:val="single" w:color="auto" w:sz="4" w:space="0"/>
              <w:right w:val="single" w:color="auto" w:sz="4" w:space="0"/>
            </w:tcBorders>
            <w:noWrap w:val="0"/>
            <w:vAlign w:val="center"/>
          </w:tcPr>
          <w:p w14:paraId="715D8908">
            <w:pPr>
              <w:widowControl/>
              <w:jc w:val="center"/>
              <w:outlineLvl w:val="1"/>
              <w:rPr>
                <w:rFonts w:hint="eastAsia" w:ascii="宋体" w:hAnsi="宋体" w:eastAsia="宋体" w:cs="宋体"/>
                <w:b/>
                <w:bCs/>
                <w:color w:val="auto"/>
                <w:kern w:val="0"/>
                <w:szCs w:val="21"/>
                <w:highlight w:val="none"/>
              </w:rPr>
            </w:pPr>
          </w:p>
        </w:tc>
      </w:tr>
      <w:tr w14:paraId="1B7E66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7985C42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7705FA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不符合规定的条件从事水文活动</w:t>
            </w:r>
          </w:p>
        </w:tc>
        <w:tc>
          <w:tcPr>
            <w:tcW w:w="2981" w:type="dxa"/>
            <w:tcBorders>
              <w:top w:val="nil"/>
              <w:left w:val="nil"/>
              <w:bottom w:val="single" w:color="auto" w:sz="4" w:space="0"/>
              <w:right w:val="single" w:color="auto" w:sz="4" w:space="0"/>
            </w:tcBorders>
            <w:noWrap w:val="0"/>
            <w:vAlign w:val="center"/>
          </w:tcPr>
          <w:p w14:paraId="014A29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处罚条款：第三十八条，责令停止违法行为，没收违法所得，并处5万元以上10万元以下罚款。</w:t>
            </w:r>
          </w:p>
        </w:tc>
        <w:tc>
          <w:tcPr>
            <w:tcW w:w="851" w:type="dxa"/>
            <w:tcBorders>
              <w:top w:val="nil"/>
              <w:left w:val="nil"/>
              <w:bottom w:val="single" w:color="auto" w:sz="4" w:space="0"/>
              <w:right w:val="single" w:color="auto" w:sz="4" w:space="0"/>
            </w:tcBorders>
            <w:noWrap w:val="0"/>
            <w:vAlign w:val="center"/>
          </w:tcPr>
          <w:p w14:paraId="58DD8E6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61722D3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3E4AD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1.不符合本条例第二十四条规定的1项条件，系数为0，每增加1项，系数加1。2.存在基准2.1.3规定情形的，系数按照相关规定确定（基准2.1.3.5不适用）。同时没收违法所得。</w:t>
            </w:r>
          </w:p>
        </w:tc>
        <w:tc>
          <w:tcPr>
            <w:tcW w:w="1879" w:type="dxa"/>
            <w:gridSpan w:val="3"/>
            <w:tcBorders>
              <w:top w:val="nil"/>
              <w:left w:val="nil"/>
              <w:bottom w:val="single" w:color="auto" w:sz="4" w:space="0"/>
              <w:right w:val="single" w:color="auto" w:sz="4" w:space="0"/>
            </w:tcBorders>
            <w:noWrap w:val="0"/>
            <w:vAlign w:val="center"/>
          </w:tcPr>
          <w:p w14:paraId="11497EE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76F577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E8DA15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0ED21B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C2313100</w:t>
            </w:r>
          </w:p>
        </w:tc>
      </w:tr>
      <w:tr w14:paraId="5307DD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6860822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67C260C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拒不汇交水文监测资料</w:t>
            </w:r>
          </w:p>
        </w:tc>
        <w:tc>
          <w:tcPr>
            <w:tcW w:w="2981" w:type="dxa"/>
            <w:tcBorders>
              <w:top w:val="nil"/>
              <w:left w:val="nil"/>
              <w:bottom w:val="single" w:color="auto" w:sz="4" w:space="0"/>
              <w:right w:val="single" w:color="auto" w:sz="4" w:space="0"/>
            </w:tcBorders>
            <w:noWrap w:val="0"/>
            <w:vAlign w:val="center"/>
          </w:tcPr>
          <w:p w14:paraId="3CDB7D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w:t>
            </w:r>
            <w:r>
              <w:rPr>
                <w:rFonts w:hint="eastAsia" w:ascii="宋体" w:hAnsi="宋体" w:cs="宋体"/>
                <w:color w:val="auto"/>
                <w:kern w:val="0"/>
                <w:sz w:val="15"/>
                <w:szCs w:val="15"/>
                <w:highlight w:val="none"/>
                <w:lang w:eastAsia="zh"/>
              </w:rPr>
              <w:t>第四十条</w:t>
            </w:r>
            <w:r>
              <w:rPr>
                <w:rFonts w:hint="eastAsia" w:ascii="宋体" w:hAnsi="宋体" w:eastAsia="宋体" w:cs="宋体"/>
                <w:color w:val="auto"/>
                <w:kern w:val="0"/>
                <w:sz w:val="15"/>
                <w:szCs w:val="15"/>
                <w:highlight w:val="none"/>
              </w:rPr>
              <w:t>第一款</w:t>
            </w:r>
            <w:r>
              <w:rPr>
                <w:rFonts w:hint="eastAsia" w:ascii="宋体" w:hAnsi="宋体" w:cs="宋体"/>
                <w:color w:val="auto"/>
                <w:kern w:val="0"/>
                <w:sz w:val="15"/>
                <w:szCs w:val="15"/>
                <w:highlight w:val="none"/>
                <w:lang w:eastAsia="zh"/>
              </w:rPr>
              <w:t>第一项</w:t>
            </w:r>
            <w:r>
              <w:rPr>
                <w:rFonts w:hint="eastAsia" w:ascii="宋体" w:hAnsi="宋体" w:eastAsia="宋体" w:cs="宋体"/>
                <w:color w:val="auto"/>
                <w:kern w:val="0"/>
                <w:sz w:val="15"/>
                <w:szCs w:val="15"/>
                <w:highlight w:val="none"/>
              </w:rPr>
              <w:t>，责令停止违法行为，处1万元以上5万元以下罚款。</w:t>
            </w:r>
          </w:p>
        </w:tc>
        <w:tc>
          <w:tcPr>
            <w:tcW w:w="851" w:type="dxa"/>
            <w:tcBorders>
              <w:top w:val="nil"/>
              <w:left w:val="nil"/>
              <w:bottom w:val="single" w:color="auto" w:sz="4" w:space="0"/>
              <w:right w:val="single" w:color="auto" w:sz="4" w:space="0"/>
            </w:tcBorders>
            <w:noWrap w:val="0"/>
            <w:vAlign w:val="center"/>
          </w:tcPr>
          <w:p w14:paraId="2330A49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0270D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1769C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1.因拒不汇交资料导致重大隐患、恶劣影响、严重后果的，系数为4。2.存在基准2.1.3规定情形的，系数按照相关规定确定（基准2.1.3.5不适用）。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BD88F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276F6E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C422B4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690F49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C2313300</w:t>
            </w:r>
          </w:p>
        </w:tc>
      </w:tr>
      <w:tr w14:paraId="38F329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4908902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022F95B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非法向社会传播水文情报预报，造成严重经济损失和不良影响</w:t>
            </w:r>
          </w:p>
        </w:tc>
        <w:tc>
          <w:tcPr>
            <w:tcW w:w="2981" w:type="dxa"/>
            <w:tcBorders>
              <w:top w:val="nil"/>
              <w:left w:val="nil"/>
              <w:bottom w:val="single" w:color="auto" w:sz="4" w:space="0"/>
              <w:right w:val="single" w:color="auto" w:sz="4" w:space="0"/>
            </w:tcBorders>
            <w:noWrap w:val="0"/>
            <w:vAlign w:val="center"/>
          </w:tcPr>
          <w:p w14:paraId="0DC606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处罚条款：第四十条第一款第（二）项，责令停止违法行为，处1万元以上5万元以下罚款。</w:t>
            </w:r>
          </w:p>
        </w:tc>
        <w:tc>
          <w:tcPr>
            <w:tcW w:w="851" w:type="dxa"/>
            <w:tcBorders>
              <w:top w:val="nil"/>
              <w:left w:val="nil"/>
              <w:bottom w:val="single" w:color="auto" w:sz="4" w:space="0"/>
              <w:right w:val="single" w:color="auto" w:sz="4" w:space="0"/>
            </w:tcBorders>
            <w:noWrap w:val="0"/>
            <w:vAlign w:val="center"/>
          </w:tcPr>
          <w:p w14:paraId="178B567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1B04595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3B93B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或不良影响范围局限于街道乡镇，系数为0；2.5万≤直接经济损失＜10万或不良影响范围扩大至区级行政区域，系数为1；3.10万≤直接经济损失＜20万或不良影响波及多个区级行政区域，系数为2；4.20万≤直接经济损失＜50万或不良影响波及全市，系数为3；5.50万≤直接经济损失或不良影响波及全市并外溢</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省市，系数为4。6.存在基准2.1.3规定情形的，系数按照相关规定确定（基准2.1.3.5不适用）。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8AA03E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36B5F4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31AE2A6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F075C1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C2313400</w:t>
            </w:r>
          </w:p>
        </w:tc>
      </w:tr>
      <w:tr w14:paraId="64AFFC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3B9306A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3F0370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在水文监测环境保护范围内种植高秆作物、堆放物料、修建建筑物以及其他禁止性活动</w:t>
            </w:r>
          </w:p>
        </w:tc>
        <w:tc>
          <w:tcPr>
            <w:tcW w:w="2981" w:type="dxa"/>
            <w:tcBorders>
              <w:top w:val="nil"/>
              <w:left w:val="nil"/>
              <w:bottom w:val="single" w:color="auto" w:sz="4" w:space="0"/>
              <w:right w:val="single" w:color="auto" w:sz="4" w:space="0"/>
            </w:tcBorders>
            <w:noWrap w:val="0"/>
            <w:vAlign w:val="center"/>
          </w:tcPr>
          <w:p w14:paraId="0885FAD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w:t>
            </w:r>
            <w:r>
              <w:rPr>
                <w:rFonts w:hint="eastAsia" w:ascii="宋体" w:hAnsi="宋体" w:cs="宋体"/>
                <w:color w:val="auto"/>
                <w:kern w:val="0"/>
                <w:sz w:val="15"/>
                <w:szCs w:val="15"/>
                <w:highlight w:val="none"/>
                <w:lang w:eastAsia="zh"/>
              </w:rPr>
              <w:t>第四十二条</w:t>
            </w:r>
            <w:r>
              <w:rPr>
                <w:rFonts w:hint="eastAsia" w:ascii="宋体" w:hAnsi="宋体" w:eastAsia="宋体" w:cs="宋体"/>
                <w:color w:val="auto"/>
                <w:kern w:val="0"/>
                <w:sz w:val="15"/>
                <w:szCs w:val="15"/>
                <w:highlight w:val="none"/>
              </w:rPr>
              <w:t>，责令停止违法行为，限期恢复原状或者采取其他补救措施，可以处1万元以下罚款。</w:t>
            </w:r>
          </w:p>
        </w:tc>
        <w:tc>
          <w:tcPr>
            <w:tcW w:w="851" w:type="dxa"/>
            <w:tcBorders>
              <w:top w:val="nil"/>
              <w:left w:val="nil"/>
              <w:bottom w:val="single" w:color="auto" w:sz="4" w:space="0"/>
              <w:right w:val="single" w:color="auto" w:sz="4" w:space="0"/>
            </w:tcBorders>
            <w:noWrap w:val="0"/>
            <w:vAlign w:val="center"/>
          </w:tcPr>
          <w:p w14:paraId="53F2064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14:paraId="0205B65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E98F3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1.面积＜50平方米，系数为0；2.50平方米≤面积＜100平方米，系数为1；3.100平方米≤面积＜200平方米，系数为2；4.200平方米≤面积＜300平方米，系数为3；5.300平方米≤面积，或者造成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D48E16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2016" w:type="dxa"/>
            <w:tcBorders>
              <w:top w:val="nil"/>
              <w:left w:val="nil"/>
              <w:bottom w:val="single" w:color="auto" w:sz="4" w:space="0"/>
              <w:right w:val="single" w:color="auto" w:sz="4" w:space="0"/>
            </w:tcBorders>
            <w:noWrap w:val="0"/>
            <w:vAlign w:val="center"/>
          </w:tcPr>
          <w:p w14:paraId="254F9F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2F68D06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E14BBA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C2347300</w:t>
            </w:r>
          </w:p>
        </w:tc>
      </w:tr>
      <w:tr w14:paraId="355797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3CF3407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14:paraId="237606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侵占、毁坏水文监测设施或者未经批准擅自移动、擅自使用水文监测设施</w:t>
            </w:r>
          </w:p>
        </w:tc>
        <w:tc>
          <w:tcPr>
            <w:tcW w:w="2981" w:type="dxa"/>
            <w:tcBorders>
              <w:top w:val="nil"/>
              <w:left w:val="nil"/>
              <w:bottom w:val="single" w:color="auto" w:sz="4" w:space="0"/>
              <w:right w:val="single" w:color="auto" w:sz="4" w:space="0"/>
            </w:tcBorders>
            <w:noWrap w:val="0"/>
            <w:vAlign w:val="center"/>
          </w:tcPr>
          <w:p w14:paraId="4920A84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w:t>
            </w:r>
            <w:r>
              <w:rPr>
                <w:rFonts w:hint="eastAsia" w:ascii="宋体" w:hAnsi="宋体" w:cs="宋体"/>
                <w:color w:val="auto"/>
                <w:kern w:val="0"/>
                <w:sz w:val="15"/>
                <w:szCs w:val="15"/>
                <w:highlight w:val="none"/>
                <w:lang w:eastAsia="zh"/>
              </w:rPr>
              <w:t>第四十一条</w:t>
            </w:r>
            <w:r>
              <w:rPr>
                <w:rFonts w:hint="eastAsia" w:ascii="宋体" w:hAnsi="宋体" w:eastAsia="宋体" w:cs="宋体"/>
                <w:color w:val="auto"/>
                <w:kern w:val="0"/>
                <w:sz w:val="15"/>
                <w:szCs w:val="15"/>
                <w:highlight w:val="none"/>
              </w:rPr>
              <w:t>，责令停止违法行为，限期恢复原状或者采取其他补救措施，可以处5万元以下罚款。</w:t>
            </w:r>
          </w:p>
        </w:tc>
        <w:tc>
          <w:tcPr>
            <w:tcW w:w="851" w:type="dxa"/>
            <w:tcBorders>
              <w:top w:val="nil"/>
              <w:left w:val="nil"/>
              <w:bottom w:val="single" w:color="auto" w:sz="4" w:space="0"/>
              <w:right w:val="single" w:color="auto" w:sz="4" w:space="0"/>
            </w:tcBorders>
            <w:noWrap w:val="0"/>
            <w:vAlign w:val="center"/>
          </w:tcPr>
          <w:p w14:paraId="433143E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7FF5EFC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58F0A8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恶劣影响，系数为9；5.违法行为发生在汛期或侵占、毁坏、擅自移动、擅自使用3处以上，系数加3。6.存在基准2.1.3规定情形的，系数按照相关规定确定（基准2.1.3.5不适用）。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26090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000×（1+情节系数）</w:t>
            </w:r>
          </w:p>
        </w:tc>
        <w:tc>
          <w:tcPr>
            <w:tcW w:w="2016" w:type="dxa"/>
            <w:tcBorders>
              <w:top w:val="nil"/>
              <w:left w:val="nil"/>
              <w:bottom w:val="single" w:color="auto" w:sz="4" w:space="0"/>
              <w:right w:val="single" w:color="auto" w:sz="4" w:space="0"/>
            </w:tcBorders>
            <w:noWrap w:val="0"/>
            <w:vAlign w:val="center"/>
          </w:tcPr>
          <w:p w14:paraId="4E8A3E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96C6D4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D7569F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C2313500</w:t>
            </w:r>
          </w:p>
        </w:tc>
      </w:tr>
      <w:tr w14:paraId="2CAF1A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ign w:val="center"/>
          </w:tcPr>
          <w:p w14:paraId="3009058E">
            <w:pPr>
              <w:widowControl/>
              <w:jc w:val="center"/>
              <w:outlineLvl w:val="1"/>
              <w:rPr>
                <w:rFonts w:hint="eastAsia" w:ascii="宋体" w:hAnsi="宋体" w:eastAsia="宋体" w:cs="宋体"/>
                <w:color w:val="auto"/>
                <w:kern w:val="0"/>
                <w:szCs w:val="21"/>
                <w:highlight w:val="none"/>
              </w:rPr>
            </w:pPr>
            <w:bookmarkStart w:id="309" w:name="_Toc1888080768"/>
            <w:bookmarkStart w:id="310" w:name="_Toc218468879"/>
            <w:r>
              <w:rPr>
                <w:rFonts w:hint="eastAsia" w:ascii="宋体" w:hAnsi="宋体" w:eastAsia="宋体" w:cs="宋体"/>
                <w:b/>
                <w:bCs/>
                <w:color w:val="auto"/>
                <w:kern w:val="0"/>
                <w:szCs w:val="21"/>
                <w:highlight w:val="none"/>
              </w:rPr>
              <w:t>《中华人民共和国行政许可法》《水行政许可实施办法》案由4项</w:t>
            </w:r>
            <w:bookmarkEnd w:id="309"/>
            <w:bookmarkEnd w:id="310"/>
          </w:p>
        </w:tc>
        <w:tc>
          <w:tcPr>
            <w:tcW w:w="3173" w:type="dxa"/>
            <w:gridSpan w:val="3"/>
            <w:tcBorders>
              <w:top w:val="nil"/>
              <w:left w:val="single" w:color="auto" w:sz="4" w:space="0"/>
              <w:bottom w:val="single" w:color="auto" w:sz="4" w:space="0"/>
              <w:right w:val="single" w:color="auto" w:sz="4" w:space="0"/>
            </w:tcBorders>
            <w:noWrap/>
            <w:vAlign w:val="center"/>
          </w:tcPr>
          <w:p w14:paraId="56F5F8E3">
            <w:pPr>
              <w:widowControl/>
              <w:jc w:val="center"/>
              <w:outlineLvl w:val="1"/>
              <w:rPr>
                <w:rFonts w:hint="eastAsia" w:ascii="宋体" w:hAnsi="宋体" w:eastAsia="宋体" w:cs="宋体"/>
                <w:b/>
                <w:bCs/>
                <w:color w:val="auto"/>
                <w:kern w:val="0"/>
                <w:szCs w:val="21"/>
                <w:highlight w:val="none"/>
              </w:rPr>
            </w:pPr>
          </w:p>
        </w:tc>
      </w:tr>
      <w:tr w14:paraId="19AA42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0" w:hRule="atLeast"/>
        </w:trPr>
        <w:tc>
          <w:tcPr>
            <w:tcW w:w="716" w:type="dxa"/>
            <w:gridSpan w:val="2"/>
            <w:tcBorders>
              <w:top w:val="nil"/>
              <w:left w:val="single" w:color="auto" w:sz="4" w:space="0"/>
              <w:bottom w:val="single" w:color="auto" w:sz="4" w:space="0"/>
              <w:right w:val="single" w:color="auto" w:sz="4" w:space="0"/>
            </w:tcBorders>
            <w:noWrap/>
            <w:vAlign w:val="center"/>
          </w:tcPr>
          <w:p w14:paraId="6640DED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1B1812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水行政许可申请人隐瞒有关情况或者提供虚假材料申请水行政许可</w:t>
            </w:r>
          </w:p>
        </w:tc>
        <w:tc>
          <w:tcPr>
            <w:tcW w:w="2981" w:type="dxa"/>
            <w:tcBorders>
              <w:top w:val="nil"/>
              <w:left w:val="nil"/>
              <w:bottom w:val="single" w:color="auto" w:sz="4" w:space="0"/>
              <w:right w:val="single" w:color="auto" w:sz="4" w:space="0"/>
            </w:tcBorders>
            <w:noWrap w:val="0"/>
            <w:vAlign w:val="center"/>
          </w:tcPr>
          <w:p w14:paraId="71933FE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处罚条款：《办法》第五十五条，给予警告。</w:t>
            </w:r>
          </w:p>
        </w:tc>
        <w:tc>
          <w:tcPr>
            <w:tcW w:w="851" w:type="dxa"/>
            <w:tcBorders>
              <w:top w:val="nil"/>
              <w:left w:val="nil"/>
              <w:bottom w:val="single" w:color="auto" w:sz="4" w:space="0"/>
              <w:right w:val="single" w:color="auto" w:sz="4" w:space="0"/>
            </w:tcBorders>
            <w:noWrap w:val="0"/>
            <w:vAlign w:val="center"/>
          </w:tcPr>
          <w:p w14:paraId="06E9930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4C8B5D3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4F34685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14:paraId="10283B2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261834A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1F3513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CE1057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C2314700</w:t>
            </w:r>
          </w:p>
        </w:tc>
      </w:tr>
      <w:tr w14:paraId="5C5C49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6C7F0A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14:paraId="3B9884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被许可人以欺骗、贿赂等不正当手段取得水行政许可</w:t>
            </w:r>
          </w:p>
        </w:tc>
        <w:tc>
          <w:tcPr>
            <w:tcW w:w="2981" w:type="dxa"/>
            <w:vMerge w:val="restart"/>
            <w:tcBorders>
              <w:top w:val="nil"/>
              <w:left w:val="single" w:color="auto" w:sz="4" w:space="0"/>
              <w:bottom w:val="single" w:color="auto" w:sz="4" w:space="0"/>
              <w:right w:val="single" w:color="auto" w:sz="4" w:space="0"/>
            </w:tcBorders>
            <w:noWrap w:val="0"/>
            <w:vAlign w:val="center"/>
          </w:tcPr>
          <w:p w14:paraId="18B8A22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违反条款：《办法》第五十条第二款；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六条，给予警告。被许可人从事非经营活动的，可以处一千元以下罚款；被许可人从事经营活动，有违法所得的，可以处违法所得三倍以下罚款，但是最高不得超过三万元，没有违法所得的，可以处一万元以下罚款，法律、法规另有规定的除外。</w:t>
            </w:r>
          </w:p>
        </w:tc>
        <w:tc>
          <w:tcPr>
            <w:tcW w:w="851" w:type="dxa"/>
            <w:tcBorders>
              <w:top w:val="nil"/>
              <w:left w:val="nil"/>
              <w:bottom w:val="single" w:color="auto" w:sz="4" w:space="0"/>
              <w:right w:val="single" w:color="auto" w:sz="4" w:space="0"/>
            </w:tcBorders>
            <w:noWrap w:val="0"/>
            <w:vAlign w:val="center"/>
          </w:tcPr>
          <w:p w14:paraId="34D1B5F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14:paraId="0BE1075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CA0F4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50C8F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14:paraId="4C5A7E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61282F0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5FAFB37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C2314800</w:t>
            </w:r>
          </w:p>
        </w:tc>
      </w:tr>
      <w:tr w14:paraId="7CEAFD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35644AD8">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068DB252">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5C6E381D">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42EC4AB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14:paraId="5CAF15B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9975A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5605E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2016" w:type="dxa"/>
            <w:tcBorders>
              <w:top w:val="nil"/>
              <w:left w:val="nil"/>
              <w:bottom w:val="single" w:color="auto" w:sz="4" w:space="0"/>
              <w:right w:val="single" w:color="auto" w:sz="4" w:space="0"/>
            </w:tcBorders>
            <w:noWrap w:val="0"/>
            <w:vAlign w:val="center"/>
          </w:tcPr>
          <w:p w14:paraId="4AD5FB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3844348D">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right w:val="single" w:color="auto" w:sz="4" w:space="0"/>
            </w:tcBorders>
            <w:noWrap w:val="0"/>
            <w:vAlign w:val="center"/>
          </w:tcPr>
          <w:p w14:paraId="46CFB9C0">
            <w:pPr>
              <w:widowControl/>
              <w:jc w:val="left"/>
              <w:rPr>
                <w:rFonts w:hint="eastAsia" w:ascii="宋体" w:hAnsi="宋体" w:eastAsia="宋体" w:cs="宋体"/>
                <w:color w:val="auto"/>
                <w:kern w:val="0"/>
                <w:sz w:val="15"/>
                <w:szCs w:val="15"/>
                <w:highlight w:val="none"/>
              </w:rPr>
            </w:pPr>
          </w:p>
        </w:tc>
      </w:tr>
      <w:tr w14:paraId="7F778C1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2DA05112">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3667894B">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561546EC">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0702D30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14:paraId="13A5E45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384F2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C345A6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29F6A64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56C1C487">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3218ECDC">
            <w:pPr>
              <w:widowControl/>
              <w:jc w:val="left"/>
              <w:rPr>
                <w:rFonts w:hint="eastAsia" w:ascii="宋体" w:hAnsi="宋体" w:eastAsia="宋体" w:cs="宋体"/>
                <w:color w:val="auto"/>
                <w:kern w:val="0"/>
                <w:sz w:val="15"/>
                <w:szCs w:val="15"/>
                <w:highlight w:val="none"/>
              </w:rPr>
            </w:pPr>
          </w:p>
        </w:tc>
      </w:tr>
      <w:tr w14:paraId="126CFF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0ABCDD4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vMerge w:val="restart"/>
            <w:tcBorders>
              <w:top w:val="nil"/>
              <w:left w:val="single" w:color="auto" w:sz="4" w:space="0"/>
              <w:bottom w:val="single" w:color="auto" w:sz="4" w:space="0"/>
              <w:right w:val="single" w:color="auto" w:sz="4" w:space="0"/>
            </w:tcBorders>
            <w:noWrap w:val="0"/>
            <w:vAlign w:val="center"/>
          </w:tcPr>
          <w:p w14:paraId="702A803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未经水行政许可，擅自从事依法应当取得水行政许可的活动</w:t>
            </w:r>
          </w:p>
        </w:tc>
        <w:tc>
          <w:tcPr>
            <w:tcW w:w="2981" w:type="dxa"/>
            <w:vMerge w:val="restart"/>
            <w:tcBorders>
              <w:top w:val="nil"/>
              <w:left w:val="single" w:color="auto" w:sz="4" w:space="0"/>
              <w:bottom w:val="single" w:color="auto" w:sz="4" w:space="0"/>
              <w:right w:val="single" w:color="auto" w:sz="4" w:space="0"/>
            </w:tcBorders>
            <w:noWrap w:val="0"/>
            <w:vAlign w:val="center"/>
          </w:tcPr>
          <w:p w14:paraId="74C298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八条，责令停止违法行为，并给予警告。当事人从事非经营活动的，可以处一千元以下罚款；当事人从事经营活动，有违法所得的，可以处违法所得三倍以下罚款，但是最高不得超过三万元，没有违法所得的，可以处一万元以下罚款，法律、法规另有规定的除外。</w:t>
            </w:r>
          </w:p>
        </w:tc>
        <w:tc>
          <w:tcPr>
            <w:tcW w:w="851" w:type="dxa"/>
            <w:tcBorders>
              <w:top w:val="nil"/>
              <w:left w:val="nil"/>
              <w:bottom w:val="single" w:color="auto" w:sz="4" w:space="0"/>
              <w:right w:val="single" w:color="auto" w:sz="4" w:space="0"/>
            </w:tcBorders>
            <w:noWrap w:val="0"/>
            <w:vAlign w:val="center"/>
          </w:tcPr>
          <w:p w14:paraId="3629231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14:paraId="44C21CD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87E9F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C8B004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14:paraId="18C2A6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58F2761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2D945A9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C2314900</w:t>
            </w:r>
          </w:p>
        </w:tc>
      </w:tr>
      <w:tr w14:paraId="1A6F82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70246C25">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49B5E149">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3A985039">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3632A39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14:paraId="1B47362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B6E6E9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5D26B9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2016" w:type="dxa"/>
            <w:tcBorders>
              <w:top w:val="nil"/>
              <w:left w:val="nil"/>
              <w:bottom w:val="single" w:color="auto" w:sz="4" w:space="0"/>
              <w:right w:val="single" w:color="auto" w:sz="4" w:space="0"/>
            </w:tcBorders>
            <w:noWrap w:val="0"/>
            <w:vAlign w:val="center"/>
          </w:tcPr>
          <w:p w14:paraId="05568F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26A9BF18">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right w:val="single" w:color="auto" w:sz="4" w:space="0"/>
            </w:tcBorders>
            <w:noWrap w:val="0"/>
            <w:vAlign w:val="center"/>
          </w:tcPr>
          <w:p w14:paraId="35F16B6E">
            <w:pPr>
              <w:widowControl/>
              <w:jc w:val="left"/>
              <w:rPr>
                <w:rFonts w:hint="eastAsia" w:ascii="宋体" w:hAnsi="宋体" w:eastAsia="宋体" w:cs="宋体"/>
                <w:color w:val="auto"/>
                <w:kern w:val="0"/>
                <w:sz w:val="15"/>
                <w:szCs w:val="15"/>
                <w:highlight w:val="none"/>
              </w:rPr>
            </w:pPr>
          </w:p>
        </w:tc>
      </w:tr>
      <w:tr w14:paraId="20CAD3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35B9DB8E">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60DFD114">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1E020EB0">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0EA637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14:paraId="1AF9DDD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6656D6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419D02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2C2A1F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1E85D9A2">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084581E6">
            <w:pPr>
              <w:widowControl/>
              <w:jc w:val="left"/>
              <w:rPr>
                <w:rFonts w:hint="eastAsia" w:ascii="宋体" w:hAnsi="宋体" w:eastAsia="宋体" w:cs="宋体"/>
                <w:color w:val="auto"/>
                <w:kern w:val="0"/>
                <w:sz w:val="15"/>
                <w:szCs w:val="15"/>
                <w:highlight w:val="none"/>
              </w:rPr>
            </w:pPr>
          </w:p>
        </w:tc>
      </w:tr>
      <w:tr w14:paraId="3A5D970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51064C3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vMerge w:val="restart"/>
            <w:tcBorders>
              <w:top w:val="nil"/>
              <w:left w:val="single" w:color="auto" w:sz="4" w:space="0"/>
              <w:bottom w:val="single" w:color="auto" w:sz="4" w:space="0"/>
              <w:right w:val="single" w:color="auto" w:sz="4" w:space="0"/>
            </w:tcBorders>
            <w:noWrap w:val="0"/>
            <w:vAlign w:val="center"/>
          </w:tcPr>
          <w:p w14:paraId="2EBA7A0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涂改、倒卖、出租、出借行政许可证件，或者以其他形式非法转让行政许可、超越行政许可范围进行活动以及向负责监督检查的行政机关隐瞒有关情况、提供虚假材料或者拒绝提供反映其活动情况的真实材料</w:t>
            </w:r>
          </w:p>
        </w:tc>
        <w:tc>
          <w:tcPr>
            <w:tcW w:w="2981" w:type="dxa"/>
            <w:vMerge w:val="restart"/>
            <w:tcBorders>
              <w:top w:val="nil"/>
              <w:left w:val="single" w:color="auto" w:sz="4" w:space="0"/>
              <w:bottom w:val="single" w:color="auto" w:sz="4" w:space="0"/>
              <w:right w:val="single" w:color="auto" w:sz="4" w:space="0"/>
            </w:tcBorders>
            <w:noWrap w:val="0"/>
            <w:vAlign w:val="center"/>
          </w:tcPr>
          <w:p w14:paraId="48E559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违反条款：《行政许可法》第八十条；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七条，给予警告或者降低水行政许可资格（质）等级。被许可人从事非经营活动的，可以处一千元以下罚款；被许可人从事经营活动，有违法所得的，可以处违法所得三倍以下罚款，但是最高不得超过三万元，没有违法所得的，可以处一万元以下罚款，法律、法规另有规定的除外。</w:t>
            </w:r>
          </w:p>
        </w:tc>
        <w:tc>
          <w:tcPr>
            <w:tcW w:w="851" w:type="dxa"/>
            <w:tcBorders>
              <w:top w:val="nil"/>
              <w:left w:val="nil"/>
              <w:bottom w:val="single" w:color="auto" w:sz="4" w:space="0"/>
              <w:right w:val="single" w:color="auto" w:sz="4" w:space="0"/>
            </w:tcBorders>
            <w:noWrap w:val="0"/>
            <w:vAlign w:val="center"/>
          </w:tcPr>
          <w:p w14:paraId="357C73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14:paraId="1B57B2A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E3920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F3EE6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14:paraId="2A43C26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07E8476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1550FAB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C2347000</w:t>
            </w:r>
          </w:p>
        </w:tc>
      </w:tr>
      <w:tr w14:paraId="49C32B9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646EFBBB">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52DA6DC3">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6BD4E855">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38DE556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14:paraId="386614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143C45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E7057F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2016" w:type="dxa"/>
            <w:tcBorders>
              <w:top w:val="nil"/>
              <w:left w:val="nil"/>
              <w:bottom w:val="single" w:color="auto" w:sz="4" w:space="0"/>
              <w:right w:val="single" w:color="auto" w:sz="4" w:space="0"/>
            </w:tcBorders>
            <w:noWrap w:val="0"/>
            <w:vAlign w:val="center"/>
          </w:tcPr>
          <w:p w14:paraId="104ECFD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1C7F04FE">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right w:val="single" w:color="auto" w:sz="4" w:space="0"/>
            </w:tcBorders>
            <w:noWrap w:val="0"/>
            <w:vAlign w:val="center"/>
          </w:tcPr>
          <w:p w14:paraId="414F0BA3">
            <w:pPr>
              <w:widowControl/>
              <w:jc w:val="left"/>
              <w:rPr>
                <w:rFonts w:hint="eastAsia" w:ascii="宋体" w:hAnsi="宋体" w:eastAsia="宋体" w:cs="宋体"/>
                <w:color w:val="auto"/>
                <w:kern w:val="0"/>
                <w:sz w:val="15"/>
                <w:szCs w:val="15"/>
                <w:highlight w:val="none"/>
              </w:rPr>
            </w:pPr>
          </w:p>
        </w:tc>
      </w:tr>
      <w:tr w14:paraId="181E80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6ABB7955">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601C81DD">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26E8FB51">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31E32B0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14:paraId="6FCD67C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74979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54B86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6B56439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79977CBE">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4D5E1B26">
            <w:pPr>
              <w:widowControl/>
              <w:jc w:val="left"/>
              <w:rPr>
                <w:rFonts w:hint="eastAsia" w:ascii="宋体" w:hAnsi="宋体" w:eastAsia="宋体" w:cs="宋体"/>
                <w:color w:val="auto"/>
                <w:kern w:val="0"/>
                <w:sz w:val="15"/>
                <w:szCs w:val="15"/>
                <w:highlight w:val="none"/>
              </w:rPr>
            </w:pPr>
          </w:p>
        </w:tc>
      </w:tr>
      <w:tr w14:paraId="5E81B14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694AC43D">
            <w:pPr>
              <w:widowControl/>
              <w:jc w:val="center"/>
              <w:outlineLvl w:val="0"/>
              <w:rPr>
                <w:rFonts w:ascii="Times New Roman" w:hAnsi="Times New Roman" w:eastAsia="宋体" w:cs="Times New Roman"/>
                <w:color w:val="auto"/>
                <w:kern w:val="0"/>
                <w:sz w:val="28"/>
                <w:szCs w:val="28"/>
                <w:highlight w:val="none"/>
              </w:rPr>
            </w:pPr>
            <w:bookmarkStart w:id="311" w:name="_Toc218468880"/>
            <w:bookmarkStart w:id="312" w:name="_Toc962402114"/>
            <w:r>
              <w:rPr>
                <w:rFonts w:hint="eastAsia" w:ascii="黑体" w:hAnsi="黑体" w:eastAsia="黑体" w:cs="黑体"/>
                <w:color w:val="auto"/>
                <w:kern w:val="0"/>
                <w:sz w:val="28"/>
                <w:szCs w:val="28"/>
                <w:highlight w:val="none"/>
              </w:rPr>
              <w:t>水务移民管理方面</w:t>
            </w:r>
            <w:bookmarkEnd w:id="311"/>
            <w:bookmarkEnd w:id="312"/>
          </w:p>
        </w:tc>
        <w:tc>
          <w:tcPr>
            <w:tcW w:w="3173" w:type="dxa"/>
            <w:gridSpan w:val="3"/>
            <w:tcBorders>
              <w:top w:val="nil"/>
              <w:left w:val="single" w:color="auto" w:sz="4" w:space="0"/>
              <w:bottom w:val="single" w:color="auto" w:sz="4" w:space="0"/>
              <w:right w:val="single" w:color="auto" w:sz="4" w:space="0"/>
            </w:tcBorders>
            <w:noWrap w:val="0"/>
            <w:vAlign w:val="center"/>
          </w:tcPr>
          <w:p w14:paraId="53575F6C">
            <w:pPr>
              <w:widowControl/>
              <w:jc w:val="center"/>
              <w:outlineLvl w:val="0"/>
              <w:rPr>
                <w:rFonts w:hint="eastAsia" w:ascii="黑体" w:hAnsi="黑体" w:eastAsia="黑体" w:cs="黑体"/>
                <w:color w:val="auto"/>
                <w:kern w:val="0"/>
                <w:sz w:val="28"/>
                <w:szCs w:val="28"/>
                <w:highlight w:val="none"/>
              </w:rPr>
            </w:pPr>
          </w:p>
        </w:tc>
      </w:tr>
      <w:tr w14:paraId="761EED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2689DC3E">
            <w:pPr>
              <w:widowControl/>
              <w:jc w:val="center"/>
              <w:outlineLvl w:val="1"/>
              <w:rPr>
                <w:rFonts w:hint="eastAsia" w:ascii="宋体" w:hAnsi="宋体" w:eastAsia="宋体" w:cs="宋体"/>
                <w:color w:val="auto"/>
                <w:kern w:val="0"/>
                <w:szCs w:val="21"/>
                <w:highlight w:val="none"/>
              </w:rPr>
            </w:pPr>
            <w:bookmarkStart w:id="313" w:name="_Toc218468881"/>
            <w:bookmarkStart w:id="314" w:name="_Toc667239925"/>
            <w:r>
              <w:rPr>
                <w:rFonts w:hint="eastAsia" w:ascii="宋体" w:hAnsi="宋体" w:eastAsia="宋体" w:cs="宋体"/>
                <w:b/>
                <w:bCs/>
                <w:color w:val="auto"/>
                <w:kern w:val="0"/>
                <w:szCs w:val="21"/>
                <w:highlight w:val="none"/>
              </w:rPr>
              <w:t>《大中型水利水电工程建设征地补偿和移民安置条例》案由3项</w:t>
            </w:r>
            <w:bookmarkEnd w:id="313"/>
            <w:bookmarkEnd w:id="314"/>
          </w:p>
        </w:tc>
        <w:tc>
          <w:tcPr>
            <w:tcW w:w="3173" w:type="dxa"/>
            <w:gridSpan w:val="3"/>
            <w:tcBorders>
              <w:top w:val="nil"/>
              <w:left w:val="single" w:color="auto" w:sz="4" w:space="0"/>
              <w:bottom w:val="single" w:color="auto" w:sz="4" w:space="0"/>
              <w:right w:val="single" w:color="auto" w:sz="4" w:space="0"/>
            </w:tcBorders>
            <w:noWrap w:val="0"/>
            <w:vAlign w:val="center"/>
          </w:tcPr>
          <w:p w14:paraId="3C3DAF43">
            <w:pPr>
              <w:widowControl/>
              <w:jc w:val="center"/>
              <w:outlineLvl w:val="1"/>
              <w:rPr>
                <w:rFonts w:hint="eastAsia" w:ascii="宋体" w:hAnsi="宋体" w:eastAsia="宋体" w:cs="宋体"/>
                <w:b/>
                <w:bCs/>
                <w:color w:val="auto"/>
                <w:kern w:val="0"/>
                <w:szCs w:val="21"/>
                <w:highlight w:val="none"/>
              </w:rPr>
            </w:pPr>
          </w:p>
        </w:tc>
      </w:tr>
      <w:tr w14:paraId="639B27B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476111F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14:paraId="335B5E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在编制移民安置规划大纲、移民安置规划、水库移民后期扶持规划，或者进行实物调查、移民安置监督评估中弄虚作假</w:t>
            </w:r>
          </w:p>
        </w:tc>
        <w:tc>
          <w:tcPr>
            <w:tcW w:w="2981" w:type="dxa"/>
            <w:vMerge w:val="restart"/>
            <w:tcBorders>
              <w:top w:val="nil"/>
              <w:left w:val="single" w:color="auto" w:sz="4" w:space="0"/>
              <w:bottom w:val="single" w:color="auto" w:sz="4" w:space="0"/>
              <w:right w:val="single" w:color="auto" w:sz="4" w:space="0"/>
            </w:tcBorders>
            <w:noWrap w:val="0"/>
            <w:vAlign w:val="center"/>
          </w:tcPr>
          <w:p w14:paraId="2A57577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处罚条款：第五十九条，责令改正，对有关单位处10万元以上50万元以下的罚款；对直接负责的主管人员和其他直接责任人员处1万元以上5万元以下的罚款。</w:t>
            </w:r>
          </w:p>
        </w:tc>
        <w:tc>
          <w:tcPr>
            <w:tcW w:w="851" w:type="dxa"/>
            <w:tcBorders>
              <w:top w:val="nil"/>
              <w:left w:val="nil"/>
              <w:bottom w:val="single" w:color="auto" w:sz="4" w:space="0"/>
              <w:right w:val="single" w:color="auto" w:sz="4" w:space="0"/>
            </w:tcBorders>
            <w:noWrap w:val="0"/>
            <w:vAlign w:val="center"/>
          </w:tcPr>
          <w:p w14:paraId="1AC3225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78E1FB9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59248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弄虚作假1处，系数为0；每增加1处，系数加0.8；弄虚作假≥6处，系数为4；2.造成严重后果或恶劣影响的，系数为4。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188DA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29B398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7108D5E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vMerge w:val="restart"/>
            <w:tcBorders>
              <w:top w:val="nil"/>
              <w:left w:val="single" w:color="auto" w:sz="4" w:space="0"/>
              <w:right w:val="single" w:color="auto" w:sz="4" w:space="0"/>
            </w:tcBorders>
            <w:noWrap w:val="0"/>
            <w:vAlign w:val="center"/>
          </w:tcPr>
          <w:p w14:paraId="562DB1B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C2340700</w:t>
            </w:r>
          </w:p>
        </w:tc>
      </w:tr>
      <w:tr w14:paraId="0438D5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0E4FD496">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1D3AE535">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324B426B">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5F342B8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（对个人） </w:t>
            </w:r>
          </w:p>
        </w:tc>
        <w:tc>
          <w:tcPr>
            <w:tcW w:w="840" w:type="dxa"/>
            <w:tcBorders>
              <w:top w:val="nil"/>
              <w:left w:val="nil"/>
              <w:bottom w:val="single" w:color="auto" w:sz="4" w:space="0"/>
              <w:right w:val="single" w:color="auto" w:sz="4" w:space="0"/>
            </w:tcBorders>
            <w:noWrap w:val="0"/>
            <w:vAlign w:val="center"/>
          </w:tcPr>
          <w:p w14:paraId="3C2F66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BDE35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弄虚作假1处，系数为0；每增加1处，系数加0.8；弄虚作假≥6处，系数为4；2.造成严重后果或恶劣影响的，系数为4。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ACA2E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0792A3E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79F324A7">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19F864EA">
            <w:pPr>
              <w:widowControl/>
              <w:jc w:val="left"/>
              <w:rPr>
                <w:rFonts w:hint="eastAsia" w:ascii="宋体" w:hAnsi="宋体" w:eastAsia="宋体" w:cs="宋体"/>
                <w:color w:val="auto"/>
                <w:kern w:val="0"/>
                <w:sz w:val="15"/>
                <w:szCs w:val="15"/>
                <w:highlight w:val="none"/>
              </w:rPr>
            </w:pPr>
          </w:p>
        </w:tc>
      </w:tr>
      <w:tr w14:paraId="42DB81B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48C455D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46757C7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侵占、截留、挪用大中型水利水电工程建设征地补偿和移民安置资金、水库移民后期扶持资金</w:t>
            </w:r>
          </w:p>
        </w:tc>
        <w:tc>
          <w:tcPr>
            <w:tcW w:w="2981" w:type="dxa"/>
            <w:tcBorders>
              <w:top w:val="nil"/>
              <w:left w:val="nil"/>
              <w:bottom w:val="single" w:color="auto" w:sz="4" w:space="0"/>
              <w:right w:val="single" w:color="auto" w:sz="4" w:space="0"/>
            </w:tcBorders>
            <w:noWrap w:val="0"/>
            <w:vAlign w:val="center"/>
          </w:tcPr>
          <w:p w14:paraId="0714AB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处罚条款：第六十条，责令退赔，并处侵占、截留、挪用资金额3倍以下的罚款。</w:t>
            </w:r>
          </w:p>
        </w:tc>
        <w:tc>
          <w:tcPr>
            <w:tcW w:w="851" w:type="dxa"/>
            <w:tcBorders>
              <w:top w:val="nil"/>
              <w:left w:val="nil"/>
              <w:bottom w:val="single" w:color="auto" w:sz="4" w:space="0"/>
              <w:right w:val="single" w:color="auto" w:sz="4" w:space="0"/>
            </w:tcBorders>
            <w:noWrap w:val="0"/>
            <w:vAlign w:val="center"/>
          </w:tcPr>
          <w:p w14:paraId="14E84EA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资金额</w:t>
            </w:r>
          </w:p>
        </w:tc>
        <w:tc>
          <w:tcPr>
            <w:tcW w:w="840" w:type="dxa"/>
            <w:tcBorders>
              <w:top w:val="nil"/>
              <w:left w:val="nil"/>
              <w:bottom w:val="single" w:color="auto" w:sz="4" w:space="0"/>
              <w:right w:val="single" w:color="auto" w:sz="4" w:space="0"/>
            </w:tcBorders>
            <w:noWrap w:val="0"/>
            <w:vAlign w:val="center"/>
          </w:tcPr>
          <w:p w14:paraId="7EC2DD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0B6D2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1.造成严重后果或恶劣影响的，系数为2。2.存在基准2.1.3规定情形的，系数按照相关规定确定（基准2.1.3.5不适用）。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F8D552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罚款金额=资金额×（1+情节系数）</w:t>
            </w:r>
          </w:p>
        </w:tc>
        <w:tc>
          <w:tcPr>
            <w:tcW w:w="2016" w:type="dxa"/>
            <w:tcBorders>
              <w:top w:val="nil"/>
              <w:left w:val="nil"/>
              <w:bottom w:val="single" w:color="auto" w:sz="4" w:space="0"/>
              <w:right w:val="single" w:color="auto" w:sz="4" w:space="0"/>
            </w:tcBorders>
            <w:noWrap w:val="0"/>
            <w:vAlign w:val="center"/>
          </w:tcPr>
          <w:p w14:paraId="73A8EC2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67B1EEA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3C6AC0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C2340800</w:t>
            </w:r>
          </w:p>
        </w:tc>
      </w:tr>
      <w:tr w14:paraId="5A64D0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6F5C708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vMerge w:val="restart"/>
            <w:tcBorders>
              <w:top w:val="nil"/>
              <w:left w:val="single" w:color="auto" w:sz="4" w:space="0"/>
              <w:bottom w:val="single" w:color="auto" w:sz="4" w:space="0"/>
              <w:right w:val="single" w:color="auto" w:sz="4" w:space="0"/>
            </w:tcBorders>
            <w:noWrap w:val="0"/>
            <w:vAlign w:val="center"/>
          </w:tcPr>
          <w:p w14:paraId="4DE04F2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项目法人未经批准擅自调整或者修改移民安置规划大纲</w:t>
            </w:r>
          </w:p>
        </w:tc>
        <w:tc>
          <w:tcPr>
            <w:tcW w:w="2981" w:type="dxa"/>
            <w:vMerge w:val="restart"/>
            <w:tcBorders>
              <w:top w:val="nil"/>
              <w:left w:val="single" w:color="auto" w:sz="4" w:space="0"/>
              <w:bottom w:val="single" w:color="auto" w:sz="4" w:space="0"/>
              <w:right w:val="single" w:color="auto" w:sz="4" w:space="0"/>
            </w:tcBorders>
            <w:noWrap w:val="0"/>
            <w:vAlign w:val="center"/>
          </w:tcPr>
          <w:p w14:paraId="5E9E41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违反条款：第九条第二款、第十五条第二款；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处罚条款：第五十八条第二款，责令改正，处10万元以上50万元以下的罚款；对直接负责的主管人员和其他直接责任人员处1万元以上5万元以下的罚款。</w:t>
            </w:r>
          </w:p>
        </w:tc>
        <w:tc>
          <w:tcPr>
            <w:tcW w:w="851" w:type="dxa"/>
            <w:tcBorders>
              <w:top w:val="nil"/>
              <w:left w:val="nil"/>
              <w:bottom w:val="single" w:color="auto" w:sz="4" w:space="0"/>
              <w:right w:val="single" w:color="auto" w:sz="4" w:space="0"/>
            </w:tcBorders>
            <w:noWrap w:val="0"/>
            <w:vAlign w:val="center"/>
          </w:tcPr>
          <w:p w14:paraId="1E265C5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161558F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2A474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擅自调整或者修改1处，系数为0；每增加1处，系数加0.8；擅自调整或者修改≥6处，系数为4；2.造成严重后果或恶劣影响的，系数为4。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E768B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7A66217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11C790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vMerge w:val="restart"/>
            <w:tcBorders>
              <w:top w:val="nil"/>
              <w:left w:val="single" w:color="auto" w:sz="4" w:space="0"/>
              <w:right w:val="single" w:color="auto" w:sz="4" w:space="0"/>
            </w:tcBorders>
            <w:noWrap w:val="0"/>
            <w:vAlign w:val="center"/>
          </w:tcPr>
          <w:p w14:paraId="7A85262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C2353600</w:t>
            </w:r>
          </w:p>
        </w:tc>
      </w:tr>
      <w:tr w14:paraId="1389B2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2E02E0F2">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3D6D8A41">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06283E71">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79225F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（对个人） </w:t>
            </w:r>
          </w:p>
        </w:tc>
        <w:tc>
          <w:tcPr>
            <w:tcW w:w="840" w:type="dxa"/>
            <w:tcBorders>
              <w:top w:val="nil"/>
              <w:left w:val="nil"/>
              <w:bottom w:val="single" w:color="auto" w:sz="4" w:space="0"/>
              <w:right w:val="single" w:color="auto" w:sz="4" w:space="0"/>
            </w:tcBorders>
            <w:noWrap w:val="0"/>
            <w:vAlign w:val="center"/>
          </w:tcPr>
          <w:p w14:paraId="6D3D58B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8B55D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擅自调整或者修改1处，系数为0；每增加1处，系数加0.8；擅自调整或者修改≥6处，系数为4；2.造成严重后果或恶劣影响的，系数为4。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4E157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388CC8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0066CCDE">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7026E065">
            <w:pPr>
              <w:widowControl/>
              <w:jc w:val="left"/>
              <w:rPr>
                <w:rFonts w:hint="eastAsia" w:ascii="宋体" w:hAnsi="宋体" w:eastAsia="宋体" w:cs="宋体"/>
                <w:color w:val="auto"/>
                <w:kern w:val="0"/>
                <w:sz w:val="15"/>
                <w:szCs w:val="15"/>
                <w:highlight w:val="none"/>
              </w:rPr>
            </w:pPr>
          </w:p>
        </w:tc>
      </w:tr>
      <w:tr w14:paraId="214AB7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528AF5A0">
            <w:pPr>
              <w:widowControl/>
              <w:jc w:val="center"/>
              <w:outlineLvl w:val="0"/>
              <w:rPr>
                <w:rFonts w:ascii="Times New Roman" w:hAnsi="Times New Roman" w:eastAsia="宋体" w:cs="Times New Roman"/>
                <w:color w:val="auto"/>
                <w:kern w:val="0"/>
                <w:sz w:val="28"/>
                <w:szCs w:val="28"/>
                <w:highlight w:val="none"/>
              </w:rPr>
            </w:pPr>
            <w:bookmarkStart w:id="315" w:name="_Toc1537757160"/>
            <w:bookmarkStart w:id="316" w:name="_Toc218468882"/>
            <w:r>
              <w:rPr>
                <w:rFonts w:hint="eastAsia" w:ascii="黑体" w:hAnsi="黑体" w:eastAsia="黑体" w:cs="黑体"/>
                <w:color w:val="auto"/>
                <w:kern w:val="0"/>
                <w:sz w:val="28"/>
                <w:szCs w:val="28"/>
                <w:highlight w:val="none"/>
              </w:rPr>
              <w:t>防汛抗旱管理方面</w:t>
            </w:r>
            <w:bookmarkEnd w:id="315"/>
            <w:bookmarkEnd w:id="316"/>
          </w:p>
        </w:tc>
        <w:tc>
          <w:tcPr>
            <w:tcW w:w="3173" w:type="dxa"/>
            <w:gridSpan w:val="3"/>
            <w:tcBorders>
              <w:top w:val="nil"/>
              <w:left w:val="single" w:color="auto" w:sz="4" w:space="0"/>
              <w:bottom w:val="single" w:color="auto" w:sz="4" w:space="0"/>
              <w:right w:val="single" w:color="auto" w:sz="4" w:space="0"/>
            </w:tcBorders>
            <w:noWrap w:val="0"/>
            <w:vAlign w:val="center"/>
          </w:tcPr>
          <w:p w14:paraId="023A8963">
            <w:pPr>
              <w:widowControl/>
              <w:jc w:val="center"/>
              <w:outlineLvl w:val="0"/>
              <w:rPr>
                <w:rFonts w:hint="eastAsia" w:ascii="黑体" w:hAnsi="黑体" w:eastAsia="黑体" w:cs="黑体"/>
                <w:color w:val="auto"/>
                <w:kern w:val="0"/>
                <w:sz w:val="28"/>
                <w:szCs w:val="28"/>
                <w:highlight w:val="none"/>
              </w:rPr>
            </w:pPr>
          </w:p>
        </w:tc>
      </w:tr>
      <w:tr w14:paraId="43FAEEB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3CACFB8D">
            <w:pPr>
              <w:widowControl/>
              <w:jc w:val="center"/>
              <w:outlineLvl w:val="1"/>
              <w:rPr>
                <w:rFonts w:hint="eastAsia" w:ascii="宋体" w:hAnsi="宋体" w:eastAsia="宋体" w:cs="宋体"/>
                <w:color w:val="auto"/>
                <w:kern w:val="0"/>
                <w:szCs w:val="21"/>
                <w:highlight w:val="none"/>
              </w:rPr>
            </w:pPr>
            <w:bookmarkStart w:id="317" w:name="_Toc63845650"/>
            <w:bookmarkStart w:id="318" w:name="_Toc218468883"/>
            <w:r>
              <w:rPr>
                <w:rFonts w:hint="eastAsia" w:ascii="宋体" w:hAnsi="宋体" w:eastAsia="宋体" w:cs="宋体"/>
                <w:b/>
                <w:bCs/>
                <w:color w:val="auto"/>
                <w:kern w:val="0"/>
                <w:szCs w:val="21"/>
                <w:highlight w:val="none"/>
              </w:rPr>
              <w:t>《中华人民共和国抗旱条例》案由4项</w:t>
            </w:r>
            <w:bookmarkEnd w:id="317"/>
            <w:bookmarkEnd w:id="318"/>
          </w:p>
        </w:tc>
        <w:tc>
          <w:tcPr>
            <w:tcW w:w="3173" w:type="dxa"/>
            <w:gridSpan w:val="3"/>
            <w:tcBorders>
              <w:top w:val="nil"/>
              <w:left w:val="single" w:color="auto" w:sz="4" w:space="0"/>
              <w:bottom w:val="single" w:color="auto" w:sz="4" w:space="0"/>
              <w:right w:val="single" w:color="auto" w:sz="4" w:space="0"/>
            </w:tcBorders>
            <w:noWrap w:val="0"/>
            <w:vAlign w:val="center"/>
          </w:tcPr>
          <w:p w14:paraId="3476332B">
            <w:pPr>
              <w:widowControl/>
              <w:jc w:val="center"/>
              <w:outlineLvl w:val="1"/>
              <w:rPr>
                <w:rFonts w:hint="eastAsia" w:ascii="宋体" w:hAnsi="宋体" w:eastAsia="宋体" w:cs="宋体"/>
                <w:b/>
                <w:bCs/>
                <w:color w:val="auto"/>
                <w:kern w:val="0"/>
                <w:szCs w:val="21"/>
                <w:highlight w:val="none"/>
              </w:rPr>
            </w:pPr>
          </w:p>
        </w:tc>
      </w:tr>
      <w:tr w14:paraId="1179F9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6F10A31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44779C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水库、水电站、拦河闸坝等工程的管理单位以及其他经营工程设施的经营者拒不服从统一调度和指挥</w:t>
            </w:r>
          </w:p>
        </w:tc>
        <w:tc>
          <w:tcPr>
            <w:tcW w:w="2981" w:type="dxa"/>
            <w:tcBorders>
              <w:top w:val="nil"/>
              <w:left w:val="nil"/>
              <w:bottom w:val="single" w:color="auto" w:sz="4" w:space="0"/>
              <w:right w:val="single" w:color="auto" w:sz="4" w:space="0"/>
            </w:tcBorders>
            <w:noWrap w:val="0"/>
            <w:vAlign w:val="center"/>
          </w:tcPr>
          <w:p w14:paraId="11CA45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处罚条款：第六十条，责令改正，给予警告；拒不改正的，强制执行，处1万元以上5万元以下的罚款。</w:t>
            </w:r>
          </w:p>
        </w:tc>
        <w:tc>
          <w:tcPr>
            <w:tcW w:w="851" w:type="dxa"/>
            <w:tcBorders>
              <w:top w:val="nil"/>
              <w:left w:val="nil"/>
              <w:bottom w:val="single" w:color="auto" w:sz="4" w:space="0"/>
              <w:right w:val="single" w:color="auto" w:sz="4" w:space="0"/>
            </w:tcBorders>
            <w:noWrap w:val="0"/>
            <w:vAlign w:val="center"/>
          </w:tcPr>
          <w:p w14:paraId="153B08C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7E0730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F841C3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拒不改正的，处以下罚款：1.违法行为发生在干旱蓝色预警期间，系数为0；2.违法行为发生在干旱黄色预警期间，系数为1；3.违法行为发生在干旱橙色预警期间，系数为2；4.违法行为发生在干旱红色预警期间，系数为3；5.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A10CBB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3CE154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191C64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D069C3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C2314200</w:t>
            </w:r>
          </w:p>
        </w:tc>
      </w:tr>
      <w:tr w14:paraId="741E45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7E7A6A8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3C6282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侵占、破坏水源和抗旱设施</w:t>
            </w:r>
          </w:p>
        </w:tc>
        <w:tc>
          <w:tcPr>
            <w:tcW w:w="2981" w:type="dxa"/>
            <w:tcBorders>
              <w:top w:val="nil"/>
              <w:left w:val="nil"/>
              <w:bottom w:val="single" w:color="auto" w:sz="4" w:space="0"/>
              <w:right w:val="single" w:color="auto" w:sz="4" w:space="0"/>
            </w:tcBorders>
            <w:noWrap w:val="0"/>
            <w:vAlign w:val="center"/>
          </w:tcPr>
          <w:p w14:paraId="48445EB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处罚条款：第六十一条，责令停止违法行为，采取补救措施，处1万元以上5万元以下的罚款。</w:t>
            </w:r>
          </w:p>
        </w:tc>
        <w:tc>
          <w:tcPr>
            <w:tcW w:w="851" w:type="dxa"/>
            <w:tcBorders>
              <w:top w:val="nil"/>
              <w:left w:val="nil"/>
              <w:bottom w:val="single" w:color="auto" w:sz="4" w:space="0"/>
              <w:right w:val="single" w:color="auto" w:sz="4" w:space="0"/>
            </w:tcBorders>
            <w:noWrap w:val="0"/>
            <w:vAlign w:val="center"/>
          </w:tcPr>
          <w:p w14:paraId="1713C33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10E5A6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F7F920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1.违法行为发生在干旱蓝色预警期间，系数为0；2.违法行为发生在干旱黄色预警期间，系数为1；3.违法行为发生在干旱橙色预警期间，系数为2；4.违法行为发生在干旱红色预警期间，系数为3；5.造成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13A6D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5B154D8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FD1892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E530CD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C2314300</w:t>
            </w:r>
          </w:p>
        </w:tc>
      </w:tr>
      <w:tr w14:paraId="3CE485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2F5EB15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4EDB87F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阻碍、威胁防汛抗旱指挥机构、水行政主管部门或者流域管理机构的工作人员依法执行职务</w:t>
            </w:r>
          </w:p>
        </w:tc>
        <w:tc>
          <w:tcPr>
            <w:tcW w:w="2981" w:type="dxa"/>
            <w:tcBorders>
              <w:top w:val="nil"/>
              <w:left w:val="nil"/>
              <w:bottom w:val="single" w:color="auto" w:sz="4" w:space="0"/>
              <w:right w:val="single" w:color="auto" w:sz="4" w:space="0"/>
            </w:tcBorders>
            <w:noWrap w:val="0"/>
            <w:vAlign w:val="center"/>
          </w:tcPr>
          <w:p w14:paraId="3D3AAB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处罚条款：第六十三条，责令改正，予以警告。</w:t>
            </w:r>
          </w:p>
        </w:tc>
        <w:tc>
          <w:tcPr>
            <w:tcW w:w="851" w:type="dxa"/>
            <w:tcBorders>
              <w:top w:val="nil"/>
              <w:left w:val="nil"/>
              <w:bottom w:val="single" w:color="auto" w:sz="4" w:space="0"/>
              <w:right w:val="single" w:color="auto" w:sz="4" w:space="0"/>
            </w:tcBorders>
            <w:noWrap w:val="0"/>
            <w:vAlign w:val="center"/>
          </w:tcPr>
          <w:p w14:paraId="062E370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2CFDD77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0618122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14:paraId="71EE7F9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29BC36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A5522D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016A47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C2314600</w:t>
            </w:r>
          </w:p>
        </w:tc>
      </w:tr>
      <w:tr w14:paraId="74C7BE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0" w:hRule="atLeast"/>
        </w:trPr>
        <w:tc>
          <w:tcPr>
            <w:tcW w:w="716" w:type="dxa"/>
            <w:gridSpan w:val="2"/>
            <w:tcBorders>
              <w:top w:val="nil"/>
              <w:left w:val="single" w:color="auto" w:sz="4" w:space="0"/>
              <w:bottom w:val="single" w:color="auto" w:sz="4" w:space="0"/>
              <w:right w:val="single" w:color="auto" w:sz="4" w:space="0"/>
            </w:tcBorders>
            <w:noWrap/>
            <w:vAlign w:val="center"/>
          </w:tcPr>
          <w:p w14:paraId="51E85B7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5489F3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抢水、非法引水、截水</w:t>
            </w:r>
          </w:p>
        </w:tc>
        <w:tc>
          <w:tcPr>
            <w:tcW w:w="2981" w:type="dxa"/>
            <w:tcBorders>
              <w:top w:val="nil"/>
              <w:left w:val="nil"/>
              <w:bottom w:val="single" w:color="auto" w:sz="4" w:space="0"/>
              <w:right w:val="single" w:color="auto" w:sz="4" w:space="0"/>
            </w:tcBorders>
            <w:noWrap w:val="0"/>
            <w:vAlign w:val="center"/>
          </w:tcPr>
          <w:p w14:paraId="7772992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处罚条款：第六十二条，责令停止违法行为，予以警告。</w:t>
            </w:r>
          </w:p>
        </w:tc>
        <w:tc>
          <w:tcPr>
            <w:tcW w:w="851" w:type="dxa"/>
            <w:tcBorders>
              <w:top w:val="nil"/>
              <w:left w:val="nil"/>
              <w:bottom w:val="single" w:color="auto" w:sz="4" w:space="0"/>
              <w:right w:val="single" w:color="auto" w:sz="4" w:space="0"/>
            </w:tcBorders>
            <w:noWrap w:val="0"/>
            <w:vAlign w:val="center"/>
          </w:tcPr>
          <w:p w14:paraId="65B4ACB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3036672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4DCD8EB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14:paraId="5AD577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08B84B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A21203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50ABA8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C2349400</w:t>
            </w:r>
          </w:p>
        </w:tc>
      </w:tr>
      <w:tr w14:paraId="437F6F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3" w:hRule="atLeast"/>
        </w:trPr>
        <w:tc>
          <w:tcPr>
            <w:tcW w:w="13283" w:type="dxa"/>
            <w:gridSpan w:val="11"/>
            <w:tcBorders>
              <w:top w:val="nil"/>
              <w:left w:val="single" w:color="auto" w:sz="4" w:space="0"/>
              <w:bottom w:val="single" w:color="auto" w:sz="4" w:space="0"/>
              <w:right w:val="single" w:color="auto" w:sz="4" w:space="0"/>
            </w:tcBorders>
            <w:noWrap/>
            <w:vAlign w:val="center"/>
          </w:tcPr>
          <w:p w14:paraId="64210451">
            <w:pPr>
              <w:widowControl/>
              <w:jc w:val="center"/>
              <w:outlineLvl w:val="1"/>
              <w:rPr>
                <w:rFonts w:hint="eastAsia" w:ascii="宋体" w:hAnsi="宋体" w:eastAsia="宋体" w:cs="宋体"/>
                <w:color w:val="auto"/>
                <w:kern w:val="0"/>
                <w:szCs w:val="21"/>
                <w:highlight w:val="none"/>
              </w:rPr>
            </w:pPr>
            <w:bookmarkStart w:id="319" w:name="_Toc1440360601"/>
            <w:bookmarkStart w:id="320" w:name="_Toc218468884"/>
            <w:r>
              <w:rPr>
                <w:rFonts w:hint="eastAsia" w:ascii="宋体" w:hAnsi="宋体" w:eastAsia="宋体" w:cs="宋体"/>
                <w:b/>
                <w:bCs/>
                <w:color w:val="auto"/>
                <w:kern w:val="0"/>
                <w:szCs w:val="21"/>
                <w:highlight w:val="none"/>
              </w:rPr>
              <w:t>《中华人民共和国河道管理条例》案由1项</w:t>
            </w:r>
            <w:bookmarkEnd w:id="319"/>
            <w:bookmarkEnd w:id="320"/>
          </w:p>
        </w:tc>
        <w:tc>
          <w:tcPr>
            <w:tcW w:w="3173" w:type="dxa"/>
            <w:gridSpan w:val="3"/>
            <w:tcBorders>
              <w:top w:val="nil"/>
              <w:left w:val="single" w:color="auto" w:sz="4" w:space="0"/>
              <w:bottom w:val="single" w:color="auto" w:sz="4" w:space="0"/>
              <w:right w:val="single" w:color="auto" w:sz="4" w:space="0"/>
            </w:tcBorders>
            <w:noWrap/>
            <w:vAlign w:val="center"/>
          </w:tcPr>
          <w:p w14:paraId="413A3CC5">
            <w:pPr>
              <w:widowControl/>
              <w:jc w:val="center"/>
              <w:outlineLvl w:val="1"/>
              <w:rPr>
                <w:rFonts w:hint="eastAsia" w:ascii="宋体" w:hAnsi="宋体" w:eastAsia="宋体" w:cs="宋体"/>
                <w:b/>
                <w:bCs/>
                <w:color w:val="auto"/>
                <w:kern w:val="0"/>
                <w:szCs w:val="21"/>
                <w:highlight w:val="none"/>
              </w:rPr>
            </w:pPr>
          </w:p>
        </w:tc>
      </w:tr>
      <w:tr w14:paraId="34D0CE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321E0CE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466CB9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汛期违反防汛指挥部的规定或者指令</w:t>
            </w:r>
          </w:p>
        </w:tc>
        <w:tc>
          <w:tcPr>
            <w:tcW w:w="2981" w:type="dxa"/>
            <w:tcBorders>
              <w:top w:val="nil"/>
              <w:left w:val="nil"/>
              <w:bottom w:val="single" w:color="auto" w:sz="4" w:space="0"/>
              <w:right w:val="single" w:color="auto" w:sz="4" w:space="0"/>
            </w:tcBorders>
            <w:noWrap w:val="0"/>
            <w:vAlign w:val="center"/>
          </w:tcPr>
          <w:p w14:paraId="1F8C16E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违反条款：第四十四条第一款第（八）项；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处罚条款：第四十四条第一款第（八）项，责令其纠正违法行为、采取补救措施外，可以并处警告、罚款、没收非法所得。</w:t>
            </w:r>
          </w:p>
        </w:tc>
        <w:tc>
          <w:tcPr>
            <w:tcW w:w="851" w:type="dxa"/>
            <w:tcBorders>
              <w:top w:val="nil"/>
              <w:left w:val="nil"/>
              <w:bottom w:val="single" w:color="auto" w:sz="4" w:space="0"/>
              <w:right w:val="single" w:color="auto" w:sz="4" w:space="0"/>
            </w:tcBorders>
            <w:noWrap w:val="0"/>
            <w:vAlign w:val="center"/>
          </w:tcPr>
          <w:p w14:paraId="78DD825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5DA0C3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7C80B3E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14:paraId="462D302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05A9CC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A6B190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E00A8A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C2318500</w:t>
            </w:r>
          </w:p>
        </w:tc>
      </w:tr>
      <w:tr w14:paraId="318491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14:paraId="4C63E63F">
            <w:pPr>
              <w:widowControl/>
              <w:jc w:val="center"/>
              <w:outlineLvl w:val="0"/>
              <w:rPr>
                <w:rFonts w:ascii="Times New Roman" w:hAnsi="Times New Roman" w:eastAsia="宋体" w:cs="Times New Roman"/>
                <w:color w:val="auto"/>
                <w:kern w:val="0"/>
                <w:sz w:val="28"/>
                <w:szCs w:val="28"/>
                <w:highlight w:val="none"/>
              </w:rPr>
            </w:pPr>
            <w:bookmarkStart w:id="321" w:name="_Toc218468885"/>
            <w:bookmarkStart w:id="322" w:name="_Toc323740398"/>
            <w:r>
              <w:rPr>
                <w:rFonts w:hint="eastAsia" w:ascii="黑体" w:hAnsi="黑体" w:eastAsia="黑体" w:cs="黑体"/>
                <w:color w:val="auto"/>
                <w:kern w:val="0"/>
                <w:sz w:val="28"/>
                <w:szCs w:val="28"/>
                <w:highlight w:val="none"/>
              </w:rPr>
              <w:t>水利项目招投标管理方面</w:t>
            </w:r>
            <w:bookmarkEnd w:id="321"/>
            <w:bookmarkEnd w:id="322"/>
          </w:p>
        </w:tc>
        <w:tc>
          <w:tcPr>
            <w:tcW w:w="3173" w:type="dxa"/>
            <w:gridSpan w:val="3"/>
            <w:tcBorders>
              <w:top w:val="nil"/>
              <w:left w:val="single" w:color="auto" w:sz="4" w:space="0"/>
              <w:bottom w:val="single" w:color="auto" w:sz="4" w:space="0"/>
              <w:right w:val="single" w:color="auto" w:sz="4" w:space="0"/>
            </w:tcBorders>
            <w:noWrap/>
            <w:vAlign w:val="center"/>
          </w:tcPr>
          <w:p w14:paraId="6FC8E5C2">
            <w:pPr>
              <w:widowControl/>
              <w:jc w:val="center"/>
              <w:outlineLvl w:val="0"/>
              <w:rPr>
                <w:rFonts w:hint="eastAsia" w:ascii="黑体" w:hAnsi="黑体" w:eastAsia="黑体" w:cs="黑体"/>
                <w:color w:val="auto"/>
                <w:kern w:val="0"/>
                <w:sz w:val="28"/>
                <w:szCs w:val="28"/>
                <w:highlight w:val="none"/>
              </w:rPr>
            </w:pPr>
          </w:p>
        </w:tc>
      </w:tr>
      <w:tr w14:paraId="3AA83D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14:paraId="24A8EAF9">
            <w:pPr>
              <w:widowControl/>
              <w:jc w:val="center"/>
              <w:outlineLvl w:val="1"/>
              <w:rPr>
                <w:rFonts w:hint="eastAsia" w:ascii="宋体" w:hAnsi="宋体" w:eastAsia="宋体" w:cs="宋体"/>
                <w:color w:val="auto"/>
                <w:kern w:val="0"/>
                <w:szCs w:val="21"/>
                <w:highlight w:val="none"/>
              </w:rPr>
            </w:pPr>
            <w:bookmarkStart w:id="323" w:name="_Toc1376045253"/>
            <w:bookmarkStart w:id="324" w:name="_Toc218468886"/>
            <w:r>
              <w:rPr>
                <w:rFonts w:hint="eastAsia" w:ascii="宋体" w:hAnsi="宋体" w:eastAsia="宋体" w:cs="宋体"/>
                <w:b/>
                <w:bCs/>
                <w:color w:val="auto"/>
                <w:kern w:val="0"/>
                <w:szCs w:val="21"/>
                <w:highlight w:val="none"/>
              </w:rPr>
              <w:t>《中华人民共和国招标投标法》《中华人民共和国招标投标法实施条例》案由9项</w:t>
            </w:r>
            <w:bookmarkEnd w:id="323"/>
            <w:bookmarkEnd w:id="324"/>
          </w:p>
        </w:tc>
        <w:tc>
          <w:tcPr>
            <w:tcW w:w="3173" w:type="dxa"/>
            <w:gridSpan w:val="3"/>
            <w:tcBorders>
              <w:top w:val="nil"/>
              <w:left w:val="single" w:color="auto" w:sz="4" w:space="0"/>
              <w:bottom w:val="single" w:color="auto" w:sz="4" w:space="0"/>
              <w:right w:val="single" w:color="auto" w:sz="4" w:space="0"/>
            </w:tcBorders>
            <w:noWrap/>
            <w:vAlign w:val="center"/>
          </w:tcPr>
          <w:p w14:paraId="5DDF9BB6">
            <w:pPr>
              <w:widowControl/>
              <w:jc w:val="center"/>
              <w:outlineLvl w:val="1"/>
              <w:rPr>
                <w:rFonts w:hint="eastAsia" w:ascii="宋体" w:hAnsi="宋体" w:eastAsia="宋体" w:cs="宋体"/>
                <w:b/>
                <w:bCs/>
                <w:color w:val="auto"/>
                <w:kern w:val="0"/>
                <w:szCs w:val="21"/>
                <w:highlight w:val="none"/>
              </w:rPr>
            </w:pPr>
          </w:p>
        </w:tc>
      </w:tr>
      <w:tr w14:paraId="10CF668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056B52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3BD0D9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必须进行招标的项目而不招标，或者将必须进行招标的项目化整为零或者以其他任何方式规避招标（水利项目）</w:t>
            </w:r>
          </w:p>
        </w:tc>
        <w:tc>
          <w:tcPr>
            <w:tcW w:w="2981" w:type="dxa"/>
            <w:tcBorders>
              <w:top w:val="nil"/>
              <w:left w:val="nil"/>
              <w:bottom w:val="single" w:color="auto" w:sz="4" w:space="0"/>
              <w:right w:val="single" w:color="auto" w:sz="4" w:space="0"/>
            </w:tcBorders>
            <w:noWrap w:val="0"/>
            <w:vAlign w:val="center"/>
          </w:tcPr>
          <w:p w14:paraId="0B96AD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处罚条款：《招标投标法》第四十九条，责令限期改正，可以处项目合同金额千分之五以上千分之十以下的罚款。</w:t>
            </w:r>
          </w:p>
        </w:tc>
        <w:tc>
          <w:tcPr>
            <w:tcW w:w="851" w:type="dxa"/>
            <w:tcBorders>
              <w:top w:val="nil"/>
              <w:left w:val="nil"/>
              <w:bottom w:val="single" w:color="auto" w:sz="4" w:space="0"/>
              <w:right w:val="single" w:color="auto" w:sz="4" w:space="0"/>
            </w:tcBorders>
            <w:noWrap w:val="0"/>
            <w:vAlign w:val="center"/>
          </w:tcPr>
          <w:p w14:paraId="406A398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项目合同金额×5‰</w:t>
            </w:r>
          </w:p>
        </w:tc>
        <w:tc>
          <w:tcPr>
            <w:tcW w:w="840" w:type="dxa"/>
            <w:tcBorders>
              <w:top w:val="nil"/>
              <w:left w:val="nil"/>
              <w:bottom w:val="single" w:color="auto" w:sz="4" w:space="0"/>
              <w:right w:val="single" w:color="auto" w:sz="4" w:space="0"/>
            </w:tcBorders>
            <w:noWrap w:val="0"/>
            <w:vAlign w:val="center"/>
          </w:tcPr>
          <w:p w14:paraId="4E7CA60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00F030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1.项目合同金额＜法定必须招标的金额标准2倍，系数为0；2.法定必须招标的金额标准2倍≤项目合同金额＜法定必须招标的金额标准5倍，系数为0.5；3.法定必须招标的金额标准5倍≤项目合同金额或造成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E2C44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罚款金额=项目合同金额×5‰×（1+情节系数）</w:t>
            </w:r>
          </w:p>
        </w:tc>
        <w:tc>
          <w:tcPr>
            <w:tcW w:w="2016" w:type="dxa"/>
            <w:tcBorders>
              <w:top w:val="nil"/>
              <w:left w:val="nil"/>
              <w:bottom w:val="single" w:color="auto" w:sz="4" w:space="0"/>
              <w:right w:val="single" w:color="auto" w:sz="4" w:space="0"/>
            </w:tcBorders>
            <w:noWrap w:val="0"/>
            <w:vAlign w:val="center"/>
          </w:tcPr>
          <w:p w14:paraId="29CBFD9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473313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144C28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C2330100</w:t>
            </w:r>
          </w:p>
        </w:tc>
      </w:tr>
      <w:tr w14:paraId="3FA09F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vMerge w:val="restart"/>
            <w:tcBorders>
              <w:top w:val="nil"/>
              <w:left w:val="single" w:color="auto" w:sz="4" w:space="0"/>
              <w:bottom w:val="single" w:color="auto" w:sz="4" w:space="0"/>
              <w:right w:val="single" w:color="auto" w:sz="4" w:space="0"/>
            </w:tcBorders>
            <w:noWrap w:val="0"/>
            <w:vAlign w:val="center"/>
          </w:tcPr>
          <w:p w14:paraId="233F31C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14:paraId="5EB5B2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招标代理机构泄露应当保密的与招标投标活动有关的情况和资料，或者与招标人、投标人串通损害国家利益、社会公共利益或者他人合法权益（水利项目）</w:t>
            </w:r>
          </w:p>
        </w:tc>
        <w:tc>
          <w:tcPr>
            <w:tcW w:w="2981" w:type="dxa"/>
            <w:vMerge w:val="restart"/>
            <w:tcBorders>
              <w:top w:val="nil"/>
              <w:left w:val="single" w:color="auto" w:sz="4" w:space="0"/>
              <w:bottom w:val="single" w:color="auto" w:sz="4" w:space="0"/>
              <w:right w:val="single" w:color="auto" w:sz="4" w:space="0"/>
            </w:tcBorders>
            <w:noWrap w:val="0"/>
            <w:vAlign w:val="center"/>
          </w:tcPr>
          <w:p w14:paraId="18F12F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条，处五万元以上二十五万元以下的罚款，对单位直接负责的主管人员和其他直接责任人员处单位罚款数额百分之五以上百分之十以下的罚款；有违法所得的，并处没收违法所得。</w:t>
            </w:r>
          </w:p>
        </w:tc>
        <w:tc>
          <w:tcPr>
            <w:tcW w:w="851" w:type="dxa"/>
            <w:tcBorders>
              <w:top w:val="nil"/>
              <w:left w:val="nil"/>
              <w:bottom w:val="single" w:color="auto" w:sz="4" w:space="0"/>
              <w:right w:val="single" w:color="auto" w:sz="4" w:space="0"/>
            </w:tcBorders>
            <w:noWrap w:val="0"/>
            <w:vAlign w:val="center"/>
          </w:tcPr>
          <w:p w14:paraId="553011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50000（对单位）</w:t>
            </w:r>
          </w:p>
        </w:tc>
        <w:tc>
          <w:tcPr>
            <w:tcW w:w="840" w:type="dxa"/>
            <w:tcBorders>
              <w:top w:val="nil"/>
              <w:left w:val="nil"/>
              <w:bottom w:val="single" w:color="auto" w:sz="4" w:space="0"/>
              <w:right w:val="single" w:color="auto" w:sz="4" w:space="0"/>
            </w:tcBorders>
            <w:noWrap w:val="0"/>
            <w:vAlign w:val="center"/>
          </w:tcPr>
          <w:p w14:paraId="2B80D25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738B3D0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3倍，系数为1；3.法定必须招标的金额标准3倍≤招标控制价＜法定必须招标的金额标准4倍，系数为2；4.法定必须招标的金额标准4倍≤招标控制价＜法定必须招标的金额标准5倍，系数为3；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0EF1D6D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651869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3895C14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691C77D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C2330200</w:t>
            </w:r>
          </w:p>
        </w:tc>
      </w:tr>
      <w:tr w14:paraId="21A0EB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432CF99A">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30FC6B5F">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2EC6AA4F">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24C6598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14:paraId="74B70D2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7E519526">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1.招标控制价＜法定必须招标的金额标准2倍，系数为0；2.法定必须招标的金额标准2倍≤招标控制价＜法定必须招标的金额标准5倍，系数为0.5；3.法定必须招标的金额标准5倍≤招标控制价或造成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190182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5D3E46A9">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0E9465C6">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136A6E54">
            <w:pPr>
              <w:widowControl/>
              <w:jc w:val="left"/>
              <w:rPr>
                <w:rFonts w:hint="eastAsia" w:ascii="宋体" w:hAnsi="宋体" w:eastAsia="宋体" w:cs="宋体"/>
                <w:color w:val="auto"/>
                <w:kern w:val="0"/>
                <w:sz w:val="15"/>
                <w:szCs w:val="15"/>
                <w:highlight w:val="none"/>
              </w:rPr>
            </w:pPr>
          </w:p>
        </w:tc>
      </w:tr>
      <w:tr w14:paraId="6703CA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63EE330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6797E5E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招标人以不合理的条件限制或者排斥潜在投标人，对潜在投标人实行歧视待遇，强制要求投标人组成联合体共同投标，或者限制投标人之间竞争（水利项目）</w:t>
            </w:r>
          </w:p>
        </w:tc>
        <w:tc>
          <w:tcPr>
            <w:tcW w:w="2981" w:type="dxa"/>
            <w:tcBorders>
              <w:top w:val="nil"/>
              <w:left w:val="nil"/>
              <w:bottom w:val="single" w:color="auto" w:sz="4" w:space="0"/>
              <w:right w:val="single" w:color="auto" w:sz="4" w:space="0"/>
            </w:tcBorders>
            <w:noWrap w:val="0"/>
            <w:vAlign w:val="center"/>
          </w:tcPr>
          <w:p w14:paraId="0AA18A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处罚条款：《招标投标法》第五十一条，责令改正，可以处一万元以上五万元以下的罚款。</w:t>
            </w:r>
          </w:p>
        </w:tc>
        <w:tc>
          <w:tcPr>
            <w:tcW w:w="851" w:type="dxa"/>
            <w:tcBorders>
              <w:top w:val="nil"/>
              <w:left w:val="nil"/>
              <w:bottom w:val="single" w:color="auto" w:sz="4" w:space="0"/>
              <w:right w:val="single" w:color="auto" w:sz="4" w:space="0"/>
            </w:tcBorders>
            <w:noWrap w:val="0"/>
            <w:vAlign w:val="center"/>
          </w:tcPr>
          <w:p w14:paraId="17F9C7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564197F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264C7C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3倍，系数为1；3.法定必须招标的金额标准3倍≤招标控制价＜法定必须招标的金额标准4倍，系数为2；4.法定必须招标的金额标准4倍≤招标控制价＜法定必须招标的金额标准5倍，系数为3；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5E5DCC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12D0DF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4D44AA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837D48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C2330300</w:t>
            </w:r>
          </w:p>
        </w:tc>
      </w:tr>
      <w:tr w14:paraId="256553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72B59AA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0A7F73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依法必须进行招标的项目的招标人向他人透露已获取招标文件的潜在投标人的名称、数量或者可能影响公平竞争的有关招标投标的其他情况，或者泄露标底（水利项目）</w:t>
            </w:r>
          </w:p>
        </w:tc>
        <w:tc>
          <w:tcPr>
            <w:tcW w:w="2981" w:type="dxa"/>
            <w:tcBorders>
              <w:top w:val="nil"/>
              <w:left w:val="nil"/>
              <w:bottom w:val="single" w:color="auto" w:sz="4" w:space="0"/>
              <w:right w:val="single" w:color="auto" w:sz="4" w:space="0"/>
            </w:tcBorders>
            <w:noWrap w:val="0"/>
            <w:vAlign w:val="center"/>
          </w:tcPr>
          <w:p w14:paraId="44A4BF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处罚条款：《招标投标法》第五十二条，给予警告，可以并处一万元以上十万元以下的罚款。</w:t>
            </w:r>
          </w:p>
        </w:tc>
        <w:tc>
          <w:tcPr>
            <w:tcW w:w="851" w:type="dxa"/>
            <w:tcBorders>
              <w:top w:val="nil"/>
              <w:left w:val="nil"/>
              <w:bottom w:val="single" w:color="auto" w:sz="4" w:space="0"/>
              <w:right w:val="single" w:color="auto" w:sz="4" w:space="0"/>
            </w:tcBorders>
            <w:noWrap w:val="0"/>
            <w:vAlign w:val="center"/>
          </w:tcPr>
          <w:p w14:paraId="6B0E142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2ED22DC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0E5B2FDA">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招标控制价＜法定必须招标的金额标准2倍，系数为0；2.法定必须招标的金额标准2倍≤招标控制价＜法定必须招标的金额标准3倍，系数为2；3.法定必须招标的金额标准3倍≤招标控制价＜法定必须招标的金额标准4倍，系数为4；4.法定必须招标的金额标准4倍≤招标控制价＜法定必须招标的金额标准5倍，系数为6；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3BF9A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50DC51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D018BA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446D39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C2330400</w:t>
            </w:r>
          </w:p>
        </w:tc>
      </w:tr>
      <w:tr w14:paraId="3B853CA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0"/>
            <w:vAlign w:val="center"/>
          </w:tcPr>
          <w:p w14:paraId="5A7D09B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vMerge w:val="restart"/>
            <w:tcBorders>
              <w:top w:val="nil"/>
              <w:left w:val="single" w:color="auto" w:sz="4" w:space="0"/>
              <w:bottom w:val="single" w:color="auto" w:sz="4" w:space="0"/>
              <w:right w:val="single" w:color="auto" w:sz="4" w:space="0"/>
            </w:tcBorders>
            <w:noWrap w:val="0"/>
            <w:vAlign w:val="center"/>
          </w:tcPr>
          <w:p w14:paraId="33F408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投标人相互串通投标或者与招标人串通投标，投标人以向招标人或者评标委员会成员行贿的手段谋取中标（水利项目）</w:t>
            </w:r>
          </w:p>
        </w:tc>
        <w:tc>
          <w:tcPr>
            <w:tcW w:w="2981" w:type="dxa"/>
            <w:vMerge w:val="restart"/>
            <w:tcBorders>
              <w:top w:val="nil"/>
              <w:left w:val="single" w:color="auto" w:sz="4" w:space="0"/>
              <w:bottom w:val="single" w:color="auto" w:sz="4" w:space="0"/>
              <w:right w:val="single" w:color="auto" w:sz="4" w:space="0"/>
            </w:tcBorders>
            <w:noWrap w:val="0"/>
            <w:vAlign w:val="center"/>
          </w:tcPr>
          <w:p w14:paraId="36379F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三条，处中标项目金额千分之五以上千分之十以下的罚款，对单位直接负责的主管人员和其他直接责任人员处单位罚款数额百分之五以上百分之十以下的罚款；有违法所得的，并处没收违法所得。</w:t>
            </w:r>
          </w:p>
        </w:tc>
        <w:tc>
          <w:tcPr>
            <w:tcW w:w="851" w:type="dxa"/>
            <w:tcBorders>
              <w:top w:val="nil"/>
              <w:left w:val="nil"/>
              <w:bottom w:val="single" w:color="auto" w:sz="4" w:space="0"/>
              <w:right w:val="single" w:color="auto" w:sz="4" w:space="0"/>
            </w:tcBorders>
            <w:noWrap w:val="0"/>
            <w:vAlign w:val="center"/>
          </w:tcPr>
          <w:p w14:paraId="006A63F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中标项目金额×5‰（对单位）</w:t>
            </w:r>
          </w:p>
        </w:tc>
        <w:tc>
          <w:tcPr>
            <w:tcW w:w="840" w:type="dxa"/>
            <w:tcBorders>
              <w:top w:val="nil"/>
              <w:left w:val="nil"/>
              <w:bottom w:val="single" w:color="auto" w:sz="4" w:space="0"/>
              <w:right w:val="single" w:color="auto" w:sz="4" w:space="0"/>
            </w:tcBorders>
            <w:noWrap w:val="0"/>
            <w:vAlign w:val="center"/>
          </w:tcPr>
          <w:p w14:paraId="0FBC98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tcBorders>
              <w:top w:val="nil"/>
              <w:left w:val="single" w:color="auto" w:sz="4" w:space="0"/>
              <w:bottom w:val="single" w:color="auto" w:sz="4" w:space="0"/>
              <w:right w:val="single" w:color="auto" w:sz="4" w:space="0"/>
            </w:tcBorders>
            <w:noWrap w:val="0"/>
            <w:vAlign w:val="center"/>
          </w:tcPr>
          <w:p w14:paraId="2F59C6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44EA87E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罚款金额=中标项目金额×5‰×（1+情节系数）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09A1314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6BB4E2E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1172D85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C2330500</w:t>
            </w:r>
          </w:p>
        </w:tc>
      </w:tr>
      <w:tr w14:paraId="6DB3742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44789FEE">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6E36FA8B">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7B1D4A45">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10FAC24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14:paraId="159FE7D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tcBorders>
              <w:top w:val="nil"/>
              <w:left w:val="single" w:color="auto" w:sz="4" w:space="0"/>
              <w:bottom w:val="single" w:color="auto" w:sz="4" w:space="0"/>
              <w:right w:val="single" w:color="auto" w:sz="4" w:space="0"/>
            </w:tcBorders>
            <w:noWrap w:val="0"/>
            <w:vAlign w:val="center"/>
          </w:tcPr>
          <w:p w14:paraId="3922DB18">
            <w:pPr>
              <w:widowControl/>
              <w:jc w:val="left"/>
              <w:rPr>
                <w:rFonts w:hint="eastAsia" w:ascii="宋体" w:hAnsi="宋体" w:eastAsia="宋体" w:cs="宋体"/>
                <w:color w:val="auto"/>
                <w:kern w:val="0"/>
                <w:sz w:val="15"/>
                <w:szCs w:val="15"/>
                <w:highlight w:val="none"/>
              </w:rPr>
            </w:pPr>
          </w:p>
        </w:tc>
        <w:tc>
          <w:tcPr>
            <w:tcW w:w="1879" w:type="dxa"/>
            <w:gridSpan w:val="3"/>
            <w:tcBorders>
              <w:top w:val="nil"/>
              <w:left w:val="nil"/>
              <w:bottom w:val="single" w:color="auto" w:sz="4" w:space="0"/>
              <w:right w:val="single" w:color="auto" w:sz="4" w:space="0"/>
            </w:tcBorders>
            <w:noWrap w:val="0"/>
            <w:vAlign w:val="center"/>
          </w:tcPr>
          <w:p w14:paraId="1EA882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16A4A42D">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5A876049">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2918B305">
            <w:pPr>
              <w:widowControl/>
              <w:jc w:val="left"/>
              <w:rPr>
                <w:rFonts w:hint="eastAsia" w:ascii="宋体" w:hAnsi="宋体" w:eastAsia="宋体" w:cs="宋体"/>
                <w:color w:val="auto"/>
                <w:kern w:val="0"/>
                <w:sz w:val="15"/>
                <w:szCs w:val="15"/>
                <w:highlight w:val="none"/>
              </w:rPr>
            </w:pPr>
          </w:p>
        </w:tc>
      </w:tr>
      <w:tr w14:paraId="055E0E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00" w:hRule="atLeast"/>
        </w:trPr>
        <w:tc>
          <w:tcPr>
            <w:tcW w:w="716" w:type="dxa"/>
            <w:gridSpan w:val="2"/>
            <w:vMerge w:val="restart"/>
            <w:tcBorders>
              <w:top w:val="nil"/>
              <w:left w:val="single" w:color="auto" w:sz="4" w:space="0"/>
              <w:bottom w:val="single" w:color="auto" w:sz="4" w:space="0"/>
              <w:right w:val="single" w:color="auto" w:sz="4" w:space="0"/>
            </w:tcBorders>
            <w:noWrap w:val="0"/>
            <w:vAlign w:val="center"/>
          </w:tcPr>
          <w:p w14:paraId="54A944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vMerge w:val="restart"/>
            <w:tcBorders>
              <w:top w:val="nil"/>
              <w:left w:val="single" w:color="auto" w:sz="4" w:space="0"/>
              <w:bottom w:val="single" w:color="auto" w:sz="4" w:space="0"/>
              <w:right w:val="single" w:color="auto" w:sz="4" w:space="0"/>
            </w:tcBorders>
            <w:noWrap w:val="0"/>
            <w:vAlign w:val="center"/>
          </w:tcPr>
          <w:p w14:paraId="5538CD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投标人以他人名义投标或者以其他方式弄虚作假，骗取中标（水利项目）</w:t>
            </w:r>
          </w:p>
        </w:tc>
        <w:tc>
          <w:tcPr>
            <w:tcW w:w="2981" w:type="dxa"/>
            <w:vMerge w:val="restart"/>
            <w:tcBorders>
              <w:top w:val="nil"/>
              <w:left w:val="single" w:color="auto" w:sz="4" w:space="0"/>
              <w:bottom w:val="single" w:color="auto" w:sz="4" w:space="0"/>
              <w:right w:val="single" w:color="auto" w:sz="4" w:space="0"/>
            </w:tcBorders>
            <w:noWrap w:val="0"/>
            <w:vAlign w:val="center"/>
          </w:tcPr>
          <w:p w14:paraId="4683ED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违反条款：《招标投标法》第三十三条；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四条，处中标项目金额千分之五以上千分之十以下的罚款，对单位直接负责的主管人员和其他直接责任人员处单位罚款数额百分之五以上百分之十以下的罚款；有违法所得的，并处没收违法所得。</w:t>
            </w:r>
          </w:p>
        </w:tc>
        <w:tc>
          <w:tcPr>
            <w:tcW w:w="851" w:type="dxa"/>
            <w:tcBorders>
              <w:top w:val="nil"/>
              <w:left w:val="nil"/>
              <w:bottom w:val="single" w:color="auto" w:sz="4" w:space="0"/>
              <w:right w:val="single" w:color="auto" w:sz="4" w:space="0"/>
            </w:tcBorders>
            <w:noWrap w:val="0"/>
            <w:vAlign w:val="center"/>
          </w:tcPr>
          <w:p w14:paraId="102874A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中标项目金额×5‰（对单位）</w:t>
            </w:r>
          </w:p>
        </w:tc>
        <w:tc>
          <w:tcPr>
            <w:tcW w:w="840" w:type="dxa"/>
            <w:tcBorders>
              <w:top w:val="nil"/>
              <w:left w:val="nil"/>
              <w:bottom w:val="single" w:color="auto" w:sz="4" w:space="0"/>
              <w:right w:val="single" w:color="auto" w:sz="4" w:space="0"/>
            </w:tcBorders>
            <w:noWrap w:val="0"/>
            <w:vAlign w:val="center"/>
          </w:tcPr>
          <w:p w14:paraId="6446B2D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tcBorders>
              <w:top w:val="nil"/>
              <w:left w:val="single" w:color="auto" w:sz="4" w:space="0"/>
              <w:bottom w:val="single" w:color="auto" w:sz="4" w:space="0"/>
              <w:right w:val="single" w:color="auto" w:sz="4" w:space="0"/>
            </w:tcBorders>
            <w:noWrap w:val="0"/>
            <w:vAlign w:val="center"/>
          </w:tcPr>
          <w:p w14:paraId="3B90A42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0D99B7D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罚款金额=项目金额×5‰×（1+情节系数）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47878D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情节严重从《中华人民共和国招标投标法实施条例》规定。</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14:paraId="4C44A7E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14:paraId="21AE00DA">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C2330600</w:t>
            </w:r>
          </w:p>
        </w:tc>
      </w:tr>
      <w:tr w14:paraId="6E3DB5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80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7ED90D74">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4A761DBE">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7932632A">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65A361F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14:paraId="28B3BA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tcBorders>
              <w:top w:val="nil"/>
              <w:left w:val="single" w:color="auto" w:sz="4" w:space="0"/>
              <w:bottom w:val="single" w:color="auto" w:sz="4" w:space="0"/>
              <w:right w:val="single" w:color="auto" w:sz="4" w:space="0"/>
            </w:tcBorders>
            <w:noWrap w:val="0"/>
            <w:vAlign w:val="center"/>
          </w:tcPr>
          <w:p w14:paraId="3B47EBA3">
            <w:pPr>
              <w:widowControl/>
              <w:jc w:val="left"/>
              <w:rPr>
                <w:rFonts w:hint="eastAsia" w:ascii="宋体" w:hAnsi="宋体" w:eastAsia="宋体" w:cs="宋体"/>
                <w:color w:val="auto"/>
                <w:kern w:val="0"/>
                <w:sz w:val="15"/>
                <w:szCs w:val="15"/>
                <w:highlight w:val="none"/>
              </w:rPr>
            </w:pPr>
          </w:p>
        </w:tc>
        <w:tc>
          <w:tcPr>
            <w:tcW w:w="1879" w:type="dxa"/>
            <w:gridSpan w:val="3"/>
            <w:tcBorders>
              <w:top w:val="nil"/>
              <w:left w:val="nil"/>
              <w:bottom w:val="single" w:color="auto" w:sz="4" w:space="0"/>
              <w:right w:val="single" w:color="auto" w:sz="4" w:space="0"/>
            </w:tcBorders>
            <w:noWrap w:val="0"/>
            <w:vAlign w:val="center"/>
          </w:tcPr>
          <w:p w14:paraId="1802F0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27509066">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14:paraId="551EFF8D">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14:paraId="789B98B5">
            <w:pPr>
              <w:widowControl/>
              <w:jc w:val="left"/>
              <w:rPr>
                <w:rFonts w:hint="eastAsia" w:ascii="宋体" w:hAnsi="宋体" w:eastAsia="宋体" w:cs="宋体"/>
                <w:color w:val="auto"/>
                <w:kern w:val="0"/>
                <w:sz w:val="15"/>
                <w:szCs w:val="15"/>
                <w:highlight w:val="none"/>
              </w:rPr>
            </w:pPr>
          </w:p>
        </w:tc>
      </w:tr>
      <w:tr w14:paraId="015F6B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79C5C24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14:paraId="18C0C8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评标委员会成员收受投标人的财物或者其他好处，评标委员会成员或者参加评标的有关工作人员向他人透露对投标文件的评审和比较、中标候选人的推荐以及与评标有关的其他情况（水利项目）</w:t>
            </w:r>
          </w:p>
        </w:tc>
        <w:tc>
          <w:tcPr>
            <w:tcW w:w="2981" w:type="dxa"/>
            <w:tcBorders>
              <w:top w:val="nil"/>
              <w:left w:val="nil"/>
              <w:bottom w:val="single" w:color="auto" w:sz="4" w:space="0"/>
              <w:right w:val="single" w:color="auto" w:sz="4" w:space="0"/>
            </w:tcBorders>
            <w:noWrap w:val="0"/>
            <w:vAlign w:val="center"/>
          </w:tcPr>
          <w:p w14:paraId="4FC49C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处罚条款：《招标投标法》第五十六条，给予警告，没收收受的财物，可以并处三千元以上五万元以下的罚款。</w:t>
            </w:r>
          </w:p>
        </w:tc>
        <w:tc>
          <w:tcPr>
            <w:tcW w:w="851" w:type="dxa"/>
            <w:tcBorders>
              <w:top w:val="nil"/>
              <w:left w:val="nil"/>
              <w:bottom w:val="single" w:color="auto" w:sz="4" w:space="0"/>
              <w:right w:val="single" w:color="auto" w:sz="4" w:space="0"/>
            </w:tcBorders>
            <w:noWrap w:val="0"/>
            <w:vAlign w:val="center"/>
          </w:tcPr>
          <w:p w14:paraId="1CC240E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14:paraId="7C1717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7ED44A4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没收收受的财物，并处以下罚款：1.招标项目合同金额＜法定必须招标的金额标准2倍，系数为0；2.法定必须招标的金额标准2倍≤招标项目合同金额＜法定必须招标的金额标准5倍，系数为4；3.法定必须招标的金额标准5倍≤招标项目合同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8E976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7142C6E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需要作出3000元以上5000元以下罚款决定的，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3855BEA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A3A3CB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C2330700</w:t>
            </w:r>
          </w:p>
        </w:tc>
      </w:tr>
      <w:tr w14:paraId="1B17C5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45657A5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14:paraId="6AB771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违反规定转让、分包中标项目（水利项目）</w:t>
            </w:r>
          </w:p>
        </w:tc>
        <w:tc>
          <w:tcPr>
            <w:tcW w:w="2981" w:type="dxa"/>
            <w:tcBorders>
              <w:top w:val="nil"/>
              <w:left w:val="nil"/>
              <w:bottom w:val="single" w:color="auto" w:sz="4" w:space="0"/>
              <w:right w:val="single" w:color="auto" w:sz="4" w:space="0"/>
            </w:tcBorders>
            <w:noWrap w:val="0"/>
            <w:vAlign w:val="center"/>
          </w:tcPr>
          <w:p w14:paraId="747DB6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处罚条款：《招标投标法》第五十八条，处转让、分包项目金额千分之五以上千分之十以下的罚款；有违法所得的，并处没收违法所得。</w:t>
            </w:r>
          </w:p>
        </w:tc>
        <w:tc>
          <w:tcPr>
            <w:tcW w:w="851" w:type="dxa"/>
            <w:tcBorders>
              <w:top w:val="nil"/>
              <w:left w:val="nil"/>
              <w:bottom w:val="single" w:color="auto" w:sz="4" w:space="0"/>
              <w:right w:val="single" w:color="auto" w:sz="4" w:space="0"/>
            </w:tcBorders>
            <w:noWrap w:val="0"/>
            <w:vAlign w:val="center"/>
          </w:tcPr>
          <w:p w14:paraId="0232C5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转让、分包项目金额×5‰</w:t>
            </w:r>
          </w:p>
        </w:tc>
        <w:tc>
          <w:tcPr>
            <w:tcW w:w="840" w:type="dxa"/>
            <w:tcBorders>
              <w:top w:val="nil"/>
              <w:left w:val="nil"/>
              <w:bottom w:val="single" w:color="auto" w:sz="4" w:space="0"/>
              <w:right w:val="single" w:color="auto" w:sz="4" w:space="0"/>
            </w:tcBorders>
            <w:noWrap w:val="0"/>
            <w:vAlign w:val="center"/>
          </w:tcPr>
          <w:p w14:paraId="2187963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27DAC45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转让、分包项目金额＜200万元，系数为0；2.200万元≤转让、分包项目金额＜300万元，系数为0.25；3.300万元≤转让、分包项目金额＜400万元，系数为0.5；4.400万元≤转让、分包项目金额＜500万元，系数为0.75；5.500万元≤转让、分包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恶劣影响，系数为1。6.存在基准2.1.3规定情形的，系数按照相关规定确定（基准2.1.3.5不适用）。有违法所得的，没收违法所得。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3B812E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罚款金额=项目金额×5‰×（1+情节系数）</w:t>
            </w:r>
          </w:p>
        </w:tc>
        <w:tc>
          <w:tcPr>
            <w:tcW w:w="2016" w:type="dxa"/>
            <w:tcBorders>
              <w:top w:val="nil"/>
              <w:left w:val="nil"/>
              <w:bottom w:val="single" w:color="auto" w:sz="4" w:space="0"/>
              <w:right w:val="single" w:color="auto" w:sz="4" w:space="0"/>
            </w:tcBorders>
            <w:noWrap w:val="0"/>
            <w:vAlign w:val="center"/>
          </w:tcPr>
          <w:p w14:paraId="53721B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4EB06D0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9FC64E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C2330900</w:t>
            </w:r>
          </w:p>
        </w:tc>
      </w:tr>
      <w:tr w14:paraId="5723F93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343A28E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14:paraId="7518D5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招标人与中标人不按照招标文件和中标人的投标文件订立合同，或者合同的主要条款与招标文件、中标人的投标文件的内容不一致，或者招标人、中标人订立背离合同实质性内容的协议的（水利项目）</w:t>
            </w:r>
          </w:p>
        </w:tc>
        <w:tc>
          <w:tcPr>
            <w:tcW w:w="2981" w:type="dxa"/>
            <w:tcBorders>
              <w:top w:val="nil"/>
              <w:left w:val="nil"/>
              <w:bottom w:val="single" w:color="auto" w:sz="4" w:space="0"/>
              <w:right w:val="single" w:color="auto" w:sz="4" w:space="0"/>
            </w:tcBorders>
            <w:noWrap w:val="0"/>
            <w:vAlign w:val="center"/>
          </w:tcPr>
          <w:p w14:paraId="5A5288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违反条款：《招标投标法》第四十六条第一款；《条例》第五十七条第一款；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处罚条款：《招标投标法》第五十九条，责令改正，可以处中标项目金额千分之五以上千分之十以下的罚款；《条例》第七十五条，责令改正，可以处中标项目金额5‰以上10‰以下的罚款。</w:t>
            </w:r>
          </w:p>
        </w:tc>
        <w:tc>
          <w:tcPr>
            <w:tcW w:w="851" w:type="dxa"/>
            <w:tcBorders>
              <w:top w:val="nil"/>
              <w:left w:val="nil"/>
              <w:bottom w:val="single" w:color="auto" w:sz="4" w:space="0"/>
              <w:right w:val="single" w:color="auto" w:sz="4" w:space="0"/>
            </w:tcBorders>
            <w:noWrap w:val="0"/>
            <w:vAlign w:val="center"/>
          </w:tcPr>
          <w:p w14:paraId="519A059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w:t>
            </w:r>
          </w:p>
        </w:tc>
        <w:tc>
          <w:tcPr>
            <w:tcW w:w="840" w:type="dxa"/>
            <w:tcBorders>
              <w:top w:val="nil"/>
              <w:left w:val="nil"/>
              <w:bottom w:val="single" w:color="auto" w:sz="4" w:space="0"/>
              <w:right w:val="single" w:color="auto" w:sz="4" w:space="0"/>
            </w:tcBorders>
            <w:noWrap w:val="0"/>
            <w:vAlign w:val="center"/>
          </w:tcPr>
          <w:p w14:paraId="473A316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3C66B77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4A3CDBB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罚款金额=中标项目金额×5‰×（1+情节系数）</w:t>
            </w:r>
          </w:p>
        </w:tc>
        <w:tc>
          <w:tcPr>
            <w:tcW w:w="2016" w:type="dxa"/>
            <w:tcBorders>
              <w:top w:val="nil"/>
              <w:left w:val="nil"/>
              <w:bottom w:val="single" w:color="auto" w:sz="4" w:space="0"/>
              <w:right w:val="single" w:color="auto" w:sz="4" w:space="0"/>
            </w:tcBorders>
            <w:noWrap w:val="0"/>
            <w:vAlign w:val="center"/>
          </w:tcPr>
          <w:p w14:paraId="6250A9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4EA4C6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54AA09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C2331000</w:t>
            </w:r>
          </w:p>
        </w:tc>
      </w:tr>
      <w:tr w14:paraId="339A58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45E96A57">
            <w:pPr>
              <w:widowControl/>
              <w:jc w:val="center"/>
              <w:outlineLvl w:val="1"/>
              <w:rPr>
                <w:rFonts w:hint="eastAsia" w:ascii="宋体" w:hAnsi="宋体" w:eastAsia="宋体" w:cs="宋体"/>
                <w:color w:val="auto"/>
                <w:kern w:val="0"/>
                <w:szCs w:val="21"/>
                <w:highlight w:val="none"/>
              </w:rPr>
            </w:pPr>
            <w:bookmarkStart w:id="325" w:name="_Toc188320306"/>
            <w:bookmarkStart w:id="326" w:name="_Toc218468887"/>
            <w:r>
              <w:rPr>
                <w:rFonts w:hint="eastAsia" w:ascii="宋体" w:hAnsi="宋体" w:eastAsia="宋体" w:cs="宋体"/>
                <w:b/>
                <w:bCs/>
                <w:color w:val="auto"/>
                <w:kern w:val="0"/>
                <w:szCs w:val="21"/>
                <w:highlight w:val="none"/>
              </w:rPr>
              <w:t>《中华人民共和国招标投标法实施条例》案由12项</w:t>
            </w:r>
            <w:bookmarkEnd w:id="325"/>
            <w:bookmarkEnd w:id="326"/>
          </w:p>
        </w:tc>
        <w:tc>
          <w:tcPr>
            <w:tcW w:w="3173" w:type="dxa"/>
            <w:gridSpan w:val="3"/>
            <w:tcBorders>
              <w:top w:val="nil"/>
              <w:left w:val="single" w:color="auto" w:sz="4" w:space="0"/>
              <w:bottom w:val="single" w:color="auto" w:sz="4" w:space="0"/>
              <w:right w:val="single" w:color="auto" w:sz="4" w:space="0"/>
            </w:tcBorders>
            <w:noWrap w:val="0"/>
            <w:vAlign w:val="center"/>
          </w:tcPr>
          <w:p w14:paraId="147BD263">
            <w:pPr>
              <w:widowControl/>
              <w:jc w:val="center"/>
              <w:outlineLvl w:val="1"/>
              <w:rPr>
                <w:rFonts w:hint="eastAsia" w:ascii="宋体" w:hAnsi="宋体" w:eastAsia="宋体" w:cs="宋体"/>
                <w:b/>
                <w:bCs/>
                <w:color w:val="auto"/>
                <w:kern w:val="0"/>
                <w:szCs w:val="21"/>
                <w:highlight w:val="none"/>
              </w:rPr>
            </w:pPr>
          </w:p>
        </w:tc>
      </w:tr>
      <w:tr w14:paraId="401C61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571FA34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10243EE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招标人违法组建评标委员会，或者违法确定、更换评标委员会成员</w:t>
            </w:r>
          </w:p>
        </w:tc>
        <w:tc>
          <w:tcPr>
            <w:tcW w:w="2981" w:type="dxa"/>
            <w:tcBorders>
              <w:top w:val="nil"/>
              <w:left w:val="nil"/>
              <w:bottom w:val="single" w:color="auto" w:sz="4" w:space="0"/>
              <w:right w:val="single" w:color="auto" w:sz="4" w:space="0"/>
            </w:tcBorders>
            <w:noWrap w:val="0"/>
            <w:vAlign w:val="center"/>
          </w:tcPr>
          <w:p w14:paraId="653603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处罚条款：第七十条第一款，责令改正，可以处10万元以下的罚款。</w:t>
            </w:r>
          </w:p>
        </w:tc>
        <w:tc>
          <w:tcPr>
            <w:tcW w:w="851" w:type="dxa"/>
            <w:tcBorders>
              <w:top w:val="nil"/>
              <w:left w:val="nil"/>
              <w:bottom w:val="single" w:color="auto" w:sz="4" w:space="0"/>
              <w:right w:val="single" w:color="auto" w:sz="4" w:space="0"/>
            </w:tcBorders>
            <w:noWrap w:val="0"/>
            <w:vAlign w:val="center"/>
          </w:tcPr>
          <w:p w14:paraId="76ABA30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1186A8A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220CD56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0FBCB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2F364AC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2F61D77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D18925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C2330800</w:t>
            </w:r>
          </w:p>
        </w:tc>
      </w:tr>
      <w:tr w14:paraId="55AFA81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6346736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78025C5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招标人无正当理由不与中标人订立合同（水利项目）</w:t>
            </w:r>
          </w:p>
        </w:tc>
        <w:tc>
          <w:tcPr>
            <w:tcW w:w="2981" w:type="dxa"/>
            <w:tcBorders>
              <w:top w:val="nil"/>
              <w:left w:val="nil"/>
              <w:bottom w:val="single" w:color="auto" w:sz="4" w:space="0"/>
              <w:right w:val="single" w:color="auto" w:sz="4" w:space="0"/>
            </w:tcBorders>
            <w:noWrap w:val="0"/>
            <w:vAlign w:val="center"/>
          </w:tcPr>
          <w:p w14:paraId="5633066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cs="宋体"/>
                <w:color w:val="auto"/>
                <w:kern w:val="0"/>
                <w:sz w:val="15"/>
                <w:szCs w:val="15"/>
                <w:highlight w:val="none"/>
                <w:lang w:eastAsia="zh"/>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处罚条款：第七十三条第（四）项，责令改正，可以处中标项目金额10‰以下的罚款。</w:t>
            </w:r>
          </w:p>
        </w:tc>
        <w:tc>
          <w:tcPr>
            <w:tcW w:w="851" w:type="dxa"/>
            <w:tcBorders>
              <w:top w:val="nil"/>
              <w:left w:val="nil"/>
              <w:bottom w:val="single" w:color="auto" w:sz="4" w:space="0"/>
              <w:right w:val="single" w:color="auto" w:sz="4" w:space="0"/>
            </w:tcBorders>
            <w:noWrap w:val="0"/>
            <w:vAlign w:val="center"/>
          </w:tcPr>
          <w:p w14:paraId="6EBAF54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14:paraId="1AF18E6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511A93C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F111C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2016" w:type="dxa"/>
            <w:tcBorders>
              <w:top w:val="nil"/>
              <w:left w:val="nil"/>
              <w:bottom w:val="single" w:color="auto" w:sz="4" w:space="0"/>
              <w:right w:val="single" w:color="auto" w:sz="4" w:space="0"/>
            </w:tcBorders>
            <w:noWrap w:val="0"/>
            <w:vAlign w:val="center"/>
          </w:tcPr>
          <w:p w14:paraId="171607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20CBF9A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FC2AED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C2331900</w:t>
            </w:r>
          </w:p>
        </w:tc>
      </w:tr>
      <w:tr w14:paraId="3E715A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3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57B6243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33A9ED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招标人在订立合同时向中标人提出附加条件（水利项目）</w:t>
            </w:r>
          </w:p>
        </w:tc>
        <w:tc>
          <w:tcPr>
            <w:tcW w:w="2981" w:type="dxa"/>
            <w:tcBorders>
              <w:top w:val="nil"/>
              <w:left w:val="nil"/>
              <w:bottom w:val="single" w:color="auto" w:sz="4" w:space="0"/>
              <w:right w:val="single" w:color="auto" w:sz="4" w:space="0"/>
            </w:tcBorders>
            <w:noWrap w:val="0"/>
            <w:vAlign w:val="center"/>
          </w:tcPr>
          <w:p w14:paraId="77A27F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cs="宋体"/>
                <w:color w:val="auto"/>
                <w:kern w:val="0"/>
                <w:sz w:val="15"/>
                <w:szCs w:val="15"/>
                <w:highlight w:val="none"/>
                <w:lang w:eastAsia="zh"/>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处罚条款：第七十三条第（五）项，责令改正，可以处中标项目金额10‰以下的罚款。</w:t>
            </w:r>
          </w:p>
        </w:tc>
        <w:tc>
          <w:tcPr>
            <w:tcW w:w="851" w:type="dxa"/>
            <w:tcBorders>
              <w:top w:val="nil"/>
              <w:left w:val="nil"/>
              <w:bottom w:val="single" w:color="auto" w:sz="4" w:space="0"/>
              <w:right w:val="single" w:color="auto" w:sz="4" w:space="0"/>
            </w:tcBorders>
            <w:noWrap w:val="0"/>
            <w:vAlign w:val="center"/>
          </w:tcPr>
          <w:p w14:paraId="06A414D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14:paraId="749C8F0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2F3BD12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6AC69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2016" w:type="dxa"/>
            <w:tcBorders>
              <w:top w:val="nil"/>
              <w:left w:val="nil"/>
              <w:bottom w:val="single" w:color="auto" w:sz="4" w:space="0"/>
              <w:right w:val="single" w:color="auto" w:sz="4" w:space="0"/>
            </w:tcBorders>
            <w:noWrap w:val="0"/>
            <w:vAlign w:val="center"/>
          </w:tcPr>
          <w:p w14:paraId="30E8285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57C997A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04E5D3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C2332000</w:t>
            </w:r>
          </w:p>
        </w:tc>
      </w:tr>
      <w:tr w14:paraId="6DCC47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5F6FAB1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29B9954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中标人无正当理由不与招标人订立合同，在签订合同时向招标人提出附加条件，或者不按照招标文件要求提交履约保证金（水利项目）</w:t>
            </w:r>
          </w:p>
        </w:tc>
        <w:tc>
          <w:tcPr>
            <w:tcW w:w="2981" w:type="dxa"/>
            <w:tcBorders>
              <w:top w:val="nil"/>
              <w:left w:val="nil"/>
              <w:bottom w:val="single" w:color="auto" w:sz="4" w:space="0"/>
              <w:right w:val="single" w:color="auto" w:sz="4" w:space="0"/>
            </w:tcBorders>
            <w:noWrap w:val="0"/>
            <w:vAlign w:val="center"/>
          </w:tcPr>
          <w:p w14:paraId="36A7ED9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处罚条款：第七十四条，责令改正，可以处中标项目金额10‰以下的罚款。</w:t>
            </w:r>
          </w:p>
        </w:tc>
        <w:tc>
          <w:tcPr>
            <w:tcW w:w="851" w:type="dxa"/>
            <w:tcBorders>
              <w:top w:val="nil"/>
              <w:left w:val="nil"/>
              <w:bottom w:val="single" w:color="auto" w:sz="4" w:space="0"/>
              <w:right w:val="single" w:color="auto" w:sz="4" w:space="0"/>
            </w:tcBorders>
            <w:noWrap w:val="0"/>
            <w:vAlign w:val="center"/>
          </w:tcPr>
          <w:p w14:paraId="5251E24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14:paraId="570A03B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1D509A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F22D0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2016" w:type="dxa"/>
            <w:tcBorders>
              <w:top w:val="nil"/>
              <w:left w:val="nil"/>
              <w:bottom w:val="single" w:color="auto" w:sz="4" w:space="0"/>
              <w:right w:val="single" w:color="auto" w:sz="4" w:space="0"/>
            </w:tcBorders>
            <w:noWrap w:val="0"/>
            <w:vAlign w:val="center"/>
          </w:tcPr>
          <w:p w14:paraId="11276B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5C34936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67CDDB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C2332100</w:t>
            </w:r>
          </w:p>
        </w:tc>
      </w:tr>
      <w:tr w14:paraId="366AAE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6B3F26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14:paraId="5F4F8D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招标人招标文件、资格预审文件的发售、澄清、修改的时限，或者确定的提交资格预审申请文件、投标文件的时限不符合法规规定（水利项目）</w:t>
            </w:r>
          </w:p>
        </w:tc>
        <w:tc>
          <w:tcPr>
            <w:tcW w:w="2981" w:type="dxa"/>
            <w:tcBorders>
              <w:top w:val="nil"/>
              <w:left w:val="nil"/>
              <w:bottom w:val="single" w:color="auto" w:sz="4" w:space="0"/>
              <w:right w:val="single" w:color="auto" w:sz="4" w:space="0"/>
            </w:tcBorders>
            <w:noWrap w:val="0"/>
            <w:vAlign w:val="center"/>
          </w:tcPr>
          <w:p w14:paraId="1086F5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违反条款：第十六条第一款、第二十一条；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处罚条款：第六十四条第一款第（二）项，责令改正，可以处10万元以下的罚款。</w:t>
            </w:r>
          </w:p>
        </w:tc>
        <w:tc>
          <w:tcPr>
            <w:tcW w:w="851" w:type="dxa"/>
            <w:tcBorders>
              <w:top w:val="nil"/>
              <w:left w:val="nil"/>
              <w:bottom w:val="single" w:color="auto" w:sz="4" w:space="0"/>
              <w:right w:val="single" w:color="auto" w:sz="4" w:space="0"/>
            </w:tcBorders>
            <w:noWrap w:val="0"/>
            <w:vAlign w:val="center"/>
          </w:tcPr>
          <w:p w14:paraId="798919D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4B4CF95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3AD02A6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A1CBB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4B6FD2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3E8AD66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DDEDB7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C2331200</w:t>
            </w:r>
          </w:p>
        </w:tc>
      </w:tr>
      <w:tr w14:paraId="1CDEAD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1CE3D74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14:paraId="35D975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招标人接受未通过资格预审的单位或者个人参加投标（水利项目）</w:t>
            </w:r>
          </w:p>
        </w:tc>
        <w:tc>
          <w:tcPr>
            <w:tcW w:w="2981" w:type="dxa"/>
            <w:tcBorders>
              <w:top w:val="nil"/>
              <w:left w:val="nil"/>
              <w:bottom w:val="single" w:color="auto" w:sz="4" w:space="0"/>
              <w:right w:val="single" w:color="auto" w:sz="4" w:space="0"/>
            </w:tcBorders>
            <w:noWrap w:val="0"/>
            <w:vAlign w:val="center"/>
          </w:tcPr>
          <w:p w14:paraId="5F027B5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w:t>
            </w:r>
            <w:r>
              <w:rPr>
                <w:rFonts w:hint="eastAsia" w:ascii="宋体" w:hAnsi="宋体" w:cs="宋体"/>
                <w:color w:val="auto"/>
                <w:kern w:val="0"/>
                <w:sz w:val="15"/>
                <w:szCs w:val="15"/>
                <w:highlight w:val="none"/>
                <w:lang w:eastAsia="zh"/>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处罚条款：第六十四条第（三）项，责令改正，可以处10万元以下的罚款。</w:t>
            </w:r>
          </w:p>
        </w:tc>
        <w:tc>
          <w:tcPr>
            <w:tcW w:w="851" w:type="dxa"/>
            <w:tcBorders>
              <w:top w:val="nil"/>
              <w:left w:val="nil"/>
              <w:bottom w:val="single" w:color="auto" w:sz="4" w:space="0"/>
              <w:right w:val="single" w:color="auto" w:sz="4" w:space="0"/>
            </w:tcBorders>
            <w:noWrap w:val="0"/>
            <w:vAlign w:val="center"/>
          </w:tcPr>
          <w:p w14:paraId="179E0E5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067268D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552A4C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35713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516D07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4A37D9C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BC1E89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C2331300</w:t>
            </w:r>
          </w:p>
        </w:tc>
      </w:tr>
      <w:tr w14:paraId="251782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41CAF0A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14:paraId="34B166B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招标人接受应当拒收的投标文件（水利项目）</w:t>
            </w:r>
          </w:p>
        </w:tc>
        <w:tc>
          <w:tcPr>
            <w:tcW w:w="2981" w:type="dxa"/>
            <w:tcBorders>
              <w:top w:val="nil"/>
              <w:left w:val="nil"/>
              <w:bottom w:val="single" w:color="auto" w:sz="4" w:space="0"/>
              <w:right w:val="single" w:color="auto" w:sz="4" w:space="0"/>
            </w:tcBorders>
            <w:noWrap w:val="0"/>
            <w:vAlign w:val="center"/>
          </w:tcPr>
          <w:p w14:paraId="4CB942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处罚条款：第六十四条第（四）项，责令改正，可以处10万元以下的罚款。</w:t>
            </w:r>
          </w:p>
        </w:tc>
        <w:tc>
          <w:tcPr>
            <w:tcW w:w="851" w:type="dxa"/>
            <w:tcBorders>
              <w:top w:val="nil"/>
              <w:left w:val="nil"/>
              <w:bottom w:val="single" w:color="auto" w:sz="4" w:space="0"/>
              <w:right w:val="single" w:color="auto" w:sz="4" w:space="0"/>
            </w:tcBorders>
            <w:noWrap w:val="0"/>
            <w:vAlign w:val="center"/>
          </w:tcPr>
          <w:p w14:paraId="4D9B2FF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7B2EBE3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62C422E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92325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70C94C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2EFCFF9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0E3F3CD">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C2331400</w:t>
            </w:r>
          </w:p>
        </w:tc>
      </w:tr>
      <w:tr w14:paraId="585537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7B4B479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14:paraId="4CF93AD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招标人超过法规规定的比例收取投标保证金、履约保证金或者不按照规定退还投标保证金及银行同期存款利息（水利项目）</w:t>
            </w:r>
          </w:p>
        </w:tc>
        <w:tc>
          <w:tcPr>
            <w:tcW w:w="2981" w:type="dxa"/>
            <w:tcBorders>
              <w:top w:val="nil"/>
              <w:left w:val="nil"/>
              <w:bottom w:val="single" w:color="auto" w:sz="4" w:space="0"/>
              <w:right w:val="single" w:color="auto" w:sz="4" w:space="0"/>
            </w:tcBorders>
            <w:noWrap w:val="0"/>
            <w:vAlign w:val="center"/>
          </w:tcPr>
          <w:p w14:paraId="2B7C04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违反条款：第二十六条第一款、第五十七条第二款、第五十八条；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处罚条款：第六十六条，责令改正，可以处5万元以下的罚款。</w:t>
            </w:r>
          </w:p>
        </w:tc>
        <w:tc>
          <w:tcPr>
            <w:tcW w:w="851" w:type="dxa"/>
            <w:tcBorders>
              <w:top w:val="nil"/>
              <w:left w:val="nil"/>
              <w:bottom w:val="single" w:color="auto" w:sz="4" w:space="0"/>
              <w:right w:val="single" w:color="auto" w:sz="4" w:space="0"/>
            </w:tcBorders>
            <w:noWrap w:val="0"/>
            <w:vAlign w:val="center"/>
          </w:tcPr>
          <w:p w14:paraId="6CF0843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14:paraId="0F7E6B2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5DA564C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保证金超过规定比例＜20%或逾期退还天数＜15天，系数为0；2.20％≤保证金超过规定比例＜30%或15天≤逾期退还天数＜30天，系数为2；3.30％≤保证金超过规定比例＜40%或30天≤逾期退还天数＜45天，系数为4；4.40％≤保证金超过规定比例＜50%或45天≤逾期退还天数＜60天，系数为6；5.50％≤保证金超过规定比例或60天≤逾期退还天数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209D9B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14:paraId="08EB55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7682215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97DACD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C2331500</w:t>
            </w:r>
          </w:p>
        </w:tc>
      </w:tr>
      <w:tr w14:paraId="7D3EDED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57665CA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14:paraId="77CA292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招标人无正当理由不发出中标通知书（水利项目）</w:t>
            </w:r>
          </w:p>
        </w:tc>
        <w:tc>
          <w:tcPr>
            <w:tcW w:w="2981" w:type="dxa"/>
            <w:tcBorders>
              <w:top w:val="nil"/>
              <w:left w:val="nil"/>
              <w:bottom w:val="single" w:color="auto" w:sz="4" w:space="0"/>
              <w:right w:val="single" w:color="auto" w:sz="4" w:space="0"/>
            </w:tcBorders>
            <w:noWrap w:val="0"/>
            <w:vAlign w:val="center"/>
          </w:tcPr>
          <w:p w14:paraId="307A21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违反条款：第七十三条第（一）项；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处罚条款：第七十三条第（一）项，责令改正，可以处中标项目金额10‰以下的罚款。</w:t>
            </w:r>
          </w:p>
        </w:tc>
        <w:tc>
          <w:tcPr>
            <w:tcW w:w="851" w:type="dxa"/>
            <w:tcBorders>
              <w:top w:val="nil"/>
              <w:left w:val="nil"/>
              <w:bottom w:val="single" w:color="auto" w:sz="4" w:space="0"/>
              <w:right w:val="single" w:color="auto" w:sz="4" w:space="0"/>
            </w:tcBorders>
            <w:noWrap w:val="0"/>
            <w:vAlign w:val="center"/>
          </w:tcPr>
          <w:p w14:paraId="20F4C32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14:paraId="6C30A26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18B7B6D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6E80A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2016" w:type="dxa"/>
            <w:tcBorders>
              <w:top w:val="nil"/>
              <w:left w:val="nil"/>
              <w:bottom w:val="single" w:color="auto" w:sz="4" w:space="0"/>
              <w:right w:val="single" w:color="auto" w:sz="4" w:space="0"/>
            </w:tcBorders>
            <w:noWrap w:val="0"/>
            <w:vAlign w:val="center"/>
          </w:tcPr>
          <w:p w14:paraId="7DAADCF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55E2ACC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EADC4DA">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C2331600</w:t>
            </w:r>
          </w:p>
        </w:tc>
      </w:tr>
      <w:tr w14:paraId="541E1E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33F23AF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14:paraId="22F847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招标人不按照规定确定中标人（水利项目）</w:t>
            </w:r>
          </w:p>
        </w:tc>
        <w:tc>
          <w:tcPr>
            <w:tcW w:w="2981" w:type="dxa"/>
            <w:tcBorders>
              <w:top w:val="nil"/>
              <w:left w:val="nil"/>
              <w:bottom w:val="single" w:color="auto" w:sz="4" w:space="0"/>
              <w:right w:val="single" w:color="auto" w:sz="4" w:space="0"/>
            </w:tcBorders>
            <w:noWrap w:val="0"/>
            <w:vAlign w:val="center"/>
          </w:tcPr>
          <w:p w14:paraId="5A4D37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处罚条款：第七十三条第（二）项，责令改正，可以处中标项目金额10‰以下的罚款。</w:t>
            </w:r>
          </w:p>
        </w:tc>
        <w:tc>
          <w:tcPr>
            <w:tcW w:w="851" w:type="dxa"/>
            <w:tcBorders>
              <w:top w:val="nil"/>
              <w:left w:val="nil"/>
              <w:bottom w:val="single" w:color="auto" w:sz="4" w:space="0"/>
              <w:right w:val="single" w:color="auto" w:sz="4" w:space="0"/>
            </w:tcBorders>
            <w:noWrap w:val="0"/>
            <w:vAlign w:val="center"/>
          </w:tcPr>
          <w:p w14:paraId="5502BDD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14:paraId="4664041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58F27659">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D8A8A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2016" w:type="dxa"/>
            <w:tcBorders>
              <w:top w:val="nil"/>
              <w:left w:val="nil"/>
              <w:bottom w:val="single" w:color="auto" w:sz="4" w:space="0"/>
              <w:right w:val="single" w:color="auto" w:sz="4" w:space="0"/>
            </w:tcBorders>
            <w:noWrap w:val="0"/>
            <w:vAlign w:val="center"/>
          </w:tcPr>
          <w:p w14:paraId="5B918B7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29B7047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CE3A48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C2331700</w:t>
            </w:r>
          </w:p>
        </w:tc>
      </w:tr>
      <w:tr w14:paraId="6B963D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2E73164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4" w:type="dxa"/>
            <w:tcBorders>
              <w:top w:val="nil"/>
              <w:left w:val="nil"/>
              <w:bottom w:val="single" w:color="auto" w:sz="4" w:space="0"/>
              <w:right w:val="single" w:color="auto" w:sz="4" w:space="0"/>
            </w:tcBorders>
            <w:noWrap w:val="0"/>
            <w:vAlign w:val="center"/>
          </w:tcPr>
          <w:p w14:paraId="4652BC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招标人中标通知书发出后无正当理由改变中标结果（水利项目）</w:t>
            </w:r>
          </w:p>
        </w:tc>
        <w:tc>
          <w:tcPr>
            <w:tcW w:w="2981" w:type="dxa"/>
            <w:tcBorders>
              <w:top w:val="nil"/>
              <w:left w:val="nil"/>
              <w:bottom w:val="single" w:color="auto" w:sz="4" w:space="0"/>
              <w:right w:val="single" w:color="auto" w:sz="4" w:space="0"/>
            </w:tcBorders>
            <w:noWrap w:val="0"/>
            <w:vAlign w:val="center"/>
          </w:tcPr>
          <w:p w14:paraId="58CA0E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处罚条款：第七十三条第（三）项，责令改正，可以处中标项目金额10‰以下的罚款。</w:t>
            </w:r>
          </w:p>
        </w:tc>
        <w:tc>
          <w:tcPr>
            <w:tcW w:w="851" w:type="dxa"/>
            <w:tcBorders>
              <w:top w:val="nil"/>
              <w:left w:val="nil"/>
              <w:bottom w:val="single" w:color="auto" w:sz="4" w:space="0"/>
              <w:right w:val="single" w:color="auto" w:sz="4" w:space="0"/>
            </w:tcBorders>
            <w:noWrap w:val="0"/>
            <w:vAlign w:val="center"/>
          </w:tcPr>
          <w:p w14:paraId="5D480D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14:paraId="1BD6E01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004B0E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9B846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2016" w:type="dxa"/>
            <w:tcBorders>
              <w:top w:val="nil"/>
              <w:left w:val="nil"/>
              <w:bottom w:val="single" w:color="auto" w:sz="4" w:space="0"/>
              <w:right w:val="single" w:color="auto" w:sz="4" w:space="0"/>
            </w:tcBorders>
            <w:noWrap w:val="0"/>
            <w:vAlign w:val="center"/>
          </w:tcPr>
          <w:p w14:paraId="74041FB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39FB557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E5BC9A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C2331800</w:t>
            </w:r>
          </w:p>
        </w:tc>
      </w:tr>
      <w:tr w14:paraId="7B26DE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3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78A760B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4" w:type="dxa"/>
            <w:tcBorders>
              <w:top w:val="nil"/>
              <w:left w:val="nil"/>
              <w:bottom w:val="single" w:color="auto" w:sz="4" w:space="0"/>
              <w:right w:val="single" w:color="auto" w:sz="4" w:space="0"/>
            </w:tcBorders>
            <w:noWrap w:val="0"/>
            <w:vAlign w:val="center"/>
          </w:tcPr>
          <w:p w14:paraId="368A5D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招标人依法应当公开招标而采用邀请招标（水利项目）</w:t>
            </w:r>
          </w:p>
        </w:tc>
        <w:tc>
          <w:tcPr>
            <w:tcW w:w="2981" w:type="dxa"/>
            <w:tcBorders>
              <w:top w:val="nil"/>
              <w:left w:val="nil"/>
              <w:bottom w:val="single" w:color="auto" w:sz="4" w:space="0"/>
              <w:right w:val="single" w:color="auto" w:sz="4" w:space="0"/>
            </w:tcBorders>
            <w:noWrap w:val="0"/>
            <w:vAlign w:val="center"/>
          </w:tcPr>
          <w:p w14:paraId="63DBE3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处罚条款：第六十四条第一款第（一）项，责令改正，可以处10万元以下的罚款。</w:t>
            </w:r>
          </w:p>
        </w:tc>
        <w:tc>
          <w:tcPr>
            <w:tcW w:w="851" w:type="dxa"/>
            <w:tcBorders>
              <w:top w:val="nil"/>
              <w:left w:val="nil"/>
              <w:bottom w:val="single" w:color="auto" w:sz="4" w:space="0"/>
              <w:right w:val="single" w:color="auto" w:sz="4" w:space="0"/>
            </w:tcBorders>
            <w:noWrap w:val="0"/>
            <w:vAlign w:val="center"/>
          </w:tcPr>
          <w:p w14:paraId="2C248D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620EA6C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243EFB7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DA1BB5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00B578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3527A86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08201A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C2331100</w:t>
            </w:r>
          </w:p>
        </w:tc>
      </w:tr>
      <w:tr w14:paraId="308DE8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0FD7E37B">
            <w:pPr>
              <w:widowControl/>
              <w:jc w:val="center"/>
              <w:outlineLvl w:val="1"/>
              <w:rPr>
                <w:rFonts w:ascii="Times New Roman" w:hAnsi="Times New Roman" w:eastAsia="宋体" w:cs="Times New Roman"/>
                <w:color w:val="auto"/>
                <w:kern w:val="0"/>
                <w:szCs w:val="21"/>
                <w:highlight w:val="none"/>
              </w:rPr>
            </w:pPr>
            <w:bookmarkStart w:id="327" w:name="_Toc218468888"/>
            <w:bookmarkStart w:id="328" w:name="_Toc1506442196"/>
            <w:r>
              <w:rPr>
                <w:rFonts w:hint="eastAsia" w:ascii="宋体" w:hAnsi="宋体" w:eastAsia="宋体" w:cs="宋体"/>
                <w:b/>
                <w:bCs/>
                <w:color w:val="auto"/>
                <w:kern w:val="0"/>
                <w:szCs w:val="21"/>
                <w:highlight w:val="none"/>
              </w:rPr>
              <w:t>《工程建设项目施工招标投标办法》案由1项</w:t>
            </w:r>
            <w:bookmarkEnd w:id="327"/>
            <w:bookmarkEnd w:id="328"/>
          </w:p>
        </w:tc>
        <w:tc>
          <w:tcPr>
            <w:tcW w:w="3173" w:type="dxa"/>
            <w:gridSpan w:val="3"/>
            <w:tcBorders>
              <w:top w:val="nil"/>
              <w:left w:val="single" w:color="auto" w:sz="4" w:space="0"/>
              <w:bottom w:val="single" w:color="auto" w:sz="4" w:space="0"/>
              <w:right w:val="single" w:color="auto" w:sz="4" w:space="0"/>
            </w:tcBorders>
            <w:noWrap w:val="0"/>
            <w:vAlign w:val="center"/>
          </w:tcPr>
          <w:p w14:paraId="1A6AACDA">
            <w:pPr>
              <w:widowControl/>
              <w:jc w:val="center"/>
              <w:outlineLvl w:val="1"/>
              <w:rPr>
                <w:rFonts w:hint="eastAsia" w:ascii="宋体" w:hAnsi="宋体" w:eastAsia="宋体" w:cs="宋体"/>
                <w:b/>
                <w:bCs/>
                <w:color w:val="auto"/>
                <w:kern w:val="0"/>
                <w:szCs w:val="21"/>
                <w:highlight w:val="none"/>
              </w:rPr>
            </w:pPr>
          </w:p>
        </w:tc>
      </w:tr>
      <w:tr w14:paraId="46354BE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7EA5631C">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4E7EEF61">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依法必须进行招标的项目，招标人违法与投标人就投标价格、投标方案等实质性内容进行谈判（水利项目）</w:t>
            </w:r>
          </w:p>
        </w:tc>
        <w:tc>
          <w:tcPr>
            <w:tcW w:w="2981" w:type="dxa"/>
            <w:tcBorders>
              <w:top w:val="nil"/>
              <w:left w:val="nil"/>
              <w:bottom w:val="single" w:color="auto" w:sz="4" w:space="0"/>
              <w:right w:val="single" w:color="auto" w:sz="4" w:space="0"/>
            </w:tcBorders>
            <w:noWrap w:val="0"/>
            <w:vAlign w:val="center"/>
          </w:tcPr>
          <w:p w14:paraId="7B6B5824">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违反条款：第七十六条；</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处罚条款：第七十六条，给予警告。</w:t>
            </w:r>
          </w:p>
        </w:tc>
        <w:tc>
          <w:tcPr>
            <w:tcW w:w="851" w:type="dxa"/>
            <w:tcBorders>
              <w:top w:val="nil"/>
              <w:left w:val="nil"/>
              <w:bottom w:val="single" w:color="auto" w:sz="4" w:space="0"/>
              <w:right w:val="single" w:color="auto" w:sz="4" w:space="0"/>
            </w:tcBorders>
            <w:noWrap w:val="0"/>
            <w:vAlign w:val="center"/>
          </w:tcPr>
          <w:p w14:paraId="5E8284E1">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6237BFB0">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0B7DDB6F">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14:paraId="27285574">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4C15F701">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3982A9BC">
            <w:pPr>
              <w:widowControl/>
              <w:jc w:val="center"/>
              <w:rPr>
                <w:rFonts w:hint="eastAsia" w:ascii="Times New Roman" w:hAnsi="Times New Roman" w:eastAsia="宋体" w:cs="Times New Roman"/>
                <w:color w:val="auto"/>
                <w:kern w:val="0"/>
                <w:sz w:val="15"/>
                <w:szCs w:val="15"/>
                <w:highlight w:val="none"/>
                <w:lang w:eastAsia="zh-CN"/>
              </w:rPr>
            </w:pPr>
            <w:r>
              <w:rPr>
                <w:rFonts w:hint="eastAsia" w:ascii="Times New Roman" w:hAnsi="Times New Roman" w:eastAsia="宋体" w:cs="Times New Roman"/>
                <w:color w:val="auto"/>
                <w:kern w:val="0"/>
                <w:sz w:val="15"/>
                <w:szCs w:val="15"/>
                <w:highlight w:val="none"/>
                <w:lang w:eastAsia="zh-CN"/>
              </w:rPr>
              <w:t>市级</w:t>
            </w:r>
            <w:r>
              <w:rPr>
                <w:rFonts w:hint="eastAsia" w:ascii="Times New Roman" w:hAnsi="Times New Roman" w:eastAsia="宋体" w:cs="Times New Roman"/>
                <w:color w:val="auto"/>
                <w:kern w:val="0"/>
                <w:sz w:val="15"/>
                <w:szCs w:val="15"/>
                <w:highlight w:val="none"/>
                <w:lang w:eastAsia="zh-CN"/>
              </w:rPr>
              <w:br w:type="textWrapping"/>
            </w:r>
            <w:r>
              <w:rPr>
                <w:rFonts w:hint="eastAsia" w:ascii="Times New Roman" w:hAnsi="Times New Roman" w:eastAsia="宋体" w:cs="Times New Roman"/>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498ECA5">
            <w:pPr>
              <w:widowControl/>
              <w:jc w:val="center"/>
              <w:rPr>
                <w:rFonts w:hint="eastAsia" w:ascii="Times New Roman" w:hAnsi="Times New Roman" w:eastAsia="宋体" w:cs="Times New Roman"/>
                <w:color w:val="auto"/>
                <w:kern w:val="0"/>
                <w:sz w:val="15"/>
                <w:szCs w:val="15"/>
                <w:highlight w:val="none"/>
                <w:lang w:eastAsia="zh"/>
              </w:rPr>
            </w:pPr>
            <w:r>
              <w:rPr>
                <w:rFonts w:hint="eastAsia" w:cs="Times New Roman"/>
                <w:color w:val="auto"/>
                <w:kern w:val="0"/>
                <w:sz w:val="15"/>
                <w:szCs w:val="15"/>
                <w:highlight w:val="none"/>
                <w:lang w:eastAsia="zh"/>
              </w:rPr>
              <w:t>C2332300</w:t>
            </w:r>
          </w:p>
        </w:tc>
      </w:tr>
      <w:tr w14:paraId="2E4C878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3"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2974E7B2">
            <w:pPr>
              <w:widowControl/>
              <w:jc w:val="center"/>
              <w:outlineLvl w:val="0"/>
              <w:rPr>
                <w:rFonts w:ascii="Times New Roman" w:hAnsi="Times New Roman" w:eastAsia="宋体" w:cs="Times New Roman"/>
                <w:color w:val="auto"/>
                <w:kern w:val="0"/>
                <w:sz w:val="28"/>
                <w:szCs w:val="28"/>
                <w:highlight w:val="none"/>
              </w:rPr>
            </w:pPr>
            <w:bookmarkStart w:id="329" w:name="_Toc218468889"/>
            <w:bookmarkStart w:id="330" w:name="_Toc1064629641"/>
            <w:r>
              <w:rPr>
                <w:rFonts w:hint="eastAsia" w:ascii="黑体" w:hAnsi="黑体" w:eastAsia="黑体" w:cs="黑体"/>
                <w:color w:val="auto"/>
                <w:kern w:val="0"/>
                <w:sz w:val="28"/>
                <w:szCs w:val="28"/>
                <w:highlight w:val="none"/>
              </w:rPr>
              <w:t>水利建设勘察设计管理方面</w:t>
            </w:r>
            <w:bookmarkEnd w:id="329"/>
            <w:bookmarkEnd w:id="330"/>
          </w:p>
        </w:tc>
        <w:tc>
          <w:tcPr>
            <w:tcW w:w="3173" w:type="dxa"/>
            <w:gridSpan w:val="3"/>
            <w:tcBorders>
              <w:top w:val="nil"/>
              <w:left w:val="single" w:color="auto" w:sz="4" w:space="0"/>
              <w:bottom w:val="single" w:color="auto" w:sz="4" w:space="0"/>
              <w:right w:val="single" w:color="auto" w:sz="4" w:space="0"/>
            </w:tcBorders>
            <w:noWrap w:val="0"/>
            <w:vAlign w:val="center"/>
          </w:tcPr>
          <w:p w14:paraId="5E62070A">
            <w:pPr>
              <w:widowControl/>
              <w:jc w:val="center"/>
              <w:outlineLvl w:val="0"/>
              <w:rPr>
                <w:rFonts w:hint="eastAsia" w:ascii="黑体" w:hAnsi="黑体" w:eastAsia="黑体" w:cs="黑体"/>
                <w:color w:val="auto"/>
                <w:kern w:val="0"/>
                <w:sz w:val="28"/>
                <w:szCs w:val="28"/>
                <w:highlight w:val="none"/>
              </w:rPr>
            </w:pPr>
          </w:p>
        </w:tc>
      </w:tr>
      <w:tr w14:paraId="1E1A86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3" w:hRule="atLeast"/>
        </w:trPr>
        <w:tc>
          <w:tcPr>
            <w:tcW w:w="13283" w:type="dxa"/>
            <w:gridSpan w:val="11"/>
            <w:tcBorders>
              <w:top w:val="nil"/>
              <w:left w:val="single" w:color="auto" w:sz="4" w:space="0"/>
              <w:bottom w:val="single" w:color="auto" w:sz="4" w:space="0"/>
              <w:right w:val="single" w:color="auto" w:sz="4" w:space="0"/>
            </w:tcBorders>
            <w:noWrap w:val="0"/>
            <w:vAlign w:val="center"/>
          </w:tcPr>
          <w:p w14:paraId="0F523382">
            <w:pPr>
              <w:widowControl/>
              <w:jc w:val="center"/>
              <w:outlineLvl w:val="1"/>
              <w:rPr>
                <w:rFonts w:hint="eastAsia" w:ascii="宋体" w:hAnsi="宋体" w:eastAsia="宋体" w:cs="宋体"/>
                <w:color w:val="auto"/>
                <w:kern w:val="0"/>
                <w:szCs w:val="21"/>
                <w:highlight w:val="none"/>
              </w:rPr>
            </w:pPr>
            <w:bookmarkStart w:id="331" w:name="_Toc1950515509"/>
            <w:bookmarkStart w:id="332" w:name="_Toc218468890"/>
            <w:r>
              <w:rPr>
                <w:rFonts w:hint="eastAsia" w:ascii="宋体" w:hAnsi="宋体" w:eastAsia="宋体" w:cs="宋体"/>
                <w:b/>
                <w:bCs/>
                <w:color w:val="auto"/>
                <w:kern w:val="0"/>
                <w:szCs w:val="21"/>
                <w:highlight w:val="none"/>
              </w:rPr>
              <w:t>《建设工程勘察设计管理条例》案由5项</w:t>
            </w:r>
            <w:bookmarkEnd w:id="331"/>
            <w:bookmarkEnd w:id="332"/>
          </w:p>
        </w:tc>
        <w:tc>
          <w:tcPr>
            <w:tcW w:w="3173" w:type="dxa"/>
            <w:gridSpan w:val="3"/>
            <w:tcBorders>
              <w:top w:val="nil"/>
              <w:left w:val="single" w:color="auto" w:sz="4" w:space="0"/>
              <w:bottom w:val="single" w:color="auto" w:sz="4" w:space="0"/>
              <w:right w:val="single" w:color="auto" w:sz="4" w:space="0"/>
            </w:tcBorders>
            <w:noWrap w:val="0"/>
            <w:vAlign w:val="center"/>
          </w:tcPr>
          <w:p w14:paraId="34F74F01">
            <w:pPr>
              <w:widowControl/>
              <w:jc w:val="center"/>
              <w:outlineLvl w:val="1"/>
              <w:rPr>
                <w:rFonts w:hint="eastAsia" w:ascii="宋体" w:hAnsi="宋体" w:eastAsia="宋体" w:cs="宋体"/>
                <w:b/>
                <w:bCs/>
                <w:color w:val="auto"/>
                <w:kern w:val="0"/>
                <w:szCs w:val="21"/>
                <w:highlight w:val="none"/>
              </w:rPr>
            </w:pPr>
          </w:p>
        </w:tc>
      </w:tr>
      <w:tr w14:paraId="1EE410A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3F7430E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1B89B8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水利建设工程勘察、设计单位以其他单位的名义承揽业务</w:t>
            </w:r>
          </w:p>
        </w:tc>
        <w:tc>
          <w:tcPr>
            <w:tcW w:w="2981" w:type="dxa"/>
            <w:tcBorders>
              <w:top w:val="nil"/>
              <w:left w:val="nil"/>
              <w:bottom w:val="single" w:color="auto" w:sz="4" w:space="0"/>
              <w:right w:val="single" w:color="auto" w:sz="4" w:space="0"/>
            </w:tcBorders>
            <w:noWrap w:val="0"/>
            <w:vAlign w:val="center"/>
          </w:tcPr>
          <w:p w14:paraId="0555B06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处罚条款：第三十五条第一款，责令停止违法行为，处合同约定的勘察费、设计费1倍以上2倍以下的罚款，有违法所得的，予以没收；可以责令停业整顿，降低资质等级；情节严重的，吊销资质证书。</w:t>
            </w:r>
          </w:p>
        </w:tc>
        <w:tc>
          <w:tcPr>
            <w:tcW w:w="851" w:type="dxa"/>
            <w:tcBorders>
              <w:top w:val="nil"/>
              <w:left w:val="nil"/>
              <w:bottom w:val="single" w:color="auto" w:sz="4" w:space="0"/>
              <w:right w:val="single" w:color="auto" w:sz="4" w:space="0"/>
            </w:tcBorders>
            <w:noWrap w:val="0"/>
            <w:vAlign w:val="center"/>
          </w:tcPr>
          <w:p w14:paraId="6E81C6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勘察费或设计费×1倍</w:t>
            </w:r>
          </w:p>
        </w:tc>
        <w:tc>
          <w:tcPr>
            <w:tcW w:w="840" w:type="dxa"/>
            <w:tcBorders>
              <w:top w:val="nil"/>
              <w:left w:val="nil"/>
              <w:bottom w:val="single" w:color="auto" w:sz="4" w:space="0"/>
              <w:right w:val="single" w:color="auto" w:sz="4" w:space="0"/>
            </w:tcBorders>
            <w:noWrap w:val="0"/>
            <w:vAlign w:val="center"/>
          </w:tcPr>
          <w:p w14:paraId="25122EB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95E86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1.资质等级为乙级，系数为0；2.资质等级为甲级或造成其他恶劣影响或造成工程质量事故的，系数为1。3.存在基准2.1.3规定情形的，系数按照相关规定确定（基准2.1.3.5不适用）。有违法所得的，没收违法所得。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1CA0D8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罚款金额=勘察费或设计费×1倍×（1+情节系数）</w:t>
            </w:r>
          </w:p>
        </w:tc>
        <w:tc>
          <w:tcPr>
            <w:tcW w:w="2016" w:type="dxa"/>
            <w:tcBorders>
              <w:top w:val="nil"/>
              <w:left w:val="nil"/>
              <w:bottom w:val="single" w:color="auto" w:sz="4" w:space="0"/>
              <w:right w:val="single" w:color="auto" w:sz="4" w:space="0"/>
            </w:tcBorders>
            <w:noWrap w:val="0"/>
            <w:vAlign w:val="center"/>
          </w:tcPr>
          <w:p w14:paraId="40E5DB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7AC7F09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02A7C5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C2328300</w:t>
            </w:r>
          </w:p>
        </w:tc>
      </w:tr>
      <w:tr w14:paraId="7A1AC7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558D2A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58D4BE7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未经注册，擅自从事水利建设工程勘察、设计活动</w:t>
            </w:r>
          </w:p>
        </w:tc>
        <w:tc>
          <w:tcPr>
            <w:tcW w:w="2981" w:type="dxa"/>
            <w:tcBorders>
              <w:top w:val="nil"/>
              <w:left w:val="nil"/>
              <w:bottom w:val="single" w:color="auto" w:sz="4" w:space="0"/>
              <w:right w:val="single" w:color="auto" w:sz="4" w:space="0"/>
            </w:tcBorders>
            <w:noWrap w:val="0"/>
            <w:vAlign w:val="center"/>
          </w:tcPr>
          <w:p w14:paraId="62916CE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处罚条款：第三十六条，责令停止违法行为，没收违法所得，处违法所得2倍以上5倍以下罚款。</w:t>
            </w:r>
          </w:p>
        </w:tc>
        <w:tc>
          <w:tcPr>
            <w:tcW w:w="851" w:type="dxa"/>
            <w:tcBorders>
              <w:top w:val="nil"/>
              <w:left w:val="nil"/>
              <w:bottom w:val="single" w:color="auto" w:sz="4" w:space="0"/>
              <w:right w:val="single" w:color="auto" w:sz="4" w:space="0"/>
            </w:tcBorders>
            <w:noWrap w:val="0"/>
            <w:vAlign w:val="center"/>
          </w:tcPr>
          <w:p w14:paraId="7ED281E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违法所得×2倍</w:t>
            </w:r>
          </w:p>
        </w:tc>
        <w:tc>
          <w:tcPr>
            <w:tcW w:w="840" w:type="dxa"/>
            <w:tcBorders>
              <w:top w:val="nil"/>
              <w:left w:val="nil"/>
              <w:bottom w:val="single" w:color="auto" w:sz="4" w:space="0"/>
              <w:right w:val="single" w:color="auto" w:sz="4" w:space="0"/>
            </w:tcBorders>
            <w:noWrap w:val="0"/>
            <w:vAlign w:val="center"/>
          </w:tcPr>
          <w:p w14:paraId="585535F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6436B2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得执业资格但未注册从事相应资质活动，系数为0；2.未取得执业资格从事活动或取得执业资格从事高于注册资质等级活动，系数为1；3.造成其他恶劣影响或造成工程质量事故的，系数为1.5。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45A3DD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罚款金额=违法所得×2倍×（1+情节系数）</w:t>
            </w:r>
          </w:p>
        </w:tc>
        <w:tc>
          <w:tcPr>
            <w:tcW w:w="2016" w:type="dxa"/>
            <w:tcBorders>
              <w:top w:val="nil"/>
              <w:left w:val="nil"/>
              <w:bottom w:val="single" w:color="auto" w:sz="4" w:space="0"/>
              <w:right w:val="single" w:color="auto" w:sz="4" w:space="0"/>
            </w:tcBorders>
            <w:noWrap w:val="0"/>
            <w:vAlign w:val="center"/>
          </w:tcPr>
          <w:p w14:paraId="03E090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7B062B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AC163EC">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C2328400</w:t>
            </w:r>
          </w:p>
        </w:tc>
      </w:tr>
      <w:tr w14:paraId="2BC4422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53DE82D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769AD45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建设工程勘察、设计注册执业人员和其他专业技术人员未受聘于一个建设工程勘察、设计单位或者同时受聘于两个以上建设工程勘察、设计单位，从事水利建设工程勘察、设计活动</w:t>
            </w:r>
          </w:p>
        </w:tc>
        <w:tc>
          <w:tcPr>
            <w:tcW w:w="2981" w:type="dxa"/>
            <w:tcBorders>
              <w:top w:val="nil"/>
              <w:left w:val="nil"/>
              <w:bottom w:val="single" w:color="auto" w:sz="4" w:space="0"/>
              <w:right w:val="single" w:color="auto" w:sz="4" w:space="0"/>
            </w:tcBorders>
            <w:noWrap w:val="0"/>
            <w:vAlign w:val="center"/>
          </w:tcPr>
          <w:p w14:paraId="49F64B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处罚条款：第三十七条，责令停止违法行为，没收违法所得，处违法所得2倍以上5倍以下的罚款；情节严重的，可以责令停止执行业务或者吊销资格证书。</w:t>
            </w:r>
          </w:p>
        </w:tc>
        <w:tc>
          <w:tcPr>
            <w:tcW w:w="851" w:type="dxa"/>
            <w:tcBorders>
              <w:top w:val="nil"/>
              <w:left w:val="nil"/>
              <w:bottom w:val="single" w:color="auto" w:sz="4" w:space="0"/>
              <w:right w:val="single" w:color="auto" w:sz="4" w:space="0"/>
            </w:tcBorders>
            <w:noWrap w:val="0"/>
            <w:vAlign w:val="center"/>
          </w:tcPr>
          <w:p w14:paraId="01CB140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违法所得×2倍</w:t>
            </w:r>
          </w:p>
        </w:tc>
        <w:tc>
          <w:tcPr>
            <w:tcW w:w="840" w:type="dxa"/>
            <w:tcBorders>
              <w:top w:val="nil"/>
              <w:left w:val="nil"/>
              <w:bottom w:val="single" w:color="auto" w:sz="4" w:space="0"/>
              <w:right w:val="single" w:color="auto" w:sz="4" w:space="0"/>
            </w:tcBorders>
            <w:noWrap w:val="0"/>
            <w:vAlign w:val="center"/>
          </w:tcPr>
          <w:p w14:paraId="0BF0D80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44E34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受聘或同时受聘两个及以上单位从事工程勘察、设计乙级资质活动，系数为0；2.未受聘或同时受聘两个单位从事工程勘察、设计涉及甲级资质活动，系数为1；3.同时受聘三个及以上单位从事工程勘察、设计活动或造成其他恶劣影响或造成工程质量事故的，系数为1.5。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17D8CC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罚款金额=违法所得×2倍×（1+情节系数）</w:t>
            </w:r>
          </w:p>
        </w:tc>
        <w:tc>
          <w:tcPr>
            <w:tcW w:w="2016" w:type="dxa"/>
            <w:tcBorders>
              <w:top w:val="nil"/>
              <w:left w:val="nil"/>
              <w:bottom w:val="single" w:color="auto" w:sz="4" w:space="0"/>
              <w:right w:val="single" w:color="auto" w:sz="4" w:space="0"/>
            </w:tcBorders>
            <w:noWrap w:val="0"/>
            <w:vAlign w:val="center"/>
          </w:tcPr>
          <w:p w14:paraId="1F1CAEA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止执行业务或吊销资格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4098580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E4646A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C2328500</w:t>
            </w:r>
          </w:p>
        </w:tc>
      </w:tr>
      <w:tr w14:paraId="12D5E9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131A88C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6047A8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发包方将水利建设工程勘察、设计业务发包给不具有相应资质等级的水利建设工程勘察、设计单位</w:t>
            </w:r>
          </w:p>
        </w:tc>
        <w:tc>
          <w:tcPr>
            <w:tcW w:w="2981" w:type="dxa"/>
            <w:tcBorders>
              <w:top w:val="nil"/>
              <w:left w:val="nil"/>
              <w:bottom w:val="single" w:color="auto" w:sz="4" w:space="0"/>
              <w:right w:val="single" w:color="auto" w:sz="4" w:space="0"/>
            </w:tcBorders>
            <w:noWrap w:val="0"/>
            <w:vAlign w:val="center"/>
          </w:tcPr>
          <w:p w14:paraId="2C598B4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处罚条款：第三十八条，责令改正，处50万元以上100万元以下的罚款。</w:t>
            </w:r>
          </w:p>
        </w:tc>
        <w:tc>
          <w:tcPr>
            <w:tcW w:w="851" w:type="dxa"/>
            <w:tcBorders>
              <w:top w:val="nil"/>
              <w:left w:val="nil"/>
              <w:bottom w:val="single" w:color="auto" w:sz="4" w:space="0"/>
              <w:right w:val="single" w:color="auto" w:sz="4" w:space="0"/>
            </w:tcBorders>
            <w:noWrap w:val="0"/>
            <w:vAlign w:val="center"/>
          </w:tcPr>
          <w:p w14:paraId="12C7428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500000 </w:t>
            </w:r>
          </w:p>
        </w:tc>
        <w:tc>
          <w:tcPr>
            <w:tcW w:w="840" w:type="dxa"/>
            <w:tcBorders>
              <w:top w:val="nil"/>
              <w:left w:val="nil"/>
              <w:bottom w:val="single" w:color="auto" w:sz="4" w:space="0"/>
              <w:right w:val="single" w:color="auto" w:sz="4" w:space="0"/>
            </w:tcBorders>
            <w:noWrap w:val="0"/>
            <w:vAlign w:val="center"/>
          </w:tcPr>
          <w:p w14:paraId="260928E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11A13F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系数为0.2；3.300万元≤勘察或设计费＜400万元，系数为0.4；4.400万元≤勘察或设计费＜500万元，系数为0.6；5.500万元≤勘察或设计费＜600万元，系数为0.8；6.600万元≤勘察或设计费，系数为1；7.造成其他恶劣影响或造成工程质量事故的，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C15AA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2016" w:type="dxa"/>
            <w:tcBorders>
              <w:top w:val="nil"/>
              <w:left w:val="nil"/>
              <w:bottom w:val="single" w:color="auto" w:sz="4" w:space="0"/>
              <w:right w:val="single" w:color="auto" w:sz="4" w:space="0"/>
            </w:tcBorders>
            <w:noWrap w:val="0"/>
            <w:vAlign w:val="center"/>
          </w:tcPr>
          <w:p w14:paraId="04FF28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CD01B5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6D512A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C2328600</w:t>
            </w:r>
          </w:p>
        </w:tc>
      </w:tr>
      <w:tr w14:paraId="6EFFD01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13664D6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14:paraId="0A6496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勘察、设计单位未按照要求编制建设工程勘察、设计文件</w:t>
            </w:r>
          </w:p>
        </w:tc>
        <w:tc>
          <w:tcPr>
            <w:tcW w:w="2981" w:type="dxa"/>
            <w:tcBorders>
              <w:top w:val="nil"/>
              <w:left w:val="nil"/>
              <w:bottom w:val="single" w:color="auto" w:sz="4" w:space="0"/>
              <w:right w:val="single" w:color="auto" w:sz="4" w:space="0"/>
            </w:tcBorders>
            <w:noWrap w:val="0"/>
            <w:vAlign w:val="center"/>
          </w:tcPr>
          <w:p w14:paraId="041E99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处罚条款：第四十条，责令限期改正，逾期不改正的，处10万元以上30万元以下的罚款，造成工程质量事故或者环境污染和生态破坏的，责令停业整顿，降低资质等级，情节严重的，吊销资质证书。</w:t>
            </w:r>
          </w:p>
        </w:tc>
        <w:tc>
          <w:tcPr>
            <w:tcW w:w="851" w:type="dxa"/>
            <w:tcBorders>
              <w:top w:val="nil"/>
              <w:left w:val="nil"/>
              <w:bottom w:val="single" w:color="auto" w:sz="4" w:space="0"/>
              <w:right w:val="single" w:color="auto" w:sz="4" w:space="0"/>
            </w:tcBorders>
            <w:noWrap w:val="0"/>
            <w:vAlign w:val="center"/>
          </w:tcPr>
          <w:p w14:paraId="3F1C0DB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581D738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842A16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系数为0.4；3.300万元≤勘察或设计费＜400万元，系数为0.8；4.400万元≤勘察或设计费＜500万元，系数为1.2；5.500万元≤勘察或设计费＜600万元，系数为1.6；6.600万元≤勘察或设计费，系数为2；7.造成其他恶劣影响或造成工程质量事故的，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DEB4A9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0CBE8F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74C1FDE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C2E0A3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C2346000</w:t>
            </w:r>
          </w:p>
        </w:tc>
      </w:tr>
      <w:tr w14:paraId="618D723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3" w:hRule="atLeast"/>
        </w:trPr>
        <w:tc>
          <w:tcPr>
            <w:tcW w:w="13283" w:type="dxa"/>
            <w:gridSpan w:val="11"/>
            <w:tcBorders>
              <w:top w:val="nil"/>
              <w:left w:val="single" w:color="auto" w:sz="4" w:space="0"/>
              <w:bottom w:val="single" w:color="auto" w:sz="4" w:space="0"/>
              <w:right w:val="single" w:color="auto" w:sz="4" w:space="0"/>
            </w:tcBorders>
            <w:noWrap/>
            <w:vAlign w:val="center"/>
          </w:tcPr>
          <w:p w14:paraId="1C8695A2">
            <w:pPr>
              <w:widowControl/>
              <w:jc w:val="center"/>
              <w:outlineLvl w:val="1"/>
              <w:rPr>
                <w:rFonts w:ascii="Times New Roman" w:hAnsi="Times New Roman" w:eastAsia="宋体" w:cs="Times New Roman"/>
                <w:color w:val="auto"/>
                <w:kern w:val="0"/>
                <w:szCs w:val="21"/>
                <w:highlight w:val="none"/>
              </w:rPr>
            </w:pPr>
            <w:bookmarkStart w:id="333" w:name="_Toc218468891"/>
            <w:bookmarkStart w:id="334" w:name="_Toc1671658466"/>
            <w:r>
              <w:rPr>
                <w:rFonts w:ascii="Times New Roman" w:hAnsi="Times New Roman" w:eastAsia="宋体" w:cs="Times New Roman"/>
                <w:b/>
                <w:bCs/>
                <w:color w:val="auto"/>
                <w:kern w:val="0"/>
                <w:szCs w:val="21"/>
                <w:highlight w:val="none"/>
              </w:rPr>
              <w:t>《建设工程质量管理条例》《水利工程质量管理规定》案由4项</w:t>
            </w:r>
            <w:bookmarkEnd w:id="333"/>
            <w:bookmarkEnd w:id="334"/>
          </w:p>
        </w:tc>
        <w:tc>
          <w:tcPr>
            <w:tcW w:w="3173" w:type="dxa"/>
            <w:gridSpan w:val="3"/>
            <w:tcBorders>
              <w:top w:val="nil"/>
              <w:left w:val="single" w:color="auto" w:sz="4" w:space="0"/>
              <w:bottom w:val="single" w:color="auto" w:sz="4" w:space="0"/>
              <w:right w:val="single" w:color="auto" w:sz="4" w:space="0"/>
            </w:tcBorders>
            <w:noWrap/>
            <w:vAlign w:val="center"/>
          </w:tcPr>
          <w:p w14:paraId="4103C6A1">
            <w:pPr>
              <w:widowControl/>
              <w:jc w:val="center"/>
              <w:outlineLvl w:val="1"/>
              <w:rPr>
                <w:rFonts w:ascii="Times New Roman" w:hAnsi="Times New Roman" w:eastAsia="宋体" w:cs="Times New Roman"/>
                <w:b/>
                <w:bCs/>
                <w:color w:val="auto"/>
                <w:kern w:val="0"/>
                <w:szCs w:val="21"/>
                <w:highlight w:val="none"/>
              </w:rPr>
            </w:pPr>
          </w:p>
        </w:tc>
      </w:tr>
      <w:tr w14:paraId="191F06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80" w:hRule="atLeast"/>
        </w:trPr>
        <w:tc>
          <w:tcPr>
            <w:tcW w:w="716" w:type="dxa"/>
            <w:gridSpan w:val="2"/>
            <w:tcBorders>
              <w:top w:val="nil"/>
              <w:left w:val="single" w:color="auto" w:sz="4" w:space="0"/>
              <w:bottom w:val="single" w:color="auto" w:sz="4" w:space="0"/>
              <w:right w:val="single" w:color="auto" w:sz="4" w:space="0"/>
            </w:tcBorders>
            <w:noWrap/>
            <w:vAlign w:val="center"/>
          </w:tcPr>
          <w:p w14:paraId="2F37C21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119FE28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建设工程勘察、设计单位将所承揽的水利建设工程勘察、设计转包或者违法分包</w:t>
            </w:r>
          </w:p>
        </w:tc>
        <w:tc>
          <w:tcPr>
            <w:tcW w:w="2981" w:type="dxa"/>
            <w:tcBorders>
              <w:top w:val="nil"/>
              <w:left w:val="nil"/>
              <w:bottom w:val="single" w:color="auto" w:sz="4" w:space="0"/>
              <w:right w:val="single" w:color="auto" w:sz="4" w:space="0"/>
            </w:tcBorders>
            <w:noWrap w:val="0"/>
            <w:vAlign w:val="center"/>
          </w:tcPr>
          <w:p w14:paraId="5AD5C0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违反条款：《条例》第十八条第三款；《规定》第二十一条；</w:t>
            </w:r>
            <w:r>
              <w:rPr>
                <w:rFonts w:hint="eastAsia" w:ascii="宋体" w:hAnsi="宋体" w:eastAsia="宋体" w:cs="宋体"/>
                <w:strike/>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对勘察、设计单位处合同约定的勘察费、设计费25%以上50%以下的罚款，可以责令停业整顿，降低资质等级，情节严重的，吊销资质证书；《规定》</w:t>
            </w:r>
            <w:r>
              <w:rPr>
                <w:rFonts w:hint="eastAsia" w:ascii="宋体" w:hAnsi="宋体" w:cs="宋体"/>
                <w:color w:val="auto"/>
                <w:kern w:val="0"/>
                <w:sz w:val="15"/>
                <w:szCs w:val="15"/>
                <w:highlight w:val="none"/>
                <w:lang w:eastAsia="zh"/>
              </w:rPr>
              <w:t>第六十四条</w:t>
            </w:r>
            <w:r>
              <w:rPr>
                <w:rFonts w:hint="eastAsia" w:ascii="宋体" w:hAnsi="宋体" w:eastAsia="宋体" w:cs="宋体"/>
                <w:color w:val="auto"/>
                <w:kern w:val="0"/>
                <w:sz w:val="15"/>
                <w:szCs w:val="15"/>
                <w:highlight w:val="none"/>
              </w:rPr>
              <w:t>，责令改正，没收违法所得，对勘察、设计单位处合同约定的勘察费、设计费25%以上50%以下的罚款。</w:t>
            </w:r>
          </w:p>
        </w:tc>
        <w:tc>
          <w:tcPr>
            <w:tcW w:w="851" w:type="dxa"/>
            <w:tcBorders>
              <w:top w:val="nil"/>
              <w:left w:val="nil"/>
              <w:bottom w:val="single" w:color="auto" w:sz="4" w:space="0"/>
              <w:right w:val="single" w:color="auto" w:sz="4" w:space="0"/>
            </w:tcBorders>
            <w:noWrap w:val="0"/>
            <w:vAlign w:val="center"/>
          </w:tcPr>
          <w:p w14:paraId="6E6246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勘察费或设计费×25%</w:t>
            </w:r>
          </w:p>
        </w:tc>
        <w:tc>
          <w:tcPr>
            <w:tcW w:w="840" w:type="dxa"/>
            <w:tcBorders>
              <w:top w:val="nil"/>
              <w:left w:val="nil"/>
              <w:bottom w:val="single" w:color="auto" w:sz="4" w:space="0"/>
              <w:right w:val="single" w:color="auto" w:sz="4" w:space="0"/>
            </w:tcBorders>
            <w:noWrap w:val="0"/>
            <w:vAlign w:val="center"/>
          </w:tcPr>
          <w:p w14:paraId="488D264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BD0BD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1.资质等级为乙级，系数为0；2.资质等级为甲级或造成其他恶劣影响或造成工程质量事故的</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14:paraId="0AE643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罚款金额=勘察费或设计费×25%×（1+情节系数）</w:t>
            </w:r>
          </w:p>
        </w:tc>
        <w:tc>
          <w:tcPr>
            <w:tcW w:w="2016" w:type="dxa"/>
            <w:tcBorders>
              <w:top w:val="nil"/>
              <w:left w:val="nil"/>
              <w:bottom w:val="single" w:color="auto" w:sz="4" w:space="0"/>
              <w:right w:val="single" w:color="auto" w:sz="4" w:space="0"/>
            </w:tcBorders>
            <w:noWrap w:val="0"/>
            <w:vAlign w:val="center"/>
          </w:tcPr>
          <w:p w14:paraId="529B7B9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02EAECA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63E345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C2328700</w:t>
            </w:r>
          </w:p>
        </w:tc>
      </w:tr>
      <w:tr w14:paraId="726448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90" w:hRule="atLeast"/>
        </w:trPr>
        <w:tc>
          <w:tcPr>
            <w:tcW w:w="716" w:type="dxa"/>
            <w:gridSpan w:val="2"/>
            <w:tcBorders>
              <w:top w:val="nil"/>
              <w:left w:val="single" w:color="auto" w:sz="4" w:space="0"/>
              <w:bottom w:val="single" w:color="auto" w:sz="4" w:space="0"/>
              <w:right w:val="single" w:color="auto" w:sz="4" w:space="0"/>
            </w:tcBorders>
            <w:noWrap/>
            <w:vAlign w:val="center"/>
          </w:tcPr>
          <w:p w14:paraId="297B58B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7303A6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设计单位未根据勘察成果文件进行水利工程设计</w:t>
            </w:r>
          </w:p>
        </w:tc>
        <w:tc>
          <w:tcPr>
            <w:tcW w:w="2981" w:type="dxa"/>
            <w:tcBorders>
              <w:top w:val="nil"/>
              <w:left w:val="nil"/>
              <w:bottom w:val="single" w:color="auto" w:sz="4" w:space="0"/>
              <w:right w:val="single" w:color="auto" w:sz="4" w:space="0"/>
            </w:tcBorders>
            <w:noWrap w:val="0"/>
            <w:vAlign w:val="center"/>
          </w:tcPr>
          <w:p w14:paraId="1AA64F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违反条款：《条例》第二十一条第一款；《规定》第二十五条第一款；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二）项，责令改正，处10万元以上30万元以下的罚款；《条例》第六十三条第二款，有前款所列行为，造成工程质量事故的，责令停业整顿，降低资质等级；情节严重的，吊销资质证书。《规定》第六十六条第一款第（二）项，责令改正，处10万元以上30万元以下的罚款。</w:t>
            </w:r>
          </w:p>
        </w:tc>
        <w:tc>
          <w:tcPr>
            <w:tcW w:w="851" w:type="dxa"/>
            <w:tcBorders>
              <w:top w:val="nil"/>
              <w:left w:val="nil"/>
              <w:bottom w:val="single" w:color="auto" w:sz="4" w:space="0"/>
              <w:right w:val="single" w:color="auto" w:sz="4" w:space="0"/>
            </w:tcBorders>
            <w:noWrap w:val="0"/>
            <w:vAlign w:val="center"/>
          </w:tcPr>
          <w:p w14:paraId="18E1699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2518B6D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02768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9EF94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7D4931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较大及以上安全事故；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5CCADAE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873153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C2328900</w:t>
            </w:r>
          </w:p>
        </w:tc>
      </w:tr>
      <w:tr w14:paraId="232BA1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6B641C7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4A8346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设计单位违反规定指定生产厂、供应商</w:t>
            </w:r>
          </w:p>
        </w:tc>
        <w:tc>
          <w:tcPr>
            <w:tcW w:w="2981" w:type="dxa"/>
            <w:tcBorders>
              <w:top w:val="nil"/>
              <w:left w:val="nil"/>
              <w:bottom w:val="single" w:color="auto" w:sz="4" w:space="0"/>
              <w:right w:val="single" w:color="auto" w:sz="4" w:space="0"/>
            </w:tcBorders>
            <w:noWrap w:val="0"/>
            <w:vAlign w:val="center"/>
          </w:tcPr>
          <w:p w14:paraId="761927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违反条款：《条例》第二十二条第二款；《规定》第二十六条第二款；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处罚条款：《条例》第六十三条第一款第（三）项，责令改正，处10万元以上30万元以下的罚款；《规定》第六十六条第一款第（三）项，责令改正，处10万元以上30万元以下的罚款。</w:t>
            </w:r>
          </w:p>
        </w:tc>
        <w:tc>
          <w:tcPr>
            <w:tcW w:w="851" w:type="dxa"/>
            <w:tcBorders>
              <w:top w:val="nil"/>
              <w:left w:val="nil"/>
              <w:bottom w:val="single" w:color="auto" w:sz="4" w:space="0"/>
              <w:right w:val="single" w:color="auto" w:sz="4" w:space="0"/>
            </w:tcBorders>
            <w:noWrap w:val="0"/>
            <w:vAlign w:val="center"/>
          </w:tcPr>
          <w:p w14:paraId="767619C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2F5D6D9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C2E97F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413C4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366133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3DDBFCB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D88294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C2329000</w:t>
            </w:r>
          </w:p>
        </w:tc>
      </w:tr>
      <w:tr w14:paraId="686C16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67BE03C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3AA17F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设计单位未按照工程建设强制性标准进行水利工程设计</w:t>
            </w:r>
          </w:p>
        </w:tc>
        <w:tc>
          <w:tcPr>
            <w:tcW w:w="2981" w:type="dxa"/>
            <w:tcBorders>
              <w:top w:val="nil"/>
              <w:left w:val="nil"/>
              <w:bottom w:val="single" w:color="auto" w:sz="4" w:space="0"/>
              <w:right w:val="single" w:color="auto" w:sz="4" w:space="0"/>
            </w:tcBorders>
            <w:noWrap w:val="0"/>
            <w:vAlign w:val="center"/>
          </w:tcPr>
          <w:p w14:paraId="601926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违反条款：《条例》第十九条第一款；《规定》第二十二条；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处罚条款：《条例》第六十三条第一款第（四）项，责令改正，处10万元以上30万元以下的罚款；《规定》第六十六条第一款第（四）项，责令改正，处10万元以上30万元以下的罚款。</w:t>
            </w:r>
          </w:p>
        </w:tc>
        <w:tc>
          <w:tcPr>
            <w:tcW w:w="851" w:type="dxa"/>
            <w:tcBorders>
              <w:top w:val="nil"/>
              <w:left w:val="nil"/>
              <w:bottom w:val="single" w:color="auto" w:sz="4" w:space="0"/>
              <w:right w:val="single" w:color="auto" w:sz="4" w:space="0"/>
            </w:tcBorders>
            <w:noWrap w:val="0"/>
            <w:vAlign w:val="center"/>
          </w:tcPr>
          <w:p w14:paraId="27FA858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197FA77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04D1EE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7A302C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61A63E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1E729EB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D287136">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C2329100</w:t>
            </w:r>
          </w:p>
        </w:tc>
      </w:tr>
      <w:tr w14:paraId="54C6C6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3" w:hRule="atLeast"/>
        </w:trPr>
        <w:tc>
          <w:tcPr>
            <w:tcW w:w="13283" w:type="dxa"/>
            <w:gridSpan w:val="11"/>
            <w:tcBorders>
              <w:top w:val="nil"/>
              <w:left w:val="single" w:color="auto" w:sz="4" w:space="0"/>
              <w:bottom w:val="single" w:color="auto" w:sz="4" w:space="0"/>
              <w:right w:val="single" w:color="auto" w:sz="4" w:space="0"/>
            </w:tcBorders>
            <w:noWrap/>
            <w:vAlign w:val="center"/>
          </w:tcPr>
          <w:p w14:paraId="0AE6C756">
            <w:pPr>
              <w:widowControl/>
              <w:jc w:val="center"/>
              <w:outlineLvl w:val="1"/>
              <w:rPr>
                <w:rFonts w:ascii="Times New Roman" w:hAnsi="Times New Roman" w:eastAsia="宋体" w:cs="Times New Roman"/>
                <w:color w:val="auto"/>
                <w:kern w:val="0"/>
                <w:szCs w:val="21"/>
                <w:highlight w:val="none"/>
              </w:rPr>
            </w:pPr>
            <w:bookmarkStart w:id="335" w:name="_Toc1549955253"/>
            <w:bookmarkStart w:id="336" w:name="_Toc218468892"/>
            <w:r>
              <w:rPr>
                <w:rFonts w:ascii="Times New Roman" w:hAnsi="Times New Roman" w:eastAsia="宋体" w:cs="Times New Roman"/>
                <w:b/>
                <w:bCs/>
                <w:color w:val="auto"/>
                <w:kern w:val="0"/>
                <w:szCs w:val="21"/>
                <w:highlight w:val="none"/>
              </w:rPr>
              <w:t>《建设工程勘察质量管理办法》案由17项</w:t>
            </w:r>
            <w:bookmarkEnd w:id="335"/>
            <w:bookmarkEnd w:id="336"/>
          </w:p>
        </w:tc>
        <w:tc>
          <w:tcPr>
            <w:tcW w:w="3173" w:type="dxa"/>
            <w:gridSpan w:val="3"/>
            <w:tcBorders>
              <w:top w:val="nil"/>
              <w:left w:val="single" w:color="auto" w:sz="4" w:space="0"/>
              <w:bottom w:val="single" w:color="auto" w:sz="4" w:space="0"/>
              <w:right w:val="single" w:color="auto" w:sz="4" w:space="0"/>
            </w:tcBorders>
            <w:noWrap/>
            <w:vAlign w:val="center"/>
          </w:tcPr>
          <w:p w14:paraId="3012BD33">
            <w:pPr>
              <w:widowControl/>
              <w:jc w:val="center"/>
              <w:outlineLvl w:val="1"/>
              <w:rPr>
                <w:rFonts w:ascii="Times New Roman" w:hAnsi="Times New Roman" w:eastAsia="宋体" w:cs="Times New Roman"/>
                <w:b/>
                <w:bCs/>
                <w:color w:val="auto"/>
                <w:kern w:val="0"/>
                <w:szCs w:val="21"/>
                <w:highlight w:val="none"/>
              </w:rPr>
            </w:pPr>
          </w:p>
        </w:tc>
      </w:tr>
      <w:tr w14:paraId="3C99EA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33A1190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006DB6E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工程勘察企业法定代表人未建立或者落实本单位勘察质量管理制度</w:t>
            </w:r>
          </w:p>
        </w:tc>
        <w:tc>
          <w:tcPr>
            <w:tcW w:w="2981" w:type="dxa"/>
            <w:tcBorders>
              <w:top w:val="nil"/>
              <w:left w:val="nil"/>
              <w:bottom w:val="single" w:color="auto" w:sz="4" w:space="0"/>
              <w:right w:val="single" w:color="auto" w:sz="4" w:space="0"/>
            </w:tcBorders>
            <w:noWrap w:val="0"/>
            <w:vAlign w:val="center"/>
          </w:tcPr>
          <w:p w14:paraId="59771D9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处罚条款：第二十五条第（一）项，责令改正，处1万元以上3万元以下的罚款。</w:t>
            </w:r>
          </w:p>
        </w:tc>
        <w:tc>
          <w:tcPr>
            <w:tcW w:w="851" w:type="dxa"/>
            <w:tcBorders>
              <w:top w:val="nil"/>
              <w:left w:val="nil"/>
              <w:bottom w:val="single" w:color="auto" w:sz="4" w:space="0"/>
              <w:right w:val="single" w:color="auto" w:sz="4" w:space="0"/>
            </w:tcBorders>
            <w:noWrap w:val="0"/>
            <w:vAlign w:val="center"/>
          </w:tcPr>
          <w:p w14:paraId="0B5B610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3C5E39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905DC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建立勘察质量管理制度但落实管理要求，系数为0；2.建立勘察质量管理制度但未落实管理要求，系数为1；3.未建立勘察质量管理制度且未落实管理要求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490E3A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6034F7B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8000D5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438568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C2357000</w:t>
            </w:r>
          </w:p>
        </w:tc>
      </w:tr>
      <w:tr w14:paraId="4EE94C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546B584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09C1739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工程勘察企业法定代表人授权不具备相应资格的项目负责人开展勘察工作</w:t>
            </w:r>
          </w:p>
        </w:tc>
        <w:tc>
          <w:tcPr>
            <w:tcW w:w="2981" w:type="dxa"/>
            <w:tcBorders>
              <w:top w:val="nil"/>
              <w:left w:val="nil"/>
              <w:bottom w:val="single" w:color="auto" w:sz="4" w:space="0"/>
              <w:right w:val="single" w:color="auto" w:sz="4" w:space="0"/>
            </w:tcBorders>
            <w:noWrap w:val="0"/>
            <w:vAlign w:val="center"/>
          </w:tcPr>
          <w:p w14:paraId="6404A18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处罚条款：第二十五条第（二）项，责令改正，处1万元以上3万元以下的罚款。</w:t>
            </w:r>
          </w:p>
        </w:tc>
        <w:tc>
          <w:tcPr>
            <w:tcW w:w="851" w:type="dxa"/>
            <w:tcBorders>
              <w:top w:val="nil"/>
              <w:left w:val="nil"/>
              <w:bottom w:val="single" w:color="auto" w:sz="4" w:space="0"/>
              <w:right w:val="single" w:color="auto" w:sz="4" w:space="0"/>
            </w:tcBorders>
            <w:noWrap w:val="0"/>
            <w:vAlign w:val="center"/>
          </w:tcPr>
          <w:p w14:paraId="5CD7A84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82D757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59C7C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E39FB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600E5A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988187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7E6FE1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C2356100</w:t>
            </w:r>
          </w:p>
        </w:tc>
      </w:tr>
      <w:tr w14:paraId="2EE218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63AFE5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5983F6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工程勘察企业项目负责人未执行勘察纲要和工程建设强制性标准</w:t>
            </w:r>
          </w:p>
        </w:tc>
        <w:tc>
          <w:tcPr>
            <w:tcW w:w="2981" w:type="dxa"/>
            <w:tcBorders>
              <w:top w:val="nil"/>
              <w:left w:val="nil"/>
              <w:bottom w:val="single" w:color="auto" w:sz="4" w:space="0"/>
              <w:right w:val="single" w:color="auto" w:sz="4" w:space="0"/>
            </w:tcBorders>
            <w:noWrap w:val="0"/>
            <w:vAlign w:val="center"/>
          </w:tcPr>
          <w:p w14:paraId="75ABA4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处罚条款：第二十六条第（一）项，责令改正，处1万元以上3万元以下的罚款。</w:t>
            </w:r>
          </w:p>
        </w:tc>
        <w:tc>
          <w:tcPr>
            <w:tcW w:w="851" w:type="dxa"/>
            <w:tcBorders>
              <w:top w:val="nil"/>
              <w:left w:val="nil"/>
              <w:bottom w:val="single" w:color="auto" w:sz="4" w:space="0"/>
              <w:right w:val="single" w:color="auto" w:sz="4" w:space="0"/>
            </w:tcBorders>
            <w:noWrap w:val="0"/>
            <w:vAlign w:val="center"/>
          </w:tcPr>
          <w:p w14:paraId="237FCAD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22C1AEE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9C331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4CE9F2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47B2806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E61DB6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A7421B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C2356400</w:t>
            </w:r>
          </w:p>
        </w:tc>
      </w:tr>
      <w:tr w14:paraId="3984C3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4C3D311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67C1E9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工程勘察企业项目负责人未落实本单位勘察质量管理制度或者未制定项目质量保证措施</w:t>
            </w:r>
          </w:p>
        </w:tc>
        <w:tc>
          <w:tcPr>
            <w:tcW w:w="2981" w:type="dxa"/>
            <w:tcBorders>
              <w:top w:val="nil"/>
              <w:left w:val="nil"/>
              <w:bottom w:val="single" w:color="auto" w:sz="4" w:space="0"/>
              <w:right w:val="single" w:color="auto" w:sz="4" w:space="0"/>
            </w:tcBorders>
            <w:noWrap w:val="0"/>
            <w:vAlign w:val="center"/>
          </w:tcPr>
          <w:p w14:paraId="7A75CA7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处罚条款：第二十六条第（二）项，责令改正，处1万元以上3万元以下的罚款。</w:t>
            </w:r>
          </w:p>
        </w:tc>
        <w:tc>
          <w:tcPr>
            <w:tcW w:w="851" w:type="dxa"/>
            <w:tcBorders>
              <w:top w:val="nil"/>
              <w:left w:val="nil"/>
              <w:bottom w:val="single" w:color="auto" w:sz="4" w:space="0"/>
              <w:right w:val="single" w:color="auto" w:sz="4" w:space="0"/>
            </w:tcBorders>
            <w:noWrap w:val="0"/>
            <w:vAlign w:val="center"/>
          </w:tcPr>
          <w:p w14:paraId="54AC087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B5ADF3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49F83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29063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53BEC9A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28C58A9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93437B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C2356300</w:t>
            </w:r>
          </w:p>
        </w:tc>
      </w:tr>
      <w:tr w14:paraId="108C65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14F5F72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14:paraId="4C2796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工程勘察企业项目负责人未对原始记录进行验收并签字</w:t>
            </w:r>
          </w:p>
        </w:tc>
        <w:tc>
          <w:tcPr>
            <w:tcW w:w="2981" w:type="dxa"/>
            <w:tcBorders>
              <w:top w:val="nil"/>
              <w:left w:val="nil"/>
              <w:bottom w:val="single" w:color="auto" w:sz="4" w:space="0"/>
              <w:right w:val="single" w:color="auto" w:sz="4" w:space="0"/>
            </w:tcBorders>
            <w:noWrap w:val="0"/>
            <w:vAlign w:val="center"/>
          </w:tcPr>
          <w:p w14:paraId="71C19B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处罚条款：第二十六条第（四）项，责令改正，处1万元以上3万元以下的罚款。</w:t>
            </w:r>
          </w:p>
        </w:tc>
        <w:tc>
          <w:tcPr>
            <w:tcW w:w="851" w:type="dxa"/>
            <w:tcBorders>
              <w:top w:val="nil"/>
              <w:left w:val="nil"/>
              <w:bottom w:val="single" w:color="auto" w:sz="4" w:space="0"/>
              <w:right w:val="single" w:color="auto" w:sz="4" w:space="0"/>
            </w:tcBorders>
            <w:noWrap w:val="0"/>
            <w:vAlign w:val="center"/>
          </w:tcPr>
          <w:p w14:paraId="00AB987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B10D46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12370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进行验收并签字1处，系数为0；2.未进行验收并签字2处，系数为1；3.未进行验收并签字3处及以上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E05069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190508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D4C352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6E34EB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C2356900</w:t>
            </w:r>
          </w:p>
        </w:tc>
      </w:tr>
      <w:tr w14:paraId="0E2295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0966BB1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14:paraId="1EF1FE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工程勘察企业项目负责人未对归档资料签字确认</w:t>
            </w:r>
          </w:p>
        </w:tc>
        <w:tc>
          <w:tcPr>
            <w:tcW w:w="2981" w:type="dxa"/>
            <w:tcBorders>
              <w:top w:val="nil"/>
              <w:left w:val="nil"/>
              <w:bottom w:val="single" w:color="auto" w:sz="4" w:space="0"/>
              <w:right w:val="single" w:color="auto" w:sz="4" w:space="0"/>
            </w:tcBorders>
            <w:noWrap w:val="0"/>
            <w:vAlign w:val="center"/>
          </w:tcPr>
          <w:p w14:paraId="0967F5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处罚条款：第二十六条第（五）项，责令改正，处1万元以上3万元以下的罚款。</w:t>
            </w:r>
          </w:p>
        </w:tc>
        <w:tc>
          <w:tcPr>
            <w:tcW w:w="851" w:type="dxa"/>
            <w:tcBorders>
              <w:top w:val="nil"/>
              <w:left w:val="nil"/>
              <w:bottom w:val="single" w:color="auto" w:sz="4" w:space="0"/>
              <w:right w:val="single" w:color="auto" w:sz="4" w:space="0"/>
            </w:tcBorders>
            <w:noWrap w:val="0"/>
            <w:vAlign w:val="center"/>
          </w:tcPr>
          <w:p w14:paraId="39C4D8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33CE68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0CEBE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对归档资料签字确认1处，系数为0；2.未对归档资料签字确认2处，系数为1；3.未对归档资料签字确认3处及以上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ADDAA4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27C26D1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F3B770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0DBBF4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C2356700</w:t>
            </w:r>
          </w:p>
        </w:tc>
      </w:tr>
      <w:tr w14:paraId="510B5E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0C5AE03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14:paraId="7D9E97E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工程勘察企业原始记录弄虚作假</w:t>
            </w:r>
          </w:p>
        </w:tc>
        <w:tc>
          <w:tcPr>
            <w:tcW w:w="2981" w:type="dxa"/>
            <w:tcBorders>
              <w:top w:val="nil"/>
              <w:left w:val="nil"/>
              <w:bottom w:val="single" w:color="auto" w:sz="4" w:space="0"/>
              <w:right w:val="single" w:color="auto" w:sz="4" w:space="0"/>
            </w:tcBorders>
            <w:noWrap w:val="0"/>
            <w:vAlign w:val="center"/>
          </w:tcPr>
          <w:p w14:paraId="4FD7CB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处罚条款：第二十四条第（四）项，责令改正，处1万元以上3万元以下的罚款。</w:t>
            </w:r>
          </w:p>
        </w:tc>
        <w:tc>
          <w:tcPr>
            <w:tcW w:w="851" w:type="dxa"/>
            <w:tcBorders>
              <w:top w:val="nil"/>
              <w:left w:val="nil"/>
              <w:bottom w:val="single" w:color="auto" w:sz="4" w:space="0"/>
              <w:right w:val="single" w:color="auto" w:sz="4" w:space="0"/>
            </w:tcBorders>
            <w:noWrap w:val="0"/>
            <w:vAlign w:val="center"/>
          </w:tcPr>
          <w:p w14:paraId="271CEA8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2F58B56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176AD2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1.弄虚作假1处，系数为0；2.弄虚作假2处，系数为1；3.弄虚作假3处及以上或造成其他恶劣影响或造成工程质量事故的，系数为2。4.存在基准2.1.3规定情形的，系数按照相关规定确定（基准2.1.3.5不适用）。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7D0C3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731593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E0E96C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C1CCF8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C2329300</w:t>
            </w:r>
          </w:p>
        </w:tc>
      </w:tr>
      <w:tr w14:paraId="22CD98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4BB99A8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14:paraId="189A46E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工程勘察企业未将钻探、取样、原位测试、室内试验等主要过程的影像资料留存备查</w:t>
            </w:r>
          </w:p>
        </w:tc>
        <w:tc>
          <w:tcPr>
            <w:tcW w:w="2981" w:type="dxa"/>
            <w:tcBorders>
              <w:top w:val="nil"/>
              <w:left w:val="nil"/>
              <w:bottom w:val="single" w:color="auto" w:sz="4" w:space="0"/>
              <w:right w:val="single" w:color="auto" w:sz="4" w:space="0"/>
            </w:tcBorders>
            <w:noWrap w:val="0"/>
            <w:vAlign w:val="center"/>
          </w:tcPr>
          <w:p w14:paraId="2CBB5E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处罚条款：第二十四条第（五）项，责令改正，处1万元以上3万元以下的罚款。</w:t>
            </w:r>
          </w:p>
        </w:tc>
        <w:tc>
          <w:tcPr>
            <w:tcW w:w="851" w:type="dxa"/>
            <w:tcBorders>
              <w:top w:val="nil"/>
              <w:left w:val="nil"/>
              <w:bottom w:val="single" w:color="auto" w:sz="4" w:space="0"/>
              <w:right w:val="single" w:color="auto" w:sz="4" w:space="0"/>
            </w:tcBorders>
            <w:noWrap w:val="0"/>
            <w:vAlign w:val="center"/>
          </w:tcPr>
          <w:p w14:paraId="2ED222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CBF7DC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6D65E9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留存影像资料1份，系数为0；2.未留存影像资料2份，系数为1；3.未留存影像资料3份及以上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B872A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1957A7F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098979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0AA1E6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C2329300</w:t>
            </w:r>
          </w:p>
        </w:tc>
      </w:tr>
      <w:tr w14:paraId="56B10D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25596B8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14:paraId="06D12E9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工程勘察企业未按规定参加工程勘察技术交底和施工验槽</w:t>
            </w:r>
          </w:p>
        </w:tc>
        <w:tc>
          <w:tcPr>
            <w:tcW w:w="2981" w:type="dxa"/>
            <w:tcBorders>
              <w:top w:val="nil"/>
              <w:left w:val="nil"/>
              <w:bottom w:val="single" w:color="auto" w:sz="4" w:space="0"/>
              <w:right w:val="single" w:color="auto" w:sz="4" w:space="0"/>
            </w:tcBorders>
            <w:noWrap w:val="0"/>
            <w:vAlign w:val="center"/>
          </w:tcPr>
          <w:p w14:paraId="22F9DC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处罚条款：第二十四条第（三）项，责令改正，处1万元以上3万元以下的罚款。</w:t>
            </w:r>
          </w:p>
        </w:tc>
        <w:tc>
          <w:tcPr>
            <w:tcW w:w="851" w:type="dxa"/>
            <w:tcBorders>
              <w:top w:val="nil"/>
              <w:left w:val="nil"/>
              <w:bottom w:val="single" w:color="auto" w:sz="4" w:space="0"/>
              <w:right w:val="single" w:color="auto" w:sz="4" w:space="0"/>
            </w:tcBorders>
            <w:noWrap w:val="0"/>
            <w:vAlign w:val="center"/>
          </w:tcPr>
          <w:p w14:paraId="76FAB7C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51E211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F82D8B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3D5E6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7AEAA8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8A9C9B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4B89DC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C2329400</w:t>
            </w:r>
          </w:p>
        </w:tc>
      </w:tr>
      <w:tr w14:paraId="466DE5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70" w:hRule="atLeast"/>
        </w:trPr>
        <w:tc>
          <w:tcPr>
            <w:tcW w:w="716" w:type="dxa"/>
            <w:gridSpan w:val="2"/>
            <w:tcBorders>
              <w:top w:val="nil"/>
              <w:left w:val="single" w:color="auto" w:sz="4" w:space="0"/>
              <w:bottom w:val="single" w:color="auto" w:sz="4" w:space="0"/>
              <w:right w:val="single" w:color="auto" w:sz="4" w:space="0"/>
            </w:tcBorders>
            <w:noWrap/>
            <w:vAlign w:val="center"/>
          </w:tcPr>
          <w:p w14:paraId="5344FE7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14:paraId="5C6895C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工程勘察企业未按规定及时将勘察文件和勘探、试验、测试原始记录及成果、质量安全管理记录归档保存</w:t>
            </w:r>
          </w:p>
        </w:tc>
        <w:tc>
          <w:tcPr>
            <w:tcW w:w="2981" w:type="dxa"/>
            <w:tcBorders>
              <w:top w:val="nil"/>
              <w:left w:val="nil"/>
              <w:bottom w:val="single" w:color="auto" w:sz="4" w:space="0"/>
              <w:right w:val="single" w:color="auto" w:sz="4" w:space="0"/>
            </w:tcBorders>
            <w:noWrap w:val="0"/>
            <w:vAlign w:val="center"/>
          </w:tcPr>
          <w:p w14:paraId="750A13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处罚条款：第二十四条第（六）项，责令改正，处1万元以上3万元以下的罚款。</w:t>
            </w:r>
          </w:p>
        </w:tc>
        <w:tc>
          <w:tcPr>
            <w:tcW w:w="851" w:type="dxa"/>
            <w:tcBorders>
              <w:top w:val="nil"/>
              <w:left w:val="nil"/>
              <w:bottom w:val="single" w:color="auto" w:sz="4" w:space="0"/>
              <w:right w:val="single" w:color="auto" w:sz="4" w:space="0"/>
            </w:tcBorders>
            <w:noWrap w:val="0"/>
            <w:vAlign w:val="center"/>
          </w:tcPr>
          <w:p w14:paraId="5BD52E8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14587C1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42895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w:t>
            </w:r>
            <w:r>
              <w:rPr>
                <w:rFonts w:hint="eastAsia" w:ascii="宋体" w:hAnsi="宋体" w:cs="宋体"/>
                <w:color w:val="auto"/>
                <w:kern w:val="0"/>
                <w:sz w:val="15"/>
                <w:szCs w:val="15"/>
                <w:highlight w:val="none"/>
                <w:lang w:eastAsia="zh"/>
              </w:rPr>
              <w:t>C2329500</w:t>
            </w:r>
            <w:r>
              <w:rPr>
                <w:rFonts w:hint="eastAsia" w:ascii="宋体" w:hAnsi="宋体" w:eastAsia="宋体" w:cs="宋体"/>
                <w:color w:val="auto"/>
                <w:kern w:val="0"/>
                <w:sz w:val="15"/>
                <w:szCs w:val="15"/>
                <w:highlight w:val="none"/>
              </w:rPr>
              <w:t>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9BCCF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45BECE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2C66275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5073CB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C2329500</w:t>
            </w:r>
          </w:p>
        </w:tc>
      </w:tr>
      <w:tr w14:paraId="5DA97F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710BE71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4" w:type="dxa"/>
            <w:tcBorders>
              <w:top w:val="nil"/>
              <w:left w:val="nil"/>
              <w:bottom w:val="single" w:color="auto" w:sz="4" w:space="0"/>
              <w:right w:val="single" w:color="auto" w:sz="4" w:space="0"/>
            </w:tcBorders>
            <w:noWrap w:val="0"/>
            <w:vAlign w:val="center"/>
          </w:tcPr>
          <w:p w14:paraId="2C396A7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工程建设单位、勘察企业的法定代表人和其他直接责任人员因企业受到罚款处罚的</w:t>
            </w:r>
          </w:p>
        </w:tc>
        <w:tc>
          <w:tcPr>
            <w:tcW w:w="2981" w:type="dxa"/>
            <w:tcBorders>
              <w:top w:val="nil"/>
              <w:left w:val="nil"/>
              <w:bottom w:val="single" w:color="auto" w:sz="4" w:space="0"/>
              <w:right w:val="single" w:color="auto" w:sz="4" w:space="0"/>
            </w:tcBorders>
            <w:noWrap w:val="0"/>
            <w:vAlign w:val="center"/>
          </w:tcPr>
          <w:p w14:paraId="2490C7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处罚条款：第二十七条，处以企业罚款数额的5%以上10%以下的罚款。</w:t>
            </w:r>
          </w:p>
        </w:tc>
        <w:tc>
          <w:tcPr>
            <w:tcW w:w="851" w:type="dxa"/>
            <w:tcBorders>
              <w:top w:val="nil"/>
              <w:left w:val="nil"/>
              <w:bottom w:val="single" w:color="auto" w:sz="4" w:space="0"/>
              <w:right w:val="single" w:color="auto" w:sz="4" w:space="0"/>
            </w:tcBorders>
            <w:noWrap w:val="0"/>
            <w:vAlign w:val="center"/>
          </w:tcPr>
          <w:p w14:paraId="1FADFEE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企业罚款数额的5%</w:t>
            </w:r>
          </w:p>
        </w:tc>
        <w:tc>
          <w:tcPr>
            <w:tcW w:w="840" w:type="dxa"/>
            <w:tcBorders>
              <w:top w:val="nil"/>
              <w:left w:val="nil"/>
              <w:bottom w:val="single" w:color="auto" w:sz="4" w:space="0"/>
              <w:right w:val="single" w:color="auto" w:sz="4" w:space="0"/>
            </w:tcBorders>
            <w:noWrap w:val="0"/>
            <w:vAlign w:val="center"/>
          </w:tcPr>
          <w:p w14:paraId="2CF984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137E3D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0.5；3.500万≤项目勘察费或造成其他恶劣影响或造成工程质量事故的，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11738E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罚款金额=企业罚款数额的5%×（1+情节系数）</w:t>
            </w:r>
          </w:p>
        </w:tc>
        <w:tc>
          <w:tcPr>
            <w:tcW w:w="2016" w:type="dxa"/>
            <w:tcBorders>
              <w:top w:val="nil"/>
              <w:left w:val="nil"/>
              <w:bottom w:val="single" w:color="auto" w:sz="4" w:space="0"/>
              <w:right w:val="single" w:color="auto" w:sz="4" w:space="0"/>
            </w:tcBorders>
            <w:noWrap w:val="0"/>
            <w:vAlign w:val="center"/>
          </w:tcPr>
          <w:p w14:paraId="01B1243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716BF0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8C70D8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C2329600</w:t>
            </w:r>
          </w:p>
        </w:tc>
      </w:tr>
      <w:tr w14:paraId="4F9BB0B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25C4C1C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4" w:type="dxa"/>
            <w:tcBorders>
              <w:top w:val="nil"/>
              <w:left w:val="nil"/>
              <w:bottom w:val="single" w:color="auto" w:sz="4" w:space="0"/>
              <w:right w:val="single" w:color="auto" w:sz="4" w:space="0"/>
            </w:tcBorders>
            <w:noWrap w:val="0"/>
            <w:vAlign w:val="center"/>
          </w:tcPr>
          <w:p w14:paraId="5ABA29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建设单位未提供必要的现场工作条件或者提供与工程勘察有关的原始资料不真实、不可靠</w:t>
            </w:r>
          </w:p>
        </w:tc>
        <w:tc>
          <w:tcPr>
            <w:tcW w:w="2981" w:type="dxa"/>
            <w:tcBorders>
              <w:top w:val="nil"/>
              <w:left w:val="nil"/>
              <w:bottom w:val="single" w:color="auto" w:sz="4" w:space="0"/>
              <w:right w:val="single" w:color="auto" w:sz="4" w:space="0"/>
            </w:tcBorders>
            <w:noWrap w:val="0"/>
            <w:vAlign w:val="center"/>
          </w:tcPr>
          <w:p w14:paraId="23EA1A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处罚条款：第二十二条第（一）项</w:t>
            </w:r>
            <w:r>
              <w:rPr>
                <w:rFonts w:hint="eastAsia" w:ascii="宋体" w:hAnsi="宋体" w:eastAsia="宋体" w:cs="宋体"/>
                <w:color w:val="auto"/>
                <w:kern w:val="0"/>
                <w:sz w:val="15"/>
                <w:szCs w:val="15"/>
                <w:highlight w:val="none"/>
                <w:lang w:eastAsia="zh-CN"/>
              </w:rPr>
              <w:t>、第（二）项</w:t>
            </w:r>
            <w:r>
              <w:rPr>
                <w:rFonts w:hint="eastAsia" w:ascii="宋体" w:hAnsi="宋体" w:eastAsia="宋体" w:cs="宋体"/>
                <w:color w:val="auto"/>
                <w:kern w:val="0"/>
                <w:sz w:val="15"/>
                <w:szCs w:val="15"/>
                <w:highlight w:val="none"/>
              </w:rPr>
              <w:t>，责令改正，处1万元以上3万元以下的罚款</w:t>
            </w:r>
          </w:p>
        </w:tc>
        <w:tc>
          <w:tcPr>
            <w:tcW w:w="851" w:type="dxa"/>
            <w:tcBorders>
              <w:top w:val="nil"/>
              <w:left w:val="nil"/>
              <w:bottom w:val="single" w:color="auto" w:sz="4" w:space="0"/>
              <w:right w:val="single" w:color="auto" w:sz="4" w:space="0"/>
            </w:tcBorders>
            <w:noWrap w:val="0"/>
            <w:vAlign w:val="center"/>
          </w:tcPr>
          <w:p w14:paraId="03639BD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F566AD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617C61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D4D46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66DD1D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0BB553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3DD80E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C2356200</w:t>
            </w:r>
          </w:p>
        </w:tc>
      </w:tr>
      <w:tr w14:paraId="02224CF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000F27B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4" w:type="dxa"/>
            <w:tcBorders>
              <w:top w:val="nil"/>
              <w:left w:val="nil"/>
              <w:bottom w:val="single" w:color="auto" w:sz="4" w:space="0"/>
              <w:right w:val="single" w:color="auto" w:sz="4" w:space="0"/>
            </w:tcBorders>
            <w:noWrap w:val="0"/>
            <w:vAlign w:val="center"/>
          </w:tcPr>
          <w:p w14:paraId="027F83D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工程勘察企业关键岗位工作人员未接受专业培训</w:t>
            </w:r>
          </w:p>
        </w:tc>
        <w:tc>
          <w:tcPr>
            <w:tcW w:w="2981" w:type="dxa"/>
            <w:tcBorders>
              <w:top w:val="nil"/>
              <w:left w:val="nil"/>
              <w:bottom w:val="single" w:color="auto" w:sz="4" w:space="0"/>
              <w:right w:val="single" w:color="auto" w:sz="4" w:space="0"/>
            </w:tcBorders>
            <w:noWrap w:val="0"/>
            <w:vAlign w:val="center"/>
          </w:tcPr>
          <w:p w14:paraId="30E987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处罚条款：第二十四条第（二）项，责令改正，处1万元以上3万元以下的罚款。</w:t>
            </w:r>
          </w:p>
        </w:tc>
        <w:tc>
          <w:tcPr>
            <w:tcW w:w="851" w:type="dxa"/>
            <w:tcBorders>
              <w:top w:val="nil"/>
              <w:left w:val="nil"/>
              <w:bottom w:val="single" w:color="auto" w:sz="4" w:space="0"/>
              <w:right w:val="single" w:color="auto" w:sz="4" w:space="0"/>
            </w:tcBorders>
            <w:noWrap w:val="0"/>
            <w:vAlign w:val="center"/>
          </w:tcPr>
          <w:p w14:paraId="0690C13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194623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DDFF7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接受专业培训的关键岗位作业人员1人，系数为0；2.未接受专业培训的关键岗位作业人员2人，系数为1；3.未接受专业培训的关键岗位作业人员3人及以上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1902C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115A5FF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488DEA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3F22BF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C2356500</w:t>
            </w:r>
          </w:p>
        </w:tc>
      </w:tr>
      <w:tr w14:paraId="5FA4F9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431DD84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4" w:type="dxa"/>
            <w:tcBorders>
              <w:top w:val="nil"/>
              <w:left w:val="nil"/>
              <w:bottom w:val="single" w:color="auto" w:sz="4" w:space="0"/>
              <w:right w:val="single" w:color="auto" w:sz="4" w:space="0"/>
            </w:tcBorders>
            <w:noWrap w:val="0"/>
            <w:vAlign w:val="center"/>
          </w:tcPr>
          <w:p w14:paraId="57AACB2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建设单位未组织工程勘察技术交底或者未组织验槽</w:t>
            </w:r>
          </w:p>
        </w:tc>
        <w:tc>
          <w:tcPr>
            <w:tcW w:w="2981" w:type="dxa"/>
            <w:tcBorders>
              <w:top w:val="nil"/>
              <w:left w:val="nil"/>
              <w:bottom w:val="single" w:color="auto" w:sz="4" w:space="0"/>
              <w:right w:val="single" w:color="auto" w:sz="4" w:space="0"/>
            </w:tcBorders>
            <w:noWrap w:val="0"/>
            <w:vAlign w:val="center"/>
          </w:tcPr>
          <w:p w14:paraId="65DB84A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处罚条款：第二十二条第</w:t>
            </w:r>
            <w:r>
              <w:rPr>
                <w:rFonts w:hint="eastAsia" w:ascii="宋体" w:hAnsi="宋体" w:eastAsia="宋体" w:cs="宋体"/>
                <w:color w:val="auto"/>
                <w:kern w:val="0"/>
                <w:sz w:val="15"/>
                <w:szCs w:val="15"/>
                <w:highlight w:val="none"/>
                <w:lang w:eastAsia="zh-CN"/>
              </w:rPr>
              <w:t>（三）项、第（四）项</w:t>
            </w:r>
            <w:r>
              <w:rPr>
                <w:rFonts w:hint="eastAsia" w:ascii="宋体" w:hAnsi="宋体" w:eastAsia="宋体" w:cs="宋体"/>
                <w:color w:val="auto"/>
                <w:kern w:val="0"/>
                <w:sz w:val="15"/>
                <w:szCs w:val="15"/>
                <w:highlight w:val="none"/>
              </w:rPr>
              <w:t>，责令改正，处1万元以上3万元以下的罚款。</w:t>
            </w:r>
          </w:p>
        </w:tc>
        <w:tc>
          <w:tcPr>
            <w:tcW w:w="851" w:type="dxa"/>
            <w:tcBorders>
              <w:top w:val="nil"/>
              <w:left w:val="nil"/>
              <w:bottom w:val="single" w:color="auto" w:sz="4" w:space="0"/>
              <w:right w:val="single" w:color="auto" w:sz="4" w:space="0"/>
            </w:tcBorders>
            <w:noWrap w:val="0"/>
            <w:vAlign w:val="center"/>
          </w:tcPr>
          <w:p w14:paraId="461A68D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6945EE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473C6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ECCEA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327A55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E0CB08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52CEEC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C2356600</w:t>
            </w:r>
          </w:p>
        </w:tc>
      </w:tr>
      <w:tr w14:paraId="63CA9B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4F01D23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4" w:type="dxa"/>
            <w:tcBorders>
              <w:top w:val="nil"/>
              <w:left w:val="nil"/>
              <w:bottom w:val="single" w:color="auto" w:sz="4" w:space="0"/>
              <w:right w:val="single" w:color="auto" w:sz="4" w:space="0"/>
            </w:tcBorders>
            <w:noWrap w:val="0"/>
            <w:vAlign w:val="center"/>
          </w:tcPr>
          <w:p w14:paraId="508769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工程勘察企业使用的勘察仪器、设备不满足相关规定</w:t>
            </w:r>
          </w:p>
        </w:tc>
        <w:tc>
          <w:tcPr>
            <w:tcW w:w="2981" w:type="dxa"/>
            <w:tcBorders>
              <w:top w:val="nil"/>
              <w:left w:val="nil"/>
              <w:bottom w:val="single" w:color="auto" w:sz="4" w:space="0"/>
              <w:right w:val="single" w:color="auto" w:sz="4" w:space="0"/>
            </w:tcBorders>
            <w:noWrap w:val="0"/>
            <w:vAlign w:val="center"/>
          </w:tcPr>
          <w:p w14:paraId="0EE95AC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处罚条款：第二十四条第（一）项，责令改正，处1万元以上3万元以下的罚款。</w:t>
            </w:r>
          </w:p>
        </w:tc>
        <w:tc>
          <w:tcPr>
            <w:tcW w:w="851" w:type="dxa"/>
            <w:tcBorders>
              <w:top w:val="nil"/>
              <w:left w:val="nil"/>
              <w:bottom w:val="single" w:color="auto" w:sz="4" w:space="0"/>
              <w:right w:val="single" w:color="auto" w:sz="4" w:space="0"/>
            </w:tcBorders>
            <w:noWrap w:val="0"/>
            <w:vAlign w:val="center"/>
          </w:tcPr>
          <w:p w14:paraId="02F3A86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2C6E320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1EC781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不满足相关规定的勘察仪器、设备1个，系数为0；2.使用不满足相关规定的勘察仪器、设备2个，系数为1；3.使用不满足相关规定的勘察仪器、设备3个及以上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16F540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5C901A7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E1E94C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0F0B33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C2356800</w:t>
            </w:r>
          </w:p>
        </w:tc>
      </w:tr>
      <w:tr w14:paraId="54DBE5F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6E74FCB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4" w:type="dxa"/>
            <w:tcBorders>
              <w:top w:val="nil"/>
              <w:left w:val="nil"/>
              <w:bottom w:val="single" w:color="auto" w:sz="4" w:space="0"/>
              <w:right w:val="single" w:color="auto" w:sz="4" w:space="0"/>
            </w:tcBorders>
            <w:noWrap w:val="0"/>
            <w:vAlign w:val="center"/>
          </w:tcPr>
          <w:p w14:paraId="7CFE111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工程勘察企业法定代表人未按规定在工程勘察文件上签字或者盖章</w:t>
            </w:r>
          </w:p>
        </w:tc>
        <w:tc>
          <w:tcPr>
            <w:tcW w:w="2981" w:type="dxa"/>
            <w:tcBorders>
              <w:top w:val="nil"/>
              <w:left w:val="nil"/>
              <w:bottom w:val="single" w:color="auto" w:sz="4" w:space="0"/>
              <w:right w:val="single" w:color="auto" w:sz="4" w:space="0"/>
            </w:tcBorders>
            <w:noWrap w:val="0"/>
            <w:vAlign w:val="center"/>
          </w:tcPr>
          <w:p w14:paraId="21731F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w:t>
            </w:r>
            <w:r>
              <w:rPr>
                <w:rFonts w:hint="eastAsia" w:ascii="宋体" w:hAnsi="宋体" w:eastAsia="宋体" w:cs="宋体"/>
                <w:color w:val="auto"/>
                <w:kern w:val="0"/>
                <w:sz w:val="15"/>
                <w:szCs w:val="15"/>
                <w:highlight w:val="none"/>
                <w:lang w:eastAsia="zh-CN"/>
              </w:rPr>
              <w:t>五</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）项，责令改正，处1万元以上3万元以下的罚款。</w:t>
            </w:r>
          </w:p>
        </w:tc>
        <w:tc>
          <w:tcPr>
            <w:tcW w:w="851" w:type="dxa"/>
            <w:tcBorders>
              <w:top w:val="nil"/>
              <w:left w:val="nil"/>
              <w:bottom w:val="single" w:color="auto" w:sz="4" w:space="0"/>
              <w:right w:val="single" w:color="auto" w:sz="4" w:space="0"/>
            </w:tcBorders>
            <w:noWrap w:val="0"/>
            <w:vAlign w:val="center"/>
          </w:tcPr>
          <w:p w14:paraId="2B28D6B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A471B5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57464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签字或者盖章1处，系数为0；2.未签字或者盖章2处，系数为1；3.未签字或者盖章3处及以上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4E3C7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463810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F40F28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50BC54D">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C2329200</w:t>
            </w:r>
          </w:p>
        </w:tc>
      </w:tr>
      <w:tr w14:paraId="74C5D5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5CD4876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4" w:type="dxa"/>
            <w:tcBorders>
              <w:top w:val="nil"/>
              <w:left w:val="nil"/>
              <w:bottom w:val="single" w:color="auto" w:sz="4" w:space="0"/>
              <w:right w:val="single" w:color="auto" w:sz="4" w:space="0"/>
            </w:tcBorders>
            <w:noWrap w:val="0"/>
            <w:vAlign w:val="center"/>
          </w:tcPr>
          <w:p w14:paraId="686A35F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工程勘察企业项目负责人未按规定在工程勘察文件上签字</w:t>
            </w:r>
          </w:p>
        </w:tc>
        <w:tc>
          <w:tcPr>
            <w:tcW w:w="2981" w:type="dxa"/>
            <w:tcBorders>
              <w:top w:val="nil"/>
              <w:left w:val="nil"/>
              <w:bottom w:val="single" w:color="auto" w:sz="4" w:space="0"/>
              <w:right w:val="single" w:color="auto" w:sz="4" w:space="0"/>
            </w:tcBorders>
            <w:noWrap w:val="0"/>
            <w:vAlign w:val="center"/>
          </w:tcPr>
          <w:p w14:paraId="0FD0A7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w:t>
            </w:r>
            <w:r>
              <w:rPr>
                <w:rFonts w:hint="eastAsia" w:ascii="宋体" w:hAnsi="宋体" w:eastAsia="宋体" w:cs="宋体"/>
                <w:color w:val="auto"/>
                <w:kern w:val="0"/>
                <w:sz w:val="15"/>
                <w:szCs w:val="15"/>
                <w:highlight w:val="none"/>
                <w:lang w:eastAsia="zh-CN"/>
              </w:rPr>
              <w:t>六</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）项，责令改正，处1万元以上3万元以下的罚款。</w:t>
            </w:r>
          </w:p>
        </w:tc>
        <w:tc>
          <w:tcPr>
            <w:tcW w:w="851" w:type="dxa"/>
            <w:tcBorders>
              <w:top w:val="nil"/>
              <w:left w:val="nil"/>
              <w:bottom w:val="single" w:color="auto" w:sz="4" w:space="0"/>
              <w:right w:val="single" w:color="auto" w:sz="4" w:space="0"/>
            </w:tcBorders>
            <w:noWrap w:val="0"/>
            <w:vAlign w:val="center"/>
          </w:tcPr>
          <w:p w14:paraId="1FDDE5C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93F8D0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E540A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1.未签字1处，系数为0；2.未签字2处，系数为1；3.未签字3处及以上或造成其他恶劣影响或造成工程质量事故的，系数为2。4.存在基准2.1.3规定情形的，系数按照相关规定确定（基准2.1.3.5不适用）。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93B90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33E371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23C69C5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0F8FA6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C2329200</w:t>
            </w:r>
          </w:p>
        </w:tc>
      </w:tr>
      <w:tr w14:paraId="5011CB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3" w:hRule="atLeast"/>
        </w:trPr>
        <w:tc>
          <w:tcPr>
            <w:tcW w:w="13283" w:type="dxa"/>
            <w:gridSpan w:val="11"/>
            <w:tcBorders>
              <w:top w:val="nil"/>
              <w:left w:val="single" w:color="auto" w:sz="4" w:space="0"/>
              <w:bottom w:val="single" w:color="auto" w:sz="4" w:space="0"/>
              <w:right w:val="single" w:color="auto" w:sz="4" w:space="0"/>
            </w:tcBorders>
            <w:noWrap/>
            <w:vAlign w:val="center"/>
          </w:tcPr>
          <w:p w14:paraId="14733B6B">
            <w:pPr>
              <w:widowControl/>
              <w:jc w:val="center"/>
              <w:outlineLvl w:val="1"/>
              <w:rPr>
                <w:rFonts w:hint="eastAsia" w:ascii="宋体" w:hAnsi="宋体" w:eastAsia="宋体" w:cs="宋体"/>
                <w:color w:val="auto"/>
                <w:kern w:val="0"/>
                <w:szCs w:val="21"/>
                <w:highlight w:val="none"/>
              </w:rPr>
            </w:pPr>
            <w:bookmarkStart w:id="337" w:name="_Toc218468893"/>
            <w:bookmarkStart w:id="338" w:name="_Toc1287850182"/>
            <w:r>
              <w:rPr>
                <w:rFonts w:hint="eastAsia" w:ascii="宋体" w:hAnsi="宋体" w:eastAsia="宋体" w:cs="宋体"/>
                <w:b/>
                <w:bCs/>
                <w:color w:val="auto"/>
                <w:kern w:val="0"/>
                <w:szCs w:val="21"/>
                <w:highlight w:val="none"/>
              </w:rPr>
              <w:t>《建设工程勘察设计资质管理规定》案由4项</w:t>
            </w:r>
            <w:bookmarkEnd w:id="337"/>
            <w:bookmarkEnd w:id="338"/>
          </w:p>
        </w:tc>
        <w:tc>
          <w:tcPr>
            <w:tcW w:w="3173" w:type="dxa"/>
            <w:gridSpan w:val="3"/>
            <w:tcBorders>
              <w:top w:val="nil"/>
              <w:left w:val="single" w:color="auto" w:sz="4" w:space="0"/>
              <w:bottom w:val="single" w:color="auto" w:sz="4" w:space="0"/>
              <w:right w:val="single" w:color="auto" w:sz="4" w:space="0"/>
            </w:tcBorders>
            <w:noWrap/>
            <w:vAlign w:val="center"/>
          </w:tcPr>
          <w:p w14:paraId="59D31B69">
            <w:pPr>
              <w:widowControl/>
              <w:jc w:val="center"/>
              <w:outlineLvl w:val="1"/>
              <w:rPr>
                <w:rFonts w:hint="eastAsia" w:ascii="宋体" w:hAnsi="宋体" w:eastAsia="宋体" w:cs="宋体"/>
                <w:b/>
                <w:bCs/>
                <w:color w:val="auto"/>
                <w:kern w:val="0"/>
                <w:szCs w:val="21"/>
                <w:highlight w:val="none"/>
              </w:rPr>
            </w:pPr>
          </w:p>
        </w:tc>
      </w:tr>
      <w:tr w14:paraId="537D1C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5B03A65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4AFA00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水利建设工程勘察、工程设计企业隐瞒有关情况或者提供虚假材料申请资质</w:t>
            </w:r>
          </w:p>
        </w:tc>
        <w:tc>
          <w:tcPr>
            <w:tcW w:w="2981" w:type="dxa"/>
            <w:tcBorders>
              <w:top w:val="nil"/>
              <w:left w:val="nil"/>
              <w:bottom w:val="single" w:color="auto" w:sz="4" w:space="0"/>
              <w:right w:val="single" w:color="auto" w:sz="4" w:space="0"/>
            </w:tcBorders>
            <w:noWrap w:val="0"/>
            <w:vAlign w:val="center"/>
          </w:tcPr>
          <w:p w14:paraId="5E2DA4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处罚条款：第二十八条，并给予警告，该企业在1年内不得再次申请该资质。</w:t>
            </w:r>
          </w:p>
        </w:tc>
        <w:tc>
          <w:tcPr>
            <w:tcW w:w="851" w:type="dxa"/>
            <w:tcBorders>
              <w:top w:val="nil"/>
              <w:left w:val="nil"/>
              <w:bottom w:val="single" w:color="auto" w:sz="4" w:space="0"/>
              <w:right w:val="single" w:color="auto" w:sz="4" w:space="0"/>
            </w:tcBorders>
            <w:noWrap w:val="0"/>
            <w:vAlign w:val="center"/>
          </w:tcPr>
          <w:p w14:paraId="1C712A4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35FC89C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653158E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14:paraId="4E7EBD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43F951C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拟作出1年内不得再次申请该资质的(限制生产经营)，在作出处罚决定前，要邀请行业主管部门共同会商。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50E483C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A7CA5C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C2329700</w:t>
            </w:r>
          </w:p>
        </w:tc>
      </w:tr>
      <w:tr w14:paraId="2627B2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6F0FBE6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59DEEBE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建设工程勘察、工程设计企业以欺骗、贿赂等不正当手段取得资质证书</w:t>
            </w:r>
          </w:p>
        </w:tc>
        <w:tc>
          <w:tcPr>
            <w:tcW w:w="2981" w:type="dxa"/>
            <w:tcBorders>
              <w:top w:val="nil"/>
              <w:left w:val="nil"/>
              <w:bottom w:val="single" w:color="auto" w:sz="4" w:space="0"/>
              <w:right w:val="single" w:color="auto" w:sz="4" w:space="0"/>
            </w:tcBorders>
            <w:noWrap w:val="0"/>
            <w:vAlign w:val="center"/>
          </w:tcPr>
          <w:p w14:paraId="06FF9BC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处罚条款：第二十九条，给予警告，并依法处以罚款；该企业在3年内不得再次申请该资质。</w:t>
            </w:r>
          </w:p>
        </w:tc>
        <w:tc>
          <w:tcPr>
            <w:tcW w:w="851" w:type="dxa"/>
            <w:tcBorders>
              <w:top w:val="nil"/>
              <w:left w:val="nil"/>
              <w:bottom w:val="single" w:color="auto" w:sz="4" w:space="0"/>
              <w:right w:val="single" w:color="auto" w:sz="4" w:space="0"/>
            </w:tcBorders>
            <w:noWrap w:val="0"/>
            <w:vAlign w:val="center"/>
          </w:tcPr>
          <w:p w14:paraId="1AA4C83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4787811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62A94A9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14:paraId="65F7A5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4A3D05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拟作出吊销资质证书、3年内不得再次申请该资质的(限制生产经营)，在作出处罚决定前，要邀请行业主管部门共同会商。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以欺骗手段取得资质证书承揽工程的适用《建设工程质量管理条例》。</w:t>
            </w:r>
          </w:p>
        </w:tc>
        <w:tc>
          <w:tcPr>
            <w:tcW w:w="1304" w:type="dxa"/>
            <w:gridSpan w:val="2"/>
            <w:tcBorders>
              <w:top w:val="nil"/>
              <w:left w:val="nil"/>
              <w:bottom w:val="single" w:color="auto" w:sz="4" w:space="0"/>
              <w:right w:val="single" w:color="auto" w:sz="4" w:space="0"/>
            </w:tcBorders>
            <w:noWrap w:val="0"/>
            <w:vAlign w:val="center"/>
          </w:tcPr>
          <w:p w14:paraId="558F19D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1A4438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C2329800</w:t>
            </w:r>
          </w:p>
        </w:tc>
      </w:tr>
      <w:tr w14:paraId="52587F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67B6C90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7CCA2C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建设工程勘察、工程设计企业未按照规定提供信用档案信息</w:t>
            </w:r>
          </w:p>
        </w:tc>
        <w:tc>
          <w:tcPr>
            <w:tcW w:w="2981" w:type="dxa"/>
            <w:tcBorders>
              <w:top w:val="nil"/>
              <w:left w:val="nil"/>
              <w:bottom w:val="single" w:color="auto" w:sz="4" w:space="0"/>
              <w:right w:val="single" w:color="auto" w:sz="4" w:space="0"/>
            </w:tcBorders>
            <w:noWrap w:val="0"/>
            <w:vAlign w:val="center"/>
          </w:tcPr>
          <w:p w14:paraId="610D83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处罚条款：第三十一条，给予警告，责令限期改正；逾期未改正的，可处以1000元以上1万元以下的罚款。</w:t>
            </w:r>
          </w:p>
        </w:tc>
        <w:tc>
          <w:tcPr>
            <w:tcW w:w="851" w:type="dxa"/>
            <w:tcBorders>
              <w:top w:val="nil"/>
              <w:left w:val="nil"/>
              <w:bottom w:val="single" w:color="auto" w:sz="4" w:space="0"/>
              <w:right w:val="single" w:color="auto" w:sz="4" w:space="0"/>
            </w:tcBorders>
            <w:noWrap w:val="0"/>
            <w:vAlign w:val="center"/>
          </w:tcPr>
          <w:p w14:paraId="7169C9F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6585A79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661CD854">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限期改正，给予警告。</w:t>
            </w:r>
          </w:p>
          <w:p w14:paraId="2EDB21B6">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逾期未改正的，处以下罚款：1.企业逾期提供信用档案信息＜3天，系数为0；2.3天≤企业逾期提供信用档案信息＜5天，系数为2；3.5天≤企业逾期提供信用档案信息＜7天，系数为4；4.7天≤企业逾期提供信用档案信息，系数为6；5.企业无法提供信用档案信息的，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035D4F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14:paraId="58E3143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80B674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CBEF3DC">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C2329900</w:t>
            </w:r>
          </w:p>
        </w:tc>
      </w:tr>
      <w:tr w14:paraId="54E70C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7D90ADD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6BA09A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建设工程勘察、工程设计企业涂改、倒卖、出租、出借或者以其他形式非法转让资质证书</w:t>
            </w:r>
          </w:p>
        </w:tc>
        <w:tc>
          <w:tcPr>
            <w:tcW w:w="2981" w:type="dxa"/>
            <w:tcBorders>
              <w:top w:val="nil"/>
              <w:left w:val="nil"/>
              <w:bottom w:val="single" w:color="auto" w:sz="4" w:space="0"/>
              <w:right w:val="single" w:color="auto" w:sz="4" w:space="0"/>
            </w:tcBorders>
            <w:noWrap w:val="0"/>
            <w:vAlign w:val="center"/>
          </w:tcPr>
          <w:p w14:paraId="2D278BB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处罚条款：第三十二条，给予警告，责令改正，并处以1万元以上3万元以下的罚款。</w:t>
            </w:r>
          </w:p>
        </w:tc>
        <w:tc>
          <w:tcPr>
            <w:tcW w:w="851" w:type="dxa"/>
            <w:tcBorders>
              <w:top w:val="nil"/>
              <w:left w:val="nil"/>
              <w:bottom w:val="single" w:color="auto" w:sz="4" w:space="0"/>
              <w:right w:val="single" w:color="auto" w:sz="4" w:space="0"/>
            </w:tcBorders>
            <w:noWrap w:val="0"/>
            <w:vAlign w:val="center"/>
          </w:tcPr>
          <w:p w14:paraId="70E527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1591BA8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A88AA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涉及乙级资质，系数为0；2.涉及甲级资质，系数为1；3.涉及多个资质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28EF0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5D54B94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CA662F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B54391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C2330000</w:t>
            </w:r>
          </w:p>
        </w:tc>
      </w:tr>
      <w:tr w14:paraId="0BC223B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14:paraId="60258AE3">
            <w:pPr>
              <w:widowControl/>
              <w:jc w:val="center"/>
              <w:outlineLvl w:val="0"/>
              <w:rPr>
                <w:rFonts w:ascii="Times New Roman" w:hAnsi="Times New Roman" w:eastAsia="宋体" w:cs="Times New Roman"/>
                <w:color w:val="auto"/>
                <w:kern w:val="0"/>
                <w:sz w:val="28"/>
                <w:szCs w:val="28"/>
                <w:highlight w:val="none"/>
              </w:rPr>
            </w:pPr>
            <w:bookmarkStart w:id="339" w:name="_Toc218468894"/>
            <w:bookmarkStart w:id="340" w:name="_Toc136816891"/>
            <w:r>
              <w:rPr>
                <w:rFonts w:hint="eastAsia" w:ascii="黑体" w:hAnsi="黑体" w:eastAsia="黑体" w:cs="黑体"/>
                <w:color w:val="auto"/>
                <w:kern w:val="0"/>
                <w:sz w:val="28"/>
                <w:szCs w:val="28"/>
                <w:highlight w:val="none"/>
              </w:rPr>
              <w:t>水利工程建设质量管理方面</w:t>
            </w:r>
            <w:bookmarkEnd w:id="339"/>
            <w:bookmarkEnd w:id="340"/>
          </w:p>
        </w:tc>
        <w:tc>
          <w:tcPr>
            <w:tcW w:w="3173" w:type="dxa"/>
            <w:gridSpan w:val="3"/>
            <w:tcBorders>
              <w:top w:val="nil"/>
              <w:left w:val="single" w:color="auto" w:sz="4" w:space="0"/>
              <w:bottom w:val="single" w:color="auto" w:sz="4" w:space="0"/>
              <w:right w:val="single" w:color="auto" w:sz="4" w:space="0"/>
            </w:tcBorders>
            <w:noWrap/>
            <w:vAlign w:val="center"/>
          </w:tcPr>
          <w:p w14:paraId="302FDFE5">
            <w:pPr>
              <w:widowControl/>
              <w:jc w:val="center"/>
              <w:outlineLvl w:val="0"/>
              <w:rPr>
                <w:rFonts w:hint="eastAsia" w:ascii="黑体" w:hAnsi="黑体" w:eastAsia="黑体" w:cs="黑体"/>
                <w:color w:val="auto"/>
                <w:kern w:val="0"/>
                <w:sz w:val="28"/>
                <w:szCs w:val="28"/>
                <w:highlight w:val="none"/>
              </w:rPr>
            </w:pPr>
          </w:p>
        </w:tc>
      </w:tr>
      <w:tr w14:paraId="513312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14:paraId="073D87B0">
            <w:pPr>
              <w:widowControl/>
              <w:jc w:val="center"/>
              <w:outlineLvl w:val="1"/>
              <w:rPr>
                <w:rFonts w:ascii="Times New Roman" w:hAnsi="Times New Roman" w:eastAsia="宋体" w:cs="Times New Roman"/>
                <w:color w:val="auto"/>
                <w:kern w:val="0"/>
                <w:szCs w:val="21"/>
                <w:highlight w:val="none"/>
              </w:rPr>
            </w:pPr>
            <w:bookmarkStart w:id="341" w:name="_Toc681008941"/>
            <w:bookmarkStart w:id="342" w:name="_Toc218468895"/>
            <w:r>
              <w:rPr>
                <w:rFonts w:ascii="Times New Roman" w:hAnsi="Times New Roman" w:eastAsia="宋体" w:cs="Times New Roman"/>
                <w:b/>
                <w:bCs/>
                <w:color w:val="auto"/>
                <w:kern w:val="0"/>
                <w:szCs w:val="21"/>
                <w:highlight w:val="none"/>
              </w:rPr>
              <w:t>《中华人民共和国建筑法》案由1项</w:t>
            </w:r>
            <w:bookmarkEnd w:id="341"/>
            <w:bookmarkEnd w:id="342"/>
          </w:p>
        </w:tc>
        <w:tc>
          <w:tcPr>
            <w:tcW w:w="3173" w:type="dxa"/>
            <w:gridSpan w:val="3"/>
            <w:tcBorders>
              <w:top w:val="nil"/>
              <w:left w:val="single" w:color="auto" w:sz="4" w:space="0"/>
              <w:bottom w:val="single" w:color="auto" w:sz="4" w:space="0"/>
              <w:right w:val="single" w:color="auto" w:sz="4" w:space="0"/>
            </w:tcBorders>
            <w:noWrap/>
            <w:vAlign w:val="center"/>
          </w:tcPr>
          <w:p w14:paraId="79C25008">
            <w:pPr>
              <w:widowControl/>
              <w:jc w:val="center"/>
              <w:outlineLvl w:val="1"/>
              <w:rPr>
                <w:rFonts w:ascii="Times New Roman" w:hAnsi="Times New Roman" w:eastAsia="宋体" w:cs="Times New Roman"/>
                <w:b/>
                <w:bCs/>
                <w:color w:val="auto"/>
                <w:kern w:val="0"/>
                <w:szCs w:val="21"/>
                <w:highlight w:val="none"/>
              </w:rPr>
            </w:pPr>
          </w:p>
        </w:tc>
      </w:tr>
      <w:tr w14:paraId="0A9658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2589DE2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6A1465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建筑设计单位不按照建筑工程质量、安全标准进行水利工程设计</w:t>
            </w:r>
          </w:p>
        </w:tc>
        <w:tc>
          <w:tcPr>
            <w:tcW w:w="2981" w:type="dxa"/>
            <w:tcBorders>
              <w:top w:val="nil"/>
              <w:left w:val="nil"/>
              <w:bottom w:val="single" w:color="auto" w:sz="4" w:space="0"/>
              <w:right w:val="single" w:color="auto" w:sz="4" w:space="0"/>
            </w:tcBorders>
            <w:noWrap w:val="0"/>
            <w:vAlign w:val="center"/>
          </w:tcPr>
          <w:p w14:paraId="3EB2F7E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处罚条款：第七十三条，责令改正，处以罚款；造成工程质量事故的，责令停业整顿，降低资质等级或者吊销资质证书，没收违法所得，并处罚款。</w:t>
            </w:r>
          </w:p>
        </w:tc>
        <w:tc>
          <w:tcPr>
            <w:tcW w:w="851" w:type="dxa"/>
            <w:tcBorders>
              <w:top w:val="nil"/>
              <w:left w:val="nil"/>
              <w:bottom w:val="single" w:color="auto" w:sz="4" w:space="0"/>
              <w:right w:val="single" w:color="auto" w:sz="4" w:space="0"/>
            </w:tcBorders>
            <w:noWrap w:val="0"/>
            <w:vAlign w:val="center"/>
          </w:tcPr>
          <w:p w14:paraId="2C0C2AD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4AEA710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2E9847D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14:paraId="322AD4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354399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5F2DE47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15C886D">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C2337700</w:t>
            </w:r>
          </w:p>
        </w:tc>
      </w:tr>
      <w:tr w14:paraId="7D04B6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3" w:hRule="atLeast"/>
        </w:trPr>
        <w:tc>
          <w:tcPr>
            <w:tcW w:w="13283" w:type="dxa"/>
            <w:gridSpan w:val="11"/>
            <w:tcBorders>
              <w:top w:val="nil"/>
              <w:left w:val="single" w:color="auto" w:sz="4" w:space="0"/>
              <w:bottom w:val="single" w:color="auto" w:sz="4" w:space="0"/>
              <w:right w:val="single" w:color="auto" w:sz="4" w:space="0"/>
            </w:tcBorders>
            <w:noWrap/>
            <w:vAlign w:val="center"/>
          </w:tcPr>
          <w:p w14:paraId="2E8524F9">
            <w:pPr>
              <w:widowControl/>
              <w:jc w:val="center"/>
              <w:outlineLvl w:val="1"/>
              <w:rPr>
                <w:rFonts w:hint="eastAsia" w:ascii="宋体" w:hAnsi="宋体" w:eastAsia="宋体" w:cs="宋体"/>
                <w:color w:val="auto"/>
                <w:kern w:val="0"/>
                <w:szCs w:val="21"/>
                <w:highlight w:val="none"/>
              </w:rPr>
            </w:pPr>
            <w:bookmarkStart w:id="343" w:name="_Toc1954702544"/>
            <w:bookmarkStart w:id="344" w:name="_Toc218468896"/>
            <w:r>
              <w:rPr>
                <w:rFonts w:hint="eastAsia" w:ascii="宋体" w:hAnsi="宋体" w:eastAsia="宋体" w:cs="宋体"/>
                <w:b/>
                <w:bCs/>
                <w:color w:val="auto"/>
                <w:kern w:val="0"/>
                <w:szCs w:val="21"/>
                <w:highlight w:val="none"/>
              </w:rPr>
              <w:t>《建设工程质量管理条例》《水利工程质量管理规定》案由28项</w:t>
            </w:r>
            <w:bookmarkEnd w:id="343"/>
            <w:bookmarkEnd w:id="344"/>
          </w:p>
        </w:tc>
        <w:tc>
          <w:tcPr>
            <w:tcW w:w="3173" w:type="dxa"/>
            <w:gridSpan w:val="3"/>
            <w:tcBorders>
              <w:top w:val="nil"/>
              <w:left w:val="single" w:color="auto" w:sz="4" w:space="0"/>
              <w:bottom w:val="single" w:color="auto" w:sz="4" w:space="0"/>
              <w:right w:val="single" w:color="auto" w:sz="4" w:space="0"/>
            </w:tcBorders>
            <w:noWrap/>
            <w:vAlign w:val="center"/>
          </w:tcPr>
          <w:p w14:paraId="6E0793AD">
            <w:pPr>
              <w:widowControl/>
              <w:jc w:val="center"/>
              <w:outlineLvl w:val="1"/>
              <w:rPr>
                <w:rFonts w:hint="eastAsia" w:ascii="宋体" w:hAnsi="宋体" w:eastAsia="宋体" w:cs="宋体"/>
                <w:b/>
                <w:bCs/>
                <w:color w:val="auto"/>
                <w:kern w:val="0"/>
                <w:szCs w:val="21"/>
                <w:highlight w:val="none"/>
              </w:rPr>
            </w:pPr>
          </w:p>
        </w:tc>
      </w:tr>
      <w:tr w14:paraId="5F10D1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900" w:hRule="atLeast"/>
        </w:trPr>
        <w:tc>
          <w:tcPr>
            <w:tcW w:w="716" w:type="dxa"/>
            <w:gridSpan w:val="2"/>
            <w:tcBorders>
              <w:top w:val="nil"/>
              <w:left w:val="single" w:color="auto" w:sz="4" w:space="0"/>
              <w:bottom w:val="single" w:color="auto" w:sz="4" w:space="0"/>
              <w:right w:val="single" w:color="auto" w:sz="4" w:space="0"/>
            </w:tcBorders>
            <w:noWrap/>
            <w:vAlign w:val="center"/>
          </w:tcPr>
          <w:p w14:paraId="12292E0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0DB977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水利工程建设单位将建设工程发包给不具有相应资质等级的勘察、设计、施工单位</w:t>
            </w:r>
          </w:p>
        </w:tc>
        <w:tc>
          <w:tcPr>
            <w:tcW w:w="2981" w:type="dxa"/>
            <w:tcBorders>
              <w:top w:val="nil"/>
              <w:left w:val="nil"/>
              <w:bottom w:val="single" w:color="auto" w:sz="4" w:space="0"/>
              <w:right w:val="single" w:color="auto" w:sz="4" w:space="0"/>
            </w:tcBorders>
            <w:noWrap w:val="0"/>
            <w:vAlign w:val="center"/>
          </w:tcPr>
          <w:p w14:paraId="60EEC92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违反条款：《条例》第七条第一款；《规定》第十一条；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处罚条款：《条例》第五十四条，责令改正，处50万元以上100万元以下的罚款；《规定》第五十九条，责令改正，处50万元以上100万元以下的罚款。</w:t>
            </w:r>
          </w:p>
        </w:tc>
        <w:tc>
          <w:tcPr>
            <w:tcW w:w="851" w:type="dxa"/>
            <w:tcBorders>
              <w:top w:val="nil"/>
              <w:left w:val="nil"/>
              <w:bottom w:val="single" w:color="auto" w:sz="4" w:space="0"/>
              <w:right w:val="single" w:color="auto" w:sz="4" w:space="0"/>
            </w:tcBorders>
            <w:noWrap w:val="0"/>
            <w:vAlign w:val="center"/>
          </w:tcPr>
          <w:p w14:paraId="6F9CE37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6BCAC70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6C4C3E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或工程合同价款＜1000万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或1000万元≤工程合同价款＜2000万元，系数为0.2；3.300万元≤勘察或设计费＜400万元或2000万元≤工程合同价款＜3000万元，系数为0.4；4.400万元≤勘察或设计费＜500万元或3000万元≤工程合同价款＜4000万元，系数为0.6；5.500万元≤勘察或设计费＜600万元或4000万元≤工程合同价款＜5000万元，系数为0.8；6.600万元≤勘察或设计费或5000万元≤工程合同价款，系数为1；7.存在重大质量问题或造成生产安全事故，系数为1。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8801B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2016" w:type="dxa"/>
            <w:tcBorders>
              <w:top w:val="nil"/>
              <w:left w:val="nil"/>
              <w:bottom w:val="single" w:color="auto" w:sz="4" w:space="0"/>
              <w:right w:val="single" w:color="auto" w:sz="4" w:space="0"/>
            </w:tcBorders>
            <w:noWrap w:val="0"/>
            <w:vAlign w:val="center"/>
          </w:tcPr>
          <w:p w14:paraId="06F85F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2A65E07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49A0B8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C2323800</w:t>
            </w:r>
          </w:p>
        </w:tc>
      </w:tr>
      <w:tr w14:paraId="0BCDC3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142AAC3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3DDE557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水利工程建设单位将建设工程肢解发包</w:t>
            </w:r>
          </w:p>
        </w:tc>
        <w:tc>
          <w:tcPr>
            <w:tcW w:w="2981" w:type="dxa"/>
            <w:tcBorders>
              <w:top w:val="nil"/>
              <w:left w:val="nil"/>
              <w:bottom w:val="single" w:color="auto" w:sz="4" w:space="0"/>
              <w:right w:val="single" w:color="auto" w:sz="4" w:space="0"/>
            </w:tcBorders>
            <w:noWrap w:val="0"/>
            <w:vAlign w:val="center"/>
          </w:tcPr>
          <w:p w14:paraId="4F3E67E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处罚条款：《条例》第五十五条，责令改正，处工程合同价款0.5%以上1%以下的罚款。</w:t>
            </w:r>
          </w:p>
        </w:tc>
        <w:tc>
          <w:tcPr>
            <w:tcW w:w="851" w:type="dxa"/>
            <w:tcBorders>
              <w:top w:val="nil"/>
              <w:left w:val="nil"/>
              <w:bottom w:val="single" w:color="auto" w:sz="4" w:space="0"/>
              <w:right w:val="single" w:color="auto" w:sz="4" w:space="0"/>
            </w:tcBorders>
            <w:noWrap w:val="0"/>
            <w:vAlign w:val="center"/>
          </w:tcPr>
          <w:p w14:paraId="6F81218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ign w:val="center"/>
          </w:tcPr>
          <w:p w14:paraId="7B30737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5C6E0C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肢解发包为2个建设工程，系数为0；2.肢解发包为3个建设工程，系数为0.5；3.肢解发包为4个建设工程及以上或肢解发包后降低原有所需资质等级或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0905C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2016" w:type="dxa"/>
            <w:tcBorders>
              <w:top w:val="nil"/>
              <w:left w:val="nil"/>
              <w:bottom w:val="single" w:color="auto" w:sz="4" w:space="0"/>
              <w:right w:val="single" w:color="auto" w:sz="4" w:space="0"/>
            </w:tcBorders>
            <w:noWrap w:val="0"/>
            <w:vAlign w:val="center"/>
          </w:tcPr>
          <w:p w14:paraId="49C48C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2456E81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365D0C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C2323900</w:t>
            </w:r>
          </w:p>
        </w:tc>
      </w:tr>
      <w:tr w14:paraId="69E6F6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4657F66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0985EA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水利工程建设单位迫使承包方以低于成本的价格竞标</w:t>
            </w:r>
          </w:p>
        </w:tc>
        <w:tc>
          <w:tcPr>
            <w:tcW w:w="2981" w:type="dxa"/>
            <w:tcBorders>
              <w:top w:val="nil"/>
              <w:left w:val="nil"/>
              <w:bottom w:val="single" w:color="auto" w:sz="4" w:space="0"/>
              <w:right w:val="single" w:color="auto" w:sz="4" w:space="0"/>
            </w:tcBorders>
            <w:noWrap w:val="0"/>
            <w:vAlign w:val="center"/>
          </w:tcPr>
          <w:p w14:paraId="71CC2FC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违反条款：《条例》第十条第一款；《规定》第十二条第一款；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处罚条款：《条例》第五十六条第一款第（一）项，责令改正，处20万元以上50万元以下的罚款；《规定》第六十条第一款第（一）项，责令改正，处20万元以上50万元以下的罚款</w:t>
            </w:r>
          </w:p>
        </w:tc>
        <w:tc>
          <w:tcPr>
            <w:tcW w:w="851" w:type="dxa"/>
            <w:tcBorders>
              <w:top w:val="nil"/>
              <w:left w:val="nil"/>
              <w:bottom w:val="single" w:color="auto" w:sz="4" w:space="0"/>
              <w:right w:val="single" w:color="auto" w:sz="4" w:space="0"/>
            </w:tcBorders>
            <w:noWrap w:val="0"/>
            <w:vAlign w:val="center"/>
          </w:tcPr>
          <w:p w14:paraId="5F47126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0BCF460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2261E2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竞标价低于成本价＜10%，系数为0；2.10%≤竞标价低于成本价偏差＜15%，系数为0.3；3.15%≤竞标价低于成本价偏差＜20%，系数为0.6；4.20%≤竞标价低于成本价偏差＜25%，系数为0.9；5.25%≤竞标价低于成本价偏差＜30%，系数为1.2；6.30%≤竞标价低于成本价偏差，系数为 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F92BA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14:paraId="7F3A60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DC121B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160E03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C2324000</w:t>
            </w:r>
          </w:p>
        </w:tc>
      </w:tr>
      <w:tr w14:paraId="427DED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4" w:hRule="atLeast"/>
        </w:trPr>
        <w:tc>
          <w:tcPr>
            <w:tcW w:w="716" w:type="dxa"/>
            <w:gridSpan w:val="2"/>
            <w:tcBorders>
              <w:top w:val="nil"/>
              <w:left w:val="single" w:color="auto" w:sz="4" w:space="0"/>
              <w:bottom w:val="single" w:color="auto" w:sz="4" w:space="0"/>
              <w:right w:val="single" w:color="auto" w:sz="4" w:space="0"/>
            </w:tcBorders>
            <w:noWrap/>
            <w:vAlign w:val="center"/>
          </w:tcPr>
          <w:p w14:paraId="4A56693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0260E98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水利工程建设单位任意压缩合理工期</w:t>
            </w:r>
          </w:p>
        </w:tc>
        <w:tc>
          <w:tcPr>
            <w:tcW w:w="2981" w:type="dxa"/>
            <w:tcBorders>
              <w:top w:val="nil"/>
              <w:left w:val="nil"/>
              <w:bottom w:val="single" w:color="auto" w:sz="4" w:space="0"/>
              <w:right w:val="single" w:color="auto" w:sz="4" w:space="0"/>
            </w:tcBorders>
            <w:noWrap w:val="0"/>
            <w:vAlign w:val="center"/>
          </w:tcPr>
          <w:p w14:paraId="4E36F8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违反条款：《条例》第十条第一款；《规定》第十二条第一款；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处罚条款：《条例》第五十六条第一款第（二）项，责令改正，处20万元以上50万元以下的罚款；《规定》第六十条第一款第（二）项，责令改正，处20万元以上50万元以下的罚款。</w:t>
            </w:r>
          </w:p>
        </w:tc>
        <w:tc>
          <w:tcPr>
            <w:tcW w:w="851" w:type="dxa"/>
            <w:tcBorders>
              <w:top w:val="nil"/>
              <w:left w:val="nil"/>
              <w:bottom w:val="single" w:color="auto" w:sz="4" w:space="0"/>
              <w:right w:val="single" w:color="auto" w:sz="4" w:space="0"/>
            </w:tcBorders>
            <w:noWrap w:val="0"/>
            <w:vAlign w:val="center"/>
          </w:tcPr>
          <w:p w14:paraId="73B4030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7CD8728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33FDAC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压缩合理工期＜10%，系数为0；2.10%≤压缩合理工期＜15%，系数为0.3；3.15%≤压缩合理工期＜20%，系数为0.6；4.20%≤压缩合理工期＜25%，系数为0.9；5.25%≤压缩合理工期＜30%，系数为1.2；6.30%≤压缩合理工期，系数为 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A2782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14:paraId="12A5A6B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30EB647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6CB35ED">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C2324100</w:t>
            </w:r>
          </w:p>
        </w:tc>
      </w:tr>
      <w:tr w14:paraId="3E7663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6F361F0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14:paraId="1FA9BCE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水利工程建设单位明示或者暗示有关单位违反工程建设强制性标准，降低工程质量</w:t>
            </w:r>
          </w:p>
        </w:tc>
        <w:tc>
          <w:tcPr>
            <w:tcW w:w="2981" w:type="dxa"/>
            <w:tcBorders>
              <w:top w:val="nil"/>
              <w:left w:val="nil"/>
              <w:bottom w:val="single" w:color="auto" w:sz="4" w:space="0"/>
              <w:right w:val="single" w:color="auto" w:sz="4" w:space="0"/>
            </w:tcBorders>
            <w:noWrap w:val="0"/>
            <w:vAlign w:val="center"/>
          </w:tcPr>
          <w:p w14:paraId="367CF3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违反条款：《条例》第十条第二款；《规定》第十二条第二款；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处罚条款：《条例》第五十六条第一款第（三）项，责令改正，处20万元以上50万元以下的罚款；《规定》第六十条第一款第（三）项，责令改正，处20万元以上50万元以下的罚款。</w:t>
            </w:r>
          </w:p>
        </w:tc>
        <w:tc>
          <w:tcPr>
            <w:tcW w:w="851" w:type="dxa"/>
            <w:tcBorders>
              <w:top w:val="nil"/>
              <w:left w:val="nil"/>
              <w:bottom w:val="single" w:color="auto" w:sz="4" w:space="0"/>
              <w:right w:val="single" w:color="auto" w:sz="4" w:space="0"/>
            </w:tcBorders>
            <w:noWrap w:val="0"/>
            <w:vAlign w:val="center"/>
          </w:tcPr>
          <w:p w14:paraId="18C2621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018EE5D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4FE5EA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或施工标准与强制性标准存在偏差1处，系数为0；每增加1处，系数加0.3；偏差≥6处，系数为1.5；2.存在重大质量问题或造成生产安全事故，系数为1.5。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D85E8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14:paraId="7CC9C07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0EAD41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B91DA4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C2324200</w:t>
            </w:r>
          </w:p>
        </w:tc>
      </w:tr>
      <w:tr w14:paraId="266FD1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5FDA116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14:paraId="59947E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将建设工程委托给不具有相应资质等级的工程监理单位进行监理</w:t>
            </w:r>
          </w:p>
        </w:tc>
        <w:tc>
          <w:tcPr>
            <w:tcW w:w="2981" w:type="dxa"/>
            <w:tcBorders>
              <w:top w:val="nil"/>
              <w:left w:val="nil"/>
              <w:bottom w:val="single" w:color="auto" w:sz="4" w:space="0"/>
              <w:right w:val="single" w:color="auto" w:sz="4" w:space="0"/>
            </w:tcBorders>
            <w:noWrap w:val="0"/>
            <w:vAlign w:val="center"/>
          </w:tcPr>
          <w:p w14:paraId="17246D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违反条款：《条例》第十二条第一款；《规定》第十一条第一款；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处罚条款：《条例》第五十四条，责令改正，处50万元以上100万元以下的罚款；《规定》第五十九条，责令改正，处50万元以上100万元以下的罚款。</w:t>
            </w:r>
          </w:p>
        </w:tc>
        <w:tc>
          <w:tcPr>
            <w:tcW w:w="851" w:type="dxa"/>
            <w:tcBorders>
              <w:top w:val="nil"/>
              <w:left w:val="nil"/>
              <w:bottom w:val="single" w:color="auto" w:sz="4" w:space="0"/>
              <w:right w:val="single" w:color="auto" w:sz="4" w:space="0"/>
            </w:tcBorders>
            <w:noWrap w:val="0"/>
            <w:vAlign w:val="center"/>
          </w:tcPr>
          <w:p w14:paraId="55B0A16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68CAC03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2B61977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300万元，系数为1；7.存在重大质量问题或造成生产安全事故，系数为1。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11EA6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2016" w:type="dxa"/>
            <w:tcBorders>
              <w:top w:val="nil"/>
              <w:left w:val="nil"/>
              <w:bottom w:val="single" w:color="auto" w:sz="4" w:space="0"/>
              <w:right w:val="single" w:color="auto" w:sz="4" w:space="0"/>
            </w:tcBorders>
            <w:noWrap w:val="0"/>
            <w:vAlign w:val="center"/>
          </w:tcPr>
          <w:p w14:paraId="005D062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B3DE3A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4845D7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C2324400</w:t>
            </w:r>
          </w:p>
        </w:tc>
      </w:tr>
      <w:tr w14:paraId="03CE258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74C37BF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14:paraId="2DD8BE7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水利工程未按照国家规定办理工程质量监督手续</w:t>
            </w:r>
          </w:p>
        </w:tc>
        <w:tc>
          <w:tcPr>
            <w:tcW w:w="2981" w:type="dxa"/>
            <w:tcBorders>
              <w:top w:val="nil"/>
              <w:left w:val="nil"/>
              <w:bottom w:val="single" w:color="auto" w:sz="4" w:space="0"/>
              <w:right w:val="single" w:color="auto" w:sz="4" w:space="0"/>
            </w:tcBorders>
            <w:noWrap w:val="0"/>
            <w:vAlign w:val="center"/>
          </w:tcPr>
          <w:p w14:paraId="1CF133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违反条款：《条例》第十三条；《规定》第十三条；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处罚条款：《条例》第五十六条第一款第（六）项，责令改正，处20万元以上50万元以下的罚款；《规定》第六十条第一款第（五）项，责令改正，处20万元以上50万元以下的罚款。</w:t>
            </w:r>
          </w:p>
        </w:tc>
        <w:tc>
          <w:tcPr>
            <w:tcW w:w="851" w:type="dxa"/>
            <w:tcBorders>
              <w:top w:val="nil"/>
              <w:left w:val="nil"/>
              <w:bottom w:val="single" w:color="auto" w:sz="4" w:space="0"/>
              <w:right w:val="single" w:color="auto" w:sz="4" w:space="0"/>
            </w:tcBorders>
            <w:noWrap w:val="0"/>
            <w:vAlign w:val="center"/>
          </w:tcPr>
          <w:p w14:paraId="4EF5465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239386A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2ABE1D8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719204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14:paraId="1F1662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7BE8C3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4DB1E2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C2324500</w:t>
            </w:r>
          </w:p>
        </w:tc>
      </w:tr>
      <w:tr w14:paraId="0B3941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5493AAE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14:paraId="1C1A83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明示或者暗示施工单位使用不合格的建筑材料、建筑构配件和设备</w:t>
            </w:r>
          </w:p>
        </w:tc>
        <w:tc>
          <w:tcPr>
            <w:tcW w:w="2981" w:type="dxa"/>
            <w:tcBorders>
              <w:top w:val="nil"/>
              <w:left w:val="nil"/>
              <w:bottom w:val="single" w:color="auto" w:sz="4" w:space="0"/>
              <w:right w:val="single" w:color="auto" w:sz="4" w:space="0"/>
            </w:tcBorders>
            <w:noWrap w:val="0"/>
            <w:vAlign w:val="center"/>
          </w:tcPr>
          <w:p w14:paraId="7998149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违反条款：《条例》第十四条第二款；《规定》第十二条第二款；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处罚条款：《条例》第五十六条第一款第（七）项，责令改正，处20万元以上50万元以下的罚款；《规定》第六十条第一款第（六）项，责令改正，处20万元以上50万元以下的罚款。</w:t>
            </w:r>
          </w:p>
        </w:tc>
        <w:tc>
          <w:tcPr>
            <w:tcW w:w="851" w:type="dxa"/>
            <w:tcBorders>
              <w:top w:val="nil"/>
              <w:left w:val="nil"/>
              <w:bottom w:val="single" w:color="auto" w:sz="4" w:space="0"/>
              <w:right w:val="single" w:color="auto" w:sz="4" w:space="0"/>
            </w:tcBorders>
            <w:noWrap w:val="0"/>
            <w:vAlign w:val="center"/>
          </w:tcPr>
          <w:p w14:paraId="4457903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78888A0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0DF5BD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B7F27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14:paraId="61165A9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3BCC18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8EA475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C2324600</w:t>
            </w:r>
          </w:p>
        </w:tc>
      </w:tr>
      <w:tr w14:paraId="70C356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10" w:hRule="atLeast"/>
        </w:trPr>
        <w:tc>
          <w:tcPr>
            <w:tcW w:w="716" w:type="dxa"/>
            <w:gridSpan w:val="2"/>
            <w:tcBorders>
              <w:top w:val="nil"/>
              <w:left w:val="single" w:color="auto" w:sz="4" w:space="0"/>
              <w:bottom w:val="single" w:color="auto" w:sz="4" w:space="0"/>
              <w:right w:val="single" w:color="auto" w:sz="4" w:space="0"/>
            </w:tcBorders>
            <w:noWrap/>
            <w:vAlign w:val="center"/>
          </w:tcPr>
          <w:p w14:paraId="3DD66CF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14:paraId="5262687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水利工程建设单位未按照国家规定将竣工验收报告、有关认可文件或者准许使用文件报送备案</w:t>
            </w:r>
          </w:p>
        </w:tc>
        <w:tc>
          <w:tcPr>
            <w:tcW w:w="2981" w:type="dxa"/>
            <w:tcBorders>
              <w:top w:val="nil"/>
              <w:left w:val="nil"/>
              <w:bottom w:val="single" w:color="auto" w:sz="4" w:space="0"/>
              <w:right w:val="single" w:color="auto" w:sz="4" w:space="0"/>
            </w:tcBorders>
            <w:noWrap w:val="0"/>
            <w:vAlign w:val="center"/>
          </w:tcPr>
          <w:p w14:paraId="240DB4E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处罚条款：《条例》第五十六条第一款第（八）项，责令改正，处20万元以上50万元以下的罚款</w:t>
            </w:r>
          </w:p>
        </w:tc>
        <w:tc>
          <w:tcPr>
            <w:tcW w:w="851" w:type="dxa"/>
            <w:tcBorders>
              <w:top w:val="nil"/>
              <w:left w:val="nil"/>
              <w:bottom w:val="single" w:color="auto" w:sz="4" w:space="0"/>
              <w:right w:val="single" w:color="auto" w:sz="4" w:space="0"/>
            </w:tcBorders>
            <w:noWrap w:val="0"/>
            <w:vAlign w:val="center"/>
          </w:tcPr>
          <w:p w14:paraId="2FD8315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5F1E6D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7BFF11C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备案时间＜5天，系数为0；2.5天≤逾期备案时间＜10天，系数为0.3；3.10天≤逾期备案时间＜15天，系数为0.6；4.15天≤逾期备案时间＜20天，系数为0.9；5.20天≤逾期备案时间＜25天，系数为1.2；6.25天≤逾期备案时间，系数为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FD284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14:paraId="20802B2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06C902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908DA1D">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C2324700</w:t>
            </w:r>
          </w:p>
        </w:tc>
      </w:tr>
      <w:tr w14:paraId="1CEEA0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27A2AF3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14:paraId="640B9A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水利工程建设单位未组织竣工验收擅自将水利工程交付使用（不含防洪工程）</w:t>
            </w:r>
          </w:p>
        </w:tc>
        <w:tc>
          <w:tcPr>
            <w:tcW w:w="2981" w:type="dxa"/>
            <w:tcBorders>
              <w:top w:val="nil"/>
              <w:left w:val="nil"/>
              <w:bottom w:val="single" w:color="auto" w:sz="4" w:space="0"/>
              <w:right w:val="single" w:color="auto" w:sz="4" w:space="0"/>
            </w:tcBorders>
            <w:noWrap w:val="0"/>
            <w:vAlign w:val="center"/>
          </w:tcPr>
          <w:p w14:paraId="66CE4C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处罚条款：《条例》第五十八条第一款第（一）项，责令改正，处工程合同价款2%以上4%以下的罚款。</w:t>
            </w:r>
          </w:p>
        </w:tc>
        <w:tc>
          <w:tcPr>
            <w:tcW w:w="851" w:type="dxa"/>
            <w:tcBorders>
              <w:top w:val="nil"/>
              <w:left w:val="nil"/>
              <w:bottom w:val="single" w:color="auto" w:sz="4" w:space="0"/>
              <w:right w:val="single" w:color="auto" w:sz="4" w:space="0"/>
            </w:tcBorders>
            <w:noWrap w:val="0"/>
            <w:vAlign w:val="center"/>
          </w:tcPr>
          <w:p w14:paraId="22CA520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6711FB2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64C042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交付使用时间＜5天，系数为0；2.5天≤擅自交付使用时间＜10天，系数为0.5；3.10天≤擅自交付使用时间或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F3935A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14:paraId="11D532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2C93CD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F48F91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C2324900</w:t>
            </w:r>
          </w:p>
        </w:tc>
      </w:tr>
      <w:tr w14:paraId="515C1C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125F1F5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4" w:type="dxa"/>
            <w:tcBorders>
              <w:top w:val="nil"/>
              <w:left w:val="nil"/>
              <w:bottom w:val="single" w:color="auto" w:sz="4" w:space="0"/>
              <w:right w:val="single" w:color="auto" w:sz="4" w:space="0"/>
            </w:tcBorders>
            <w:noWrap w:val="0"/>
            <w:vAlign w:val="center"/>
          </w:tcPr>
          <w:p w14:paraId="05BCE44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水利工程建设单位将验收不合格的水利工程擅自交付使用</w:t>
            </w:r>
          </w:p>
        </w:tc>
        <w:tc>
          <w:tcPr>
            <w:tcW w:w="2981" w:type="dxa"/>
            <w:tcBorders>
              <w:top w:val="nil"/>
              <w:left w:val="nil"/>
              <w:bottom w:val="single" w:color="auto" w:sz="4" w:space="0"/>
              <w:right w:val="single" w:color="auto" w:sz="4" w:space="0"/>
            </w:tcBorders>
            <w:noWrap w:val="0"/>
            <w:vAlign w:val="center"/>
          </w:tcPr>
          <w:p w14:paraId="68DB9D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处罚条款：《条例》第五十八条第一款第（二）项，责令改正，处工程合同价款2%以上4%以下的罚款。</w:t>
            </w:r>
          </w:p>
        </w:tc>
        <w:tc>
          <w:tcPr>
            <w:tcW w:w="851" w:type="dxa"/>
            <w:tcBorders>
              <w:top w:val="nil"/>
              <w:left w:val="nil"/>
              <w:bottom w:val="single" w:color="auto" w:sz="4" w:space="0"/>
              <w:right w:val="single" w:color="auto" w:sz="4" w:space="0"/>
            </w:tcBorders>
            <w:noWrap w:val="0"/>
            <w:vAlign w:val="center"/>
          </w:tcPr>
          <w:p w14:paraId="1AE79D2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676AAF8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2AED5B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交付使用时间＜5天，系数为0；2.5天≤擅自交付使用时间＜10天，系数为0.5；3.10天≤擅自交付使用时间或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54134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14:paraId="0800F9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69DBF6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403516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C2325000</w:t>
            </w:r>
          </w:p>
        </w:tc>
      </w:tr>
      <w:tr w14:paraId="7CDE33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750469D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4" w:type="dxa"/>
            <w:tcBorders>
              <w:top w:val="nil"/>
              <w:left w:val="nil"/>
              <w:bottom w:val="single" w:color="auto" w:sz="4" w:space="0"/>
              <w:right w:val="single" w:color="auto" w:sz="4" w:space="0"/>
            </w:tcBorders>
            <w:noWrap w:val="0"/>
            <w:vAlign w:val="center"/>
          </w:tcPr>
          <w:p w14:paraId="6E09E4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水利工程建设单位将不合格的建设工程按照合格工程验收</w:t>
            </w:r>
          </w:p>
        </w:tc>
        <w:tc>
          <w:tcPr>
            <w:tcW w:w="2981" w:type="dxa"/>
            <w:tcBorders>
              <w:top w:val="nil"/>
              <w:left w:val="nil"/>
              <w:bottom w:val="single" w:color="auto" w:sz="4" w:space="0"/>
              <w:right w:val="single" w:color="auto" w:sz="4" w:space="0"/>
            </w:tcBorders>
            <w:noWrap w:val="0"/>
            <w:vAlign w:val="center"/>
          </w:tcPr>
          <w:p w14:paraId="14CCF66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处罚条款：《条例》第五十八条第一款第（三）项，责令改正，处工程合同价款2%以上4%以下的罚款。</w:t>
            </w:r>
          </w:p>
        </w:tc>
        <w:tc>
          <w:tcPr>
            <w:tcW w:w="851" w:type="dxa"/>
            <w:tcBorders>
              <w:top w:val="nil"/>
              <w:left w:val="nil"/>
              <w:bottom w:val="single" w:color="auto" w:sz="4" w:space="0"/>
              <w:right w:val="single" w:color="auto" w:sz="4" w:space="0"/>
            </w:tcBorders>
            <w:noWrap w:val="0"/>
            <w:vAlign w:val="center"/>
          </w:tcPr>
          <w:p w14:paraId="33B8D9A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2A8E465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2376" w:type="dxa"/>
            <w:tcBorders>
              <w:top w:val="nil"/>
              <w:left w:val="nil"/>
              <w:bottom w:val="single" w:color="auto" w:sz="4" w:space="0"/>
              <w:right w:val="single" w:color="auto" w:sz="4" w:space="0"/>
            </w:tcBorders>
            <w:noWrap w:val="0"/>
            <w:vAlign w:val="center"/>
          </w:tcPr>
          <w:p w14:paraId="5BFAD98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2.5天≤违法行为持续时间＜10天，系数为0.5；3.10天≤违法行为持续时间或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1796C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14:paraId="6F433E9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CF1BED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0A8CE3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C2325100</w:t>
            </w:r>
          </w:p>
        </w:tc>
      </w:tr>
      <w:tr w14:paraId="6DCAAB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7E1275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4" w:type="dxa"/>
            <w:tcBorders>
              <w:top w:val="nil"/>
              <w:left w:val="nil"/>
              <w:bottom w:val="single" w:color="auto" w:sz="4" w:space="0"/>
              <w:right w:val="single" w:color="auto" w:sz="4" w:space="0"/>
            </w:tcBorders>
            <w:noWrap w:val="0"/>
            <w:vAlign w:val="center"/>
          </w:tcPr>
          <w:p w14:paraId="00AB7002">
            <w:pPr>
              <w:widowControl/>
              <w:spacing w:after="240"/>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水利工程竣工验收后未移交建设项目档案</w:t>
            </w:r>
          </w:p>
        </w:tc>
        <w:tc>
          <w:tcPr>
            <w:tcW w:w="2981" w:type="dxa"/>
            <w:tcBorders>
              <w:top w:val="nil"/>
              <w:left w:val="nil"/>
              <w:bottom w:val="single" w:color="auto" w:sz="4" w:space="0"/>
              <w:right w:val="single" w:color="auto" w:sz="4" w:space="0"/>
            </w:tcBorders>
            <w:noWrap w:val="0"/>
            <w:vAlign w:val="center"/>
          </w:tcPr>
          <w:p w14:paraId="61EA4B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违反条款：《条例》第十七条；《规定》第十九条；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处罚条款：《条例》第五十九条，责令改正，处1万元以上10万元以下的罚款；《规定》第六十一条，责令改正，处1万元以上10万元以下的罚款。</w:t>
            </w:r>
          </w:p>
        </w:tc>
        <w:tc>
          <w:tcPr>
            <w:tcW w:w="851" w:type="dxa"/>
            <w:tcBorders>
              <w:top w:val="nil"/>
              <w:left w:val="nil"/>
              <w:bottom w:val="single" w:color="auto" w:sz="4" w:space="0"/>
              <w:right w:val="single" w:color="auto" w:sz="4" w:space="0"/>
            </w:tcBorders>
            <w:noWrap w:val="0"/>
            <w:vAlign w:val="center"/>
          </w:tcPr>
          <w:p w14:paraId="267668C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5BF74FE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45F043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2.5天≤违法行为持续时间＜10天，系数为4；3.10天≤违法行为持续时间或存在重大质量问题或造成生产安全事故，系数为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71A1EE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4935C9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F79355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419D6A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C2325200</w:t>
            </w:r>
          </w:p>
        </w:tc>
      </w:tr>
      <w:tr w14:paraId="71B0906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ign w:val="center"/>
          </w:tcPr>
          <w:p w14:paraId="46C062B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4" w:type="dxa"/>
            <w:tcBorders>
              <w:top w:val="nil"/>
              <w:left w:val="nil"/>
              <w:bottom w:val="single" w:color="auto" w:sz="4" w:space="0"/>
              <w:right w:val="single" w:color="auto" w:sz="4" w:space="0"/>
            </w:tcBorders>
            <w:noWrap w:val="0"/>
            <w:vAlign w:val="center"/>
          </w:tcPr>
          <w:p w14:paraId="4CA2C92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施工单位在水利工程施工中偷工减料的，使用不合格的建筑材料、建筑构配件和设备，或者有不按照工程设计图纸或者施工技术标准施工的其他行为</w:t>
            </w:r>
          </w:p>
        </w:tc>
        <w:tc>
          <w:tcPr>
            <w:tcW w:w="2981" w:type="dxa"/>
            <w:tcBorders>
              <w:top w:val="nil"/>
              <w:left w:val="nil"/>
              <w:bottom w:val="single" w:color="auto" w:sz="4" w:space="0"/>
              <w:right w:val="single" w:color="auto" w:sz="4" w:space="0"/>
            </w:tcBorders>
            <w:noWrap w:val="0"/>
            <w:vAlign w:val="center"/>
          </w:tcPr>
          <w:p w14:paraId="2D660C6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违反条款：《条例》第六十四条；《规定》第六十七条；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责令改正，处工程合同价款2%以上4%以下的罚款，情节严重的，责令停业整顿，降低资质等级或者吊销资质证书；《规定》第六十七条，责令改正，处工程合同价款2%以上4%以下的罚款。</w:t>
            </w:r>
          </w:p>
        </w:tc>
        <w:tc>
          <w:tcPr>
            <w:tcW w:w="851" w:type="dxa"/>
            <w:tcBorders>
              <w:top w:val="nil"/>
              <w:left w:val="nil"/>
              <w:bottom w:val="single" w:color="auto" w:sz="4" w:space="0"/>
              <w:right w:val="single" w:color="auto" w:sz="4" w:space="0"/>
            </w:tcBorders>
            <w:noWrap w:val="0"/>
            <w:vAlign w:val="center"/>
          </w:tcPr>
          <w:p w14:paraId="42CF2E2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7268079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118D2CA1">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无严重情节，处以下罚款：1.施工单位以乙级资质承包水利工程的，系数为0；2.施工单位以甲级资质承包水利工程的，系数为0.5。3.存在基准2.1.3规定情形的，系数按照相关规定确定（基准2.1.3.5不适用）。</w:t>
            </w:r>
          </w:p>
          <w:p w14:paraId="61252D29">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（二）情节严重的，系数为1。存在基准2.1.3规定情形的，系数按照相关规定确定（基准2.1.3.5不适用）。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33960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14:paraId="3D5238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77B3D34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6B1A366">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C2325300</w:t>
            </w:r>
          </w:p>
        </w:tc>
      </w:tr>
      <w:tr w14:paraId="5212DF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471E5FA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4" w:type="dxa"/>
            <w:tcBorders>
              <w:top w:val="nil"/>
              <w:left w:val="nil"/>
              <w:bottom w:val="single" w:color="auto" w:sz="4" w:space="0"/>
              <w:right w:val="single" w:color="auto" w:sz="4" w:space="0"/>
            </w:tcBorders>
            <w:noWrap w:val="0"/>
            <w:vAlign w:val="center"/>
          </w:tcPr>
          <w:p w14:paraId="08B8A02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水利工程施工单位未对建筑材料、建筑构配件、设备和商品混凝土进行检验，或者未对涉及结构安全的试块、试件以及有关材料取样检测</w:t>
            </w:r>
          </w:p>
        </w:tc>
        <w:tc>
          <w:tcPr>
            <w:tcW w:w="2981" w:type="dxa"/>
            <w:tcBorders>
              <w:top w:val="nil"/>
              <w:left w:val="nil"/>
              <w:bottom w:val="single" w:color="auto" w:sz="4" w:space="0"/>
              <w:right w:val="single" w:color="auto" w:sz="4" w:space="0"/>
            </w:tcBorders>
            <w:noWrap w:val="0"/>
            <w:vAlign w:val="center"/>
          </w:tcPr>
          <w:p w14:paraId="78B1D7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违反条款：《条例》第二十九条、第三十一条；《规定》第三十五条；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处罚条款：《条例》第六十五条，责令改正，处10万元以上20万元以下的罚款；情节严重的，责令停业整顿，降低资质等级或者吊销资质证书；《规定》第六十八条，责令改正，处10万元以上20万元以下的罚款。</w:t>
            </w:r>
          </w:p>
        </w:tc>
        <w:tc>
          <w:tcPr>
            <w:tcW w:w="851" w:type="dxa"/>
            <w:tcBorders>
              <w:top w:val="nil"/>
              <w:left w:val="nil"/>
              <w:bottom w:val="single" w:color="auto" w:sz="4" w:space="0"/>
              <w:right w:val="single" w:color="auto" w:sz="4" w:space="0"/>
            </w:tcBorders>
            <w:noWrap w:val="0"/>
            <w:vAlign w:val="center"/>
          </w:tcPr>
          <w:p w14:paraId="691ECD7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6D4B2F8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500C89C5">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无严重情节，处以下罚款：1.施工单位未进行检验检测1处，系数为0；每增加1处，系数加0.2；未进行检验检测≥6处，系数为1。2.存在基准2.1.3规定情形的，系数按照相关规定确定（基准2.1.3.5不适用）。</w:t>
            </w:r>
          </w:p>
          <w:p w14:paraId="085CD10D">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（二）情节严重的，系数为1。存在基准2.1.3规定情形的，系数按照相关规定确定（基准2.1.3.5不适用）。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3DFFD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06B281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5965490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2AEB37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C2325400</w:t>
            </w:r>
          </w:p>
        </w:tc>
      </w:tr>
      <w:tr w14:paraId="4F1DB53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1191810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4" w:type="dxa"/>
            <w:tcBorders>
              <w:top w:val="nil"/>
              <w:left w:val="nil"/>
              <w:bottom w:val="single" w:color="auto" w:sz="4" w:space="0"/>
              <w:right w:val="single" w:color="auto" w:sz="4" w:space="0"/>
            </w:tcBorders>
            <w:noWrap w:val="0"/>
            <w:vAlign w:val="center"/>
          </w:tcPr>
          <w:p w14:paraId="03658F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水利工程施工单位不履行保修义务或者拖延履行保修义务</w:t>
            </w:r>
          </w:p>
        </w:tc>
        <w:tc>
          <w:tcPr>
            <w:tcW w:w="2981" w:type="dxa"/>
            <w:tcBorders>
              <w:top w:val="nil"/>
              <w:left w:val="nil"/>
              <w:bottom w:val="single" w:color="auto" w:sz="4" w:space="0"/>
              <w:right w:val="single" w:color="auto" w:sz="4" w:space="0"/>
            </w:tcBorders>
            <w:noWrap w:val="0"/>
            <w:vAlign w:val="center"/>
          </w:tcPr>
          <w:p w14:paraId="7F464A8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违反条款：《条例》第四十一条；《规定》第三十九条；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处罚条款：《条例》第六十六条，责令改正，处10万元以上20万元以下的罚款；《规定》第六十九条，责令改正，处10万元以上20万元以下的罚款。</w:t>
            </w:r>
          </w:p>
        </w:tc>
        <w:tc>
          <w:tcPr>
            <w:tcW w:w="851" w:type="dxa"/>
            <w:tcBorders>
              <w:top w:val="nil"/>
              <w:left w:val="nil"/>
              <w:bottom w:val="single" w:color="auto" w:sz="4" w:space="0"/>
              <w:right w:val="single" w:color="auto" w:sz="4" w:space="0"/>
            </w:tcBorders>
            <w:noWrap w:val="0"/>
            <w:vAlign w:val="center"/>
          </w:tcPr>
          <w:p w14:paraId="2DF1410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7B61A18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2EF4B89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履行保修义务或者拖延履行保修义务导致发生1处质量问题，系数为0；每增加1处，系数加0.2；质量问题≥6处，系数为1。2.存在重大质量问题或造成生产安全事故，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956BF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08E7DD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F54041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DC018B6">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C2325500</w:t>
            </w:r>
          </w:p>
        </w:tc>
      </w:tr>
      <w:tr w14:paraId="1D6CC6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50D88E4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4" w:type="dxa"/>
            <w:tcBorders>
              <w:top w:val="nil"/>
              <w:left w:val="nil"/>
              <w:bottom w:val="single" w:color="auto" w:sz="4" w:space="0"/>
              <w:right w:val="single" w:color="auto" w:sz="4" w:space="0"/>
            </w:tcBorders>
            <w:noWrap w:val="0"/>
            <w:vAlign w:val="center"/>
          </w:tcPr>
          <w:p w14:paraId="068CBCC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涉及建筑主体或者承重结构变动的水利设施装修工程没有设计方案擅自施工</w:t>
            </w:r>
          </w:p>
        </w:tc>
        <w:tc>
          <w:tcPr>
            <w:tcW w:w="2981" w:type="dxa"/>
            <w:tcBorders>
              <w:top w:val="nil"/>
              <w:left w:val="nil"/>
              <w:bottom w:val="single" w:color="auto" w:sz="4" w:space="0"/>
              <w:right w:val="single" w:color="auto" w:sz="4" w:space="0"/>
            </w:tcBorders>
            <w:noWrap w:val="0"/>
            <w:vAlign w:val="center"/>
          </w:tcPr>
          <w:p w14:paraId="52A30D8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处罚条款：《条例》第六十九条第一款，责令改正，处50万元以上100万元以下的罚款。</w:t>
            </w:r>
          </w:p>
        </w:tc>
        <w:tc>
          <w:tcPr>
            <w:tcW w:w="851" w:type="dxa"/>
            <w:tcBorders>
              <w:top w:val="nil"/>
              <w:left w:val="nil"/>
              <w:bottom w:val="single" w:color="auto" w:sz="4" w:space="0"/>
              <w:right w:val="single" w:color="auto" w:sz="4" w:space="0"/>
            </w:tcBorders>
            <w:noWrap w:val="0"/>
            <w:vAlign w:val="center"/>
          </w:tcPr>
          <w:p w14:paraId="6A8BD14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79C3556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7191A2C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装修工程合同金额＜50万元，系数为0；2.50万元≤装修工程合同金额＜60万元，系数为0.2；3.60万元≤装修工程合同金额＜70万元，系数为0.4；4.70万元≤装修工程合同金额＜80万元，系数为0.6；5.80万元≤装修工程合同金额＜100万元，系数为0.8；6.100万元≤装修工程合同金额，系数为1。7.存在重大质量问题或造成生产安全事故，系数为1。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18121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2016" w:type="dxa"/>
            <w:tcBorders>
              <w:top w:val="nil"/>
              <w:left w:val="nil"/>
              <w:bottom w:val="single" w:color="auto" w:sz="4" w:space="0"/>
              <w:right w:val="single" w:color="auto" w:sz="4" w:space="0"/>
            </w:tcBorders>
            <w:noWrap w:val="0"/>
            <w:vAlign w:val="center"/>
          </w:tcPr>
          <w:p w14:paraId="5919783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3E00128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76BE37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C2325600</w:t>
            </w:r>
          </w:p>
        </w:tc>
      </w:tr>
      <w:tr w14:paraId="23DC18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18F7BFD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4" w:type="dxa"/>
            <w:tcBorders>
              <w:top w:val="nil"/>
              <w:left w:val="nil"/>
              <w:bottom w:val="single" w:color="auto" w:sz="4" w:space="0"/>
              <w:right w:val="single" w:color="auto" w:sz="4" w:space="0"/>
            </w:tcBorders>
            <w:noWrap w:val="0"/>
            <w:vAlign w:val="center"/>
          </w:tcPr>
          <w:p w14:paraId="58BC69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水利工程建设项目必须实行建设监理而未实行</w:t>
            </w:r>
          </w:p>
        </w:tc>
        <w:tc>
          <w:tcPr>
            <w:tcW w:w="2981" w:type="dxa"/>
            <w:tcBorders>
              <w:top w:val="nil"/>
              <w:left w:val="nil"/>
              <w:bottom w:val="single" w:color="auto" w:sz="4" w:space="0"/>
              <w:right w:val="single" w:color="auto" w:sz="4" w:space="0"/>
            </w:tcBorders>
            <w:noWrap w:val="0"/>
            <w:vAlign w:val="center"/>
          </w:tcPr>
          <w:p w14:paraId="7CB7BC7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处罚条款：《条例》第五十六条第一款第（五）项，责令改正，处20万元以上50万元以下的罚款。</w:t>
            </w:r>
          </w:p>
        </w:tc>
        <w:tc>
          <w:tcPr>
            <w:tcW w:w="851" w:type="dxa"/>
            <w:tcBorders>
              <w:top w:val="nil"/>
              <w:left w:val="nil"/>
              <w:bottom w:val="single" w:color="auto" w:sz="4" w:space="0"/>
              <w:right w:val="single" w:color="auto" w:sz="4" w:space="0"/>
            </w:tcBorders>
            <w:noWrap w:val="0"/>
            <w:vAlign w:val="center"/>
          </w:tcPr>
          <w:p w14:paraId="5E4C426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69105D4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02E970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338102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14:paraId="654863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54BB82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D7B34B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C2325800</w:t>
            </w:r>
          </w:p>
        </w:tc>
      </w:tr>
      <w:tr w14:paraId="213D98F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900" w:hRule="atLeast"/>
        </w:trPr>
        <w:tc>
          <w:tcPr>
            <w:tcW w:w="716" w:type="dxa"/>
            <w:gridSpan w:val="2"/>
            <w:tcBorders>
              <w:top w:val="nil"/>
              <w:left w:val="single" w:color="auto" w:sz="4" w:space="0"/>
              <w:bottom w:val="single" w:color="auto" w:sz="4" w:space="0"/>
              <w:right w:val="single" w:color="auto" w:sz="4" w:space="0"/>
            </w:tcBorders>
            <w:noWrap/>
            <w:vAlign w:val="center"/>
          </w:tcPr>
          <w:p w14:paraId="1CB8996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624" w:type="dxa"/>
            <w:tcBorders>
              <w:top w:val="nil"/>
              <w:left w:val="nil"/>
              <w:bottom w:val="single" w:color="auto" w:sz="4" w:space="0"/>
              <w:right w:val="single" w:color="auto" w:sz="4" w:space="0"/>
            </w:tcBorders>
            <w:noWrap w:val="0"/>
            <w:vAlign w:val="center"/>
          </w:tcPr>
          <w:p w14:paraId="7CA244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水利工程建设监理单位转让监理业务</w:t>
            </w:r>
          </w:p>
        </w:tc>
        <w:tc>
          <w:tcPr>
            <w:tcW w:w="2981" w:type="dxa"/>
            <w:tcBorders>
              <w:top w:val="nil"/>
              <w:left w:val="nil"/>
              <w:bottom w:val="single" w:color="auto" w:sz="4" w:space="0"/>
              <w:right w:val="single" w:color="auto" w:sz="4" w:space="0"/>
            </w:tcBorders>
            <w:noWrap w:val="0"/>
            <w:vAlign w:val="center"/>
          </w:tcPr>
          <w:p w14:paraId="243E40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违反条款：《条例》第三十四条第三款；《规定》第四十一条；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二款，责令改正，没收违法所得，处合同约定的监理合同价款25%以上50%以下的罚款，可以责令停业整顿，降低资质等级；《规定》第六十四条第二款，责令改正，没收违法所得，处合同约定的监理合同价款25%以上50%以下的罚款。</w:t>
            </w:r>
          </w:p>
        </w:tc>
        <w:tc>
          <w:tcPr>
            <w:tcW w:w="851" w:type="dxa"/>
            <w:tcBorders>
              <w:top w:val="nil"/>
              <w:left w:val="nil"/>
              <w:bottom w:val="single" w:color="auto" w:sz="4" w:space="0"/>
              <w:right w:val="single" w:color="auto" w:sz="4" w:space="0"/>
            </w:tcBorders>
            <w:noWrap w:val="0"/>
            <w:vAlign w:val="center"/>
          </w:tcPr>
          <w:p w14:paraId="2F19EEF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监理合同价款×25%</w:t>
            </w:r>
          </w:p>
        </w:tc>
        <w:tc>
          <w:tcPr>
            <w:tcW w:w="840" w:type="dxa"/>
            <w:tcBorders>
              <w:top w:val="nil"/>
              <w:left w:val="nil"/>
              <w:bottom w:val="single" w:color="auto" w:sz="4" w:space="0"/>
              <w:right w:val="single" w:color="auto" w:sz="4" w:space="0"/>
            </w:tcBorders>
            <w:noWrap/>
            <w:vAlign w:val="center"/>
          </w:tcPr>
          <w:p w14:paraId="25B3A94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565D6B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96506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罚款金额=监理合同价款×25%×（1+情节系数）</w:t>
            </w:r>
          </w:p>
        </w:tc>
        <w:tc>
          <w:tcPr>
            <w:tcW w:w="2016" w:type="dxa"/>
            <w:tcBorders>
              <w:top w:val="nil"/>
              <w:left w:val="nil"/>
              <w:bottom w:val="single" w:color="auto" w:sz="4" w:space="0"/>
              <w:right w:val="single" w:color="auto" w:sz="4" w:space="0"/>
            </w:tcBorders>
            <w:noWrap w:val="0"/>
            <w:vAlign w:val="center"/>
          </w:tcPr>
          <w:p w14:paraId="219E85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w:t>
            </w:r>
            <w:r>
              <w:rPr>
                <w:rFonts w:hint="eastAsia" w:ascii="宋体" w:hAnsi="宋体" w:eastAsia="宋体" w:cs="宋体"/>
                <w:color w:val="auto"/>
                <w:kern w:val="0"/>
                <w:sz w:val="15"/>
                <w:szCs w:val="15"/>
                <w:highlight w:val="none"/>
                <w:lang w:eastAsia="zh-CN"/>
              </w:rPr>
              <w:t>质量</w:t>
            </w:r>
            <w:r>
              <w:rPr>
                <w:rFonts w:hint="eastAsia" w:ascii="宋体" w:hAnsi="宋体" w:eastAsia="宋体" w:cs="宋体"/>
                <w:color w:val="auto"/>
                <w:kern w:val="0"/>
                <w:sz w:val="15"/>
                <w:szCs w:val="15"/>
                <w:highlight w:val="none"/>
              </w:rPr>
              <w:t>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611BB2E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DDE3F3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C2326500</w:t>
            </w:r>
          </w:p>
        </w:tc>
      </w:tr>
      <w:tr w14:paraId="693ECC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81" w:hRule="atLeast"/>
        </w:trPr>
        <w:tc>
          <w:tcPr>
            <w:tcW w:w="716" w:type="dxa"/>
            <w:gridSpan w:val="2"/>
            <w:tcBorders>
              <w:top w:val="nil"/>
              <w:left w:val="single" w:color="auto" w:sz="4" w:space="0"/>
              <w:bottom w:val="single" w:color="auto" w:sz="4" w:space="0"/>
              <w:right w:val="single" w:color="auto" w:sz="4" w:space="0"/>
            </w:tcBorders>
            <w:noWrap/>
            <w:vAlign w:val="center"/>
          </w:tcPr>
          <w:p w14:paraId="205238A9">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20</w:t>
            </w:r>
          </w:p>
        </w:tc>
        <w:tc>
          <w:tcPr>
            <w:tcW w:w="1624" w:type="dxa"/>
            <w:tcBorders>
              <w:top w:val="nil"/>
              <w:left w:val="nil"/>
              <w:bottom w:val="single" w:color="auto" w:sz="4" w:space="0"/>
              <w:right w:val="single" w:color="auto" w:sz="4" w:space="0"/>
            </w:tcBorders>
            <w:noWrap w:val="0"/>
            <w:vAlign w:val="center"/>
          </w:tcPr>
          <w:p w14:paraId="3B4DBD9A">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水利工程建设监理单位与</w:t>
            </w:r>
            <w:r>
              <w:rPr>
                <w:rFonts w:hint="eastAsia" w:ascii="宋体" w:hAnsi="宋体" w:eastAsia="宋体" w:cs="宋体"/>
                <w:color w:val="auto"/>
                <w:kern w:val="0"/>
                <w:sz w:val="15"/>
                <w:szCs w:val="15"/>
                <w:highlight w:val="none"/>
                <w:lang w:eastAsia="zh-CN"/>
              </w:rPr>
              <w:t>项目法人或者被监理单位</w:t>
            </w:r>
            <w:r>
              <w:rPr>
                <w:rFonts w:hint="eastAsia" w:ascii="宋体" w:hAnsi="宋体" w:eastAsia="宋体" w:cs="宋体"/>
                <w:color w:val="auto"/>
                <w:kern w:val="0"/>
                <w:sz w:val="15"/>
                <w:szCs w:val="15"/>
                <w:highlight w:val="none"/>
              </w:rPr>
              <w:t>串通，弄虚作假、降低工程质量</w:t>
            </w:r>
          </w:p>
        </w:tc>
        <w:tc>
          <w:tcPr>
            <w:tcW w:w="2981" w:type="dxa"/>
            <w:tcBorders>
              <w:top w:val="nil"/>
              <w:left w:val="nil"/>
              <w:bottom w:val="single" w:color="auto" w:sz="4" w:space="0"/>
              <w:right w:val="single" w:color="auto" w:sz="4" w:space="0"/>
            </w:tcBorders>
            <w:noWrap w:val="0"/>
            <w:vAlign w:val="center"/>
          </w:tcPr>
          <w:p w14:paraId="695BC055">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违反条款：《条例》第三十六条；</w:t>
            </w:r>
            <w:r>
              <w:rPr>
                <w:rFonts w:hint="eastAsia" w:ascii="宋体" w:hAnsi="宋体" w:eastAsia="宋体" w:cs="宋体"/>
                <w:color w:val="auto"/>
                <w:kern w:val="0"/>
                <w:sz w:val="15"/>
                <w:szCs w:val="15"/>
                <w:highlight w:val="none"/>
                <w:lang w:eastAsia="zh-CN"/>
              </w:rPr>
              <w:t>《水利工程建设监理规定》第二十六条第二款；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处罚条款：《条例》第六十七条第（一）项，责令改正，处50万元以上100万元以下的罚款，降低资质等级或者吊销资质证书；有违法所得的，予以没收。</w:t>
            </w:r>
          </w:p>
        </w:tc>
        <w:tc>
          <w:tcPr>
            <w:tcW w:w="851" w:type="dxa"/>
            <w:tcBorders>
              <w:top w:val="nil"/>
              <w:left w:val="nil"/>
              <w:bottom w:val="single" w:color="auto" w:sz="4" w:space="0"/>
              <w:right w:val="single" w:color="auto" w:sz="4" w:space="0"/>
            </w:tcBorders>
            <w:noWrap w:val="0"/>
            <w:vAlign w:val="center"/>
          </w:tcPr>
          <w:p w14:paraId="5B0351A7">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0ADC6635">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6B46E4C1">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系数为1；7.存在重大质量问题或造成生产安全事故，系数为1。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148895E">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罚款金额=500000×（1+情节系数）</w:t>
            </w:r>
          </w:p>
        </w:tc>
        <w:tc>
          <w:tcPr>
            <w:tcW w:w="2016" w:type="dxa"/>
            <w:tcBorders>
              <w:top w:val="nil"/>
              <w:left w:val="nil"/>
              <w:bottom w:val="single" w:color="auto" w:sz="4" w:space="0"/>
              <w:right w:val="single" w:color="auto" w:sz="4" w:space="0"/>
            </w:tcBorders>
            <w:noWrap w:val="0"/>
            <w:vAlign w:val="center"/>
          </w:tcPr>
          <w:p w14:paraId="71296E1A">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3CAAC25E">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87F089A">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C2326600</w:t>
            </w:r>
          </w:p>
        </w:tc>
      </w:tr>
      <w:tr w14:paraId="5D5DCE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90" w:hRule="atLeast"/>
        </w:trPr>
        <w:tc>
          <w:tcPr>
            <w:tcW w:w="716" w:type="dxa"/>
            <w:gridSpan w:val="2"/>
            <w:tcBorders>
              <w:top w:val="nil"/>
              <w:left w:val="single" w:color="auto" w:sz="4" w:space="0"/>
              <w:bottom w:val="single" w:color="auto" w:sz="4" w:space="0"/>
              <w:right w:val="single" w:color="auto" w:sz="4" w:space="0"/>
            </w:tcBorders>
            <w:noWrap/>
            <w:vAlign w:val="center"/>
          </w:tcPr>
          <w:p w14:paraId="2776C2C2">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21</w:t>
            </w:r>
          </w:p>
        </w:tc>
        <w:tc>
          <w:tcPr>
            <w:tcW w:w="1624" w:type="dxa"/>
            <w:tcBorders>
              <w:top w:val="nil"/>
              <w:left w:val="nil"/>
              <w:bottom w:val="single" w:color="auto" w:sz="4" w:space="0"/>
              <w:right w:val="single" w:color="auto" w:sz="4" w:space="0"/>
            </w:tcBorders>
            <w:noWrap w:val="0"/>
            <w:vAlign w:val="center"/>
          </w:tcPr>
          <w:p w14:paraId="61BB40D6">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水利工程建设监理单位将不合格的建设工程、原材料、中间产品和设备按照合格签字</w:t>
            </w:r>
          </w:p>
        </w:tc>
        <w:tc>
          <w:tcPr>
            <w:tcW w:w="2981" w:type="dxa"/>
            <w:tcBorders>
              <w:top w:val="nil"/>
              <w:left w:val="nil"/>
              <w:bottom w:val="single" w:color="auto" w:sz="4" w:space="0"/>
              <w:right w:val="single" w:color="auto" w:sz="4" w:space="0"/>
            </w:tcBorders>
            <w:noWrap w:val="0"/>
            <w:vAlign w:val="center"/>
          </w:tcPr>
          <w:p w14:paraId="5A2BE460">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违反条款：《条例》第六十七条第（二）项；《规定》第七十条第</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二</w:t>
            </w:r>
            <w:r>
              <w:rPr>
                <w:rFonts w:hint="eastAsia" w:ascii="宋体" w:hAnsi="宋体" w:cs="宋体"/>
                <w:color w:val="auto"/>
                <w:kern w:val="0"/>
                <w:sz w:val="15"/>
                <w:szCs w:val="15"/>
                <w:highlight w:val="none"/>
                <w:lang w:eastAsia="zh-CN"/>
              </w:rPr>
              <w:t>）项</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《水利工程建设监理规定》第二十一条第一款；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第（二）项，责令改正，处50万元以上100万元以下的罚款，降低资质等级或者吊销资质证书，有违法所得的，予以没收；《规定》第七十条第二款，责令改正，处50万元以上100万元以下的罚款；有违法所得的，予以没收。</w:t>
            </w:r>
          </w:p>
        </w:tc>
        <w:tc>
          <w:tcPr>
            <w:tcW w:w="851" w:type="dxa"/>
            <w:tcBorders>
              <w:top w:val="nil"/>
              <w:left w:val="nil"/>
              <w:bottom w:val="single" w:color="auto" w:sz="4" w:space="0"/>
              <w:right w:val="single" w:color="auto" w:sz="4" w:space="0"/>
            </w:tcBorders>
            <w:noWrap w:val="0"/>
            <w:vAlign w:val="center"/>
          </w:tcPr>
          <w:p w14:paraId="06C37FC8">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6E490EFD">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402ED048">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系数为1；7.存在重大质量问题或造成生产安全事故，系数为1。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8CA05E0">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罚款金额=500000×（1+情节系数）</w:t>
            </w:r>
          </w:p>
        </w:tc>
        <w:tc>
          <w:tcPr>
            <w:tcW w:w="2016" w:type="dxa"/>
            <w:tcBorders>
              <w:top w:val="nil"/>
              <w:left w:val="nil"/>
              <w:bottom w:val="single" w:color="auto" w:sz="4" w:space="0"/>
              <w:right w:val="single" w:color="auto" w:sz="4" w:space="0"/>
            </w:tcBorders>
            <w:noWrap w:val="0"/>
            <w:vAlign w:val="center"/>
          </w:tcPr>
          <w:p w14:paraId="04BEA697">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7E7005CB">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A6329A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C2326700</w:t>
            </w:r>
          </w:p>
        </w:tc>
      </w:tr>
      <w:tr w14:paraId="29EA81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3D0B363B">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22</w:t>
            </w:r>
          </w:p>
        </w:tc>
        <w:tc>
          <w:tcPr>
            <w:tcW w:w="1624" w:type="dxa"/>
            <w:tcBorders>
              <w:top w:val="nil"/>
              <w:left w:val="nil"/>
              <w:bottom w:val="single" w:color="auto" w:sz="4" w:space="0"/>
              <w:right w:val="single" w:color="auto" w:sz="4" w:space="0"/>
            </w:tcBorders>
            <w:noWrap w:val="0"/>
            <w:vAlign w:val="center"/>
          </w:tcPr>
          <w:p w14:paraId="7C24F194">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水利工程建设监理单位与被监理工程的施工单位以及原材料、中间产品和设备供应单位有隶属关系或者其他利害关系</w:t>
            </w:r>
          </w:p>
        </w:tc>
        <w:tc>
          <w:tcPr>
            <w:tcW w:w="2981" w:type="dxa"/>
            <w:tcBorders>
              <w:top w:val="nil"/>
              <w:left w:val="nil"/>
              <w:bottom w:val="single" w:color="auto" w:sz="4" w:space="0"/>
              <w:right w:val="single" w:color="auto" w:sz="4" w:space="0"/>
            </w:tcBorders>
            <w:noWrap w:val="0"/>
            <w:vAlign w:val="center"/>
          </w:tcPr>
          <w:p w14:paraId="218C4B45">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违反条款：《条例》第三十五条；</w:t>
            </w:r>
            <w:r>
              <w:rPr>
                <w:rFonts w:hint="eastAsia" w:ascii="宋体" w:hAnsi="宋体" w:eastAsia="宋体" w:cs="宋体"/>
                <w:color w:val="auto"/>
                <w:kern w:val="0"/>
                <w:sz w:val="15"/>
                <w:szCs w:val="15"/>
                <w:highlight w:val="none"/>
                <w:lang w:eastAsia="zh-CN"/>
              </w:rPr>
              <w:t>《水利工程建设监理规定》第二十六条第一款；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处罚条款：《条例》第六十八条，责令改正，处5万元以上10万元以下的罚款，降低资质等级或者吊销资质证书；有违法所得的，予以没收。</w:t>
            </w:r>
          </w:p>
        </w:tc>
        <w:tc>
          <w:tcPr>
            <w:tcW w:w="851" w:type="dxa"/>
            <w:tcBorders>
              <w:top w:val="nil"/>
              <w:left w:val="nil"/>
              <w:bottom w:val="single" w:color="auto" w:sz="4" w:space="0"/>
              <w:right w:val="single" w:color="auto" w:sz="4" w:space="0"/>
            </w:tcBorders>
            <w:noWrap w:val="0"/>
            <w:vAlign w:val="center"/>
          </w:tcPr>
          <w:p w14:paraId="53A61189">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14:paraId="116CBC0A">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3639347B">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处以下罚款，有违法所得的，没收违法所得：1.资质等级为乙级，系数为0；2.资质等级为甲级</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系数为0.5；3.存在重大质量问题或造成生产安全事故，系数为1。4.存在基准2.1.3规定情形的，系数按照相关规定确定（基准2.1.3.5不适用）。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2814612">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210E7BCC">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41055D02">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EA07A2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C2326800</w:t>
            </w:r>
          </w:p>
        </w:tc>
      </w:tr>
      <w:tr w14:paraId="3C25C07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80" w:hRule="atLeast"/>
        </w:trPr>
        <w:tc>
          <w:tcPr>
            <w:tcW w:w="716" w:type="dxa"/>
            <w:gridSpan w:val="2"/>
            <w:tcBorders>
              <w:top w:val="nil"/>
              <w:left w:val="single" w:color="auto" w:sz="4" w:space="0"/>
              <w:bottom w:val="single" w:color="auto" w:sz="4" w:space="0"/>
              <w:right w:val="single" w:color="auto" w:sz="4" w:space="0"/>
            </w:tcBorders>
            <w:noWrap/>
            <w:vAlign w:val="center"/>
          </w:tcPr>
          <w:p w14:paraId="6482C43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624" w:type="dxa"/>
            <w:tcBorders>
              <w:top w:val="nil"/>
              <w:left w:val="nil"/>
              <w:bottom w:val="single" w:color="auto" w:sz="4" w:space="0"/>
              <w:right w:val="single" w:color="auto" w:sz="4" w:space="0"/>
            </w:tcBorders>
            <w:noWrap w:val="0"/>
            <w:vAlign w:val="center"/>
          </w:tcPr>
          <w:p w14:paraId="1A86332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勘察、设计单位将承包的工程转包或者违法分包的</w:t>
            </w:r>
          </w:p>
        </w:tc>
        <w:tc>
          <w:tcPr>
            <w:tcW w:w="2981" w:type="dxa"/>
            <w:tcBorders>
              <w:top w:val="nil"/>
              <w:left w:val="nil"/>
              <w:bottom w:val="single" w:color="auto" w:sz="4" w:space="0"/>
              <w:right w:val="single" w:color="auto" w:sz="4" w:space="0"/>
            </w:tcBorders>
            <w:noWrap w:val="0"/>
            <w:vAlign w:val="center"/>
          </w:tcPr>
          <w:p w14:paraId="0A8D89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违反条款：《条例》第十八条第三款；《规定》第二十一条；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对勘察、设计单位处合同约定的勘察费、设计费百分之二十五以上百分之五十以下的罚款，可以责令停业整顿，降低资质等级，情节严重的，吊销资质证书；《规定》第六十四条第一款，责令改正，没收违法所得，对勘察、设计单位处合同约定的勘察费、设计费25%以上50%以下的罚款。</w:t>
            </w:r>
          </w:p>
        </w:tc>
        <w:tc>
          <w:tcPr>
            <w:tcW w:w="851" w:type="dxa"/>
            <w:tcBorders>
              <w:top w:val="nil"/>
              <w:left w:val="nil"/>
              <w:bottom w:val="single" w:color="auto" w:sz="4" w:space="0"/>
              <w:right w:val="single" w:color="auto" w:sz="4" w:space="0"/>
            </w:tcBorders>
            <w:noWrap w:val="0"/>
            <w:vAlign w:val="center"/>
          </w:tcPr>
          <w:p w14:paraId="2C3A23C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勘察费或设计费×25%</w:t>
            </w:r>
          </w:p>
        </w:tc>
        <w:tc>
          <w:tcPr>
            <w:tcW w:w="840" w:type="dxa"/>
            <w:tcBorders>
              <w:top w:val="nil"/>
              <w:left w:val="nil"/>
              <w:bottom w:val="single" w:color="auto" w:sz="4" w:space="0"/>
              <w:right w:val="single" w:color="auto" w:sz="4" w:space="0"/>
            </w:tcBorders>
            <w:noWrap w:val="0"/>
            <w:vAlign w:val="center"/>
          </w:tcPr>
          <w:p w14:paraId="0477D33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F0B51D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D710F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罚款金额=勘察费或设计费×25%×（1+情节系数）</w:t>
            </w:r>
          </w:p>
        </w:tc>
        <w:tc>
          <w:tcPr>
            <w:tcW w:w="2016" w:type="dxa"/>
            <w:tcBorders>
              <w:top w:val="nil"/>
              <w:left w:val="nil"/>
              <w:bottom w:val="single" w:color="auto" w:sz="4" w:space="0"/>
              <w:right w:val="single" w:color="auto" w:sz="4" w:space="0"/>
            </w:tcBorders>
            <w:noWrap w:val="0"/>
            <w:vAlign w:val="center"/>
          </w:tcPr>
          <w:p w14:paraId="1B13D9E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736C95E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E9F326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C2338700</w:t>
            </w:r>
          </w:p>
        </w:tc>
      </w:tr>
      <w:tr w14:paraId="682406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6F65F8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624" w:type="dxa"/>
            <w:tcBorders>
              <w:top w:val="nil"/>
              <w:left w:val="nil"/>
              <w:bottom w:val="single" w:color="auto" w:sz="4" w:space="0"/>
              <w:right w:val="single" w:color="auto" w:sz="4" w:space="0"/>
            </w:tcBorders>
            <w:noWrap w:val="0"/>
            <w:vAlign w:val="center"/>
          </w:tcPr>
          <w:p w14:paraId="19F36F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施工单位将承包的水利工程转包或者违法分包</w:t>
            </w:r>
          </w:p>
        </w:tc>
        <w:tc>
          <w:tcPr>
            <w:tcW w:w="2981" w:type="dxa"/>
            <w:tcBorders>
              <w:top w:val="nil"/>
              <w:left w:val="nil"/>
              <w:bottom w:val="single" w:color="auto" w:sz="4" w:space="0"/>
              <w:right w:val="single" w:color="auto" w:sz="4" w:space="0"/>
            </w:tcBorders>
            <w:noWrap w:val="0"/>
            <w:vAlign w:val="center"/>
          </w:tcPr>
          <w:p w14:paraId="7DBE57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处罚条款：《条例》第六十二条第一款，责令改正，没收违法所得，处工程合同价款0.5%以上1%以下的罚款，可以责令停业整顿，降低资质等级；情节严重的，吊销资质证书。</w:t>
            </w:r>
          </w:p>
        </w:tc>
        <w:tc>
          <w:tcPr>
            <w:tcW w:w="851" w:type="dxa"/>
            <w:tcBorders>
              <w:top w:val="nil"/>
              <w:left w:val="nil"/>
              <w:bottom w:val="single" w:color="auto" w:sz="4" w:space="0"/>
              <w:right w:val="single" w:color="auto" w:sz="4" w:space="0"/>
            </w:tcBorders>
            <w:noWrap w:val="0"/>
            <w:vAlign w:val="center"/>
          </w:tcPr>
          <w:p w14:paraId="1906994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0"/>
            <w:vAlign w:val="center"/>
          </w:tcPr>
          <w:p w14:paraId="2AFD82B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11A0CD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有违法所得的，没收违法所得，并处以下罚款：1.资质等级为二级，系数为0；2.资质等级为一级或存在重大质量问题或造成生产安全事故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F0430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2016" w:type="dxa"/>
            <w:tcBorders>
              <w:top w:val="nil"/>
              <w:left w:val="nil"/>
              <w:bottom w:val="single" w:color="auto" w:sz="4" w:space="0"/>
              <w:right w:val="single" w:color="auto" w:sz="4" w:space="0"/>
            </w:tcBorders>
            <w:noWrap w:val="0"/>
            <w:vAlign w:val="center"/>
          </w:tcPr>
          <w:p w14:paraId="49A05D8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7E22144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24D809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C2338800</w:t>
            </w:r>
          </w:p>
        </w:tc>
      </w:tr>
      <w:tr w14:paraId="6CE67F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900" w:hRule="atLeast"/>
        </w:trPr>
        <w:tc>
          <w:tcPr>
            <w:tcW w:w="716" w:type="dxa"/>
            <w:gridSpan w:val="2"/>
            <w:tcBorders>
              <w:top w:val="nil"/>
              <w:left w:val="single" w:color="auto" w:sz="4" w:space="0"/>
              <w:bottom w:val="single" w:color="auto" w:sz="4" w:space="0"/>
              <w:right w:val="single" w:color="auto" w:sz="4" w:space="0"/>
            </w:tcBorders>
            <w:noWrap/>
            <w:vAlign w:val="center"/>
          </w:tcPr>
          <w:p w14:paraId="3CEC23D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624" w:type="dxa"/>
            <w:tcBorders>
              <w:top w:val="nil"/>
              <w:left w:val="nil"/>
              <w:bottom w:val="single" w:color="auto" w:sz="4" w:space="0"/>
              <w:right w:val="single" w:color="auto" w:sz="4" w:space="0"/>
            </w:tcBorders>
            <w:noWrap w:val="0"/>
            <w:vAlign w:val="center"/>
          </w:tcPr>
          <w:p w14:paraId="629F2A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工程监理单位将承包的水利工程转包或者违法分包</w:t>
            </w:r>
          </w:p>
        </w:tc>
        <w:tc>
          <w:tcPr>
            <w:tcW w:w="2981" w:type="dxa"/>
            <w:tcBorders>
              <w:top w:val="nil"/>
              <w:left w:val="nil"/>
              <w:bottom w:val="single" w:color="auto" w:sz="4" w:space="0"/>
              <w:right w:val="single" w:color="auto" w:sz="4" w:space="0"/>
            </w:tcBorders>
            <w:noWrap w:val="0"/>
            <w:vAlign w:val="center"/>
          </w:tcPr>
          <w:p w14:paraId="4D7837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违反条款：《条例》第三十四条第三款；《规定》第四十一条；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二款，责令改正，没收违法所得，处合同约定的监理合同价款25%以上50%以下的罚款，可以责令停业整顿，降低资质等级；《规定》第六十四条第二款，责令改正，没收违法所得，处合同约定的监理合同价款25%以上50%以下的罚款。</w:t>
            </w:r>
          </w:p>
        </w:tc>
        <w:tc>
          <w:tcPr>
            <w:tcW w:w="851" w:type="dxa"/>
            <w:tcBorders>
              <w:top w:val="nil"/>
              <w:left w:val="nil"/>
              <w:bottom w:val="single" w:color="auto" w:sz="4" w:space="0"/>
              <w:right w:val="single" w:color="auto" w:sz="4" w:space="0"/>
            </w:tcBorders>
            <w:noWrap w:val="0"/>
            <w:vAlign w:val="center"/>
          </w:tcPr>
          <w:p w14:paraId="606BEB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监理合同价款×25%</w:t>
            </w:r>
          </w:p>
        </w:tc>
        <w:tc>
          <w:tcPr>
            <w:tcW w:w="840" w:type="dxa"/>
            <w:tcBorders>
              <w:top w:val="nil"/>
              <w:left w:val="nil"/>
              <w:bottom w:val="single" w:color="auto" w:sz="4" w:space="0"/>
              <w:right w:val="single" w:color="auto" w:sz="4" w:space="0"/>
            </w:tcBorders>
            <w:noWrap/>
            <w:vAlign w:val="center"/>
          </w:tcPr>
          <w:p w14:paraId="4E276C8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4B8EDF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7B5CB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罚款金额=监理合同价款×25%×（1+情节系数）</w:t>
            </w:r>
          </w:p>
        </w:tc>
        <w:tc>
          <w:tcPr>
            <w:tcW w:w="2016" w:type="dxa"/>
            <w:tcBorders>
              <w:top w:val="nil"/>
              <w:left w:val="nil"/>
              <w:bottom w:val="single" w:color="auto" w:sz="4" w:space="0"/>
              <w:right w:val="single" w:color="auto" w:sz="4" w:space="0"/>
            </w:tcBorders>
            <w:noWrap w:val="0"/>
            <w:vAlign w:val="center"/>
          </w:tcPr>
          <w:p w14:paraId="6B26F6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7BACD32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F9D0B4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C2338900</w:t>
            </w:r>
          </w:p>
        </w:tc>
      </w:tr>
      <w:tr w14:paraId="70C235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7343C3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624" w:type="dxa"/>
            <w:vMerge w:val="restart"/>
            <w:tcBorders>
              <w:top w:val="nil"/>
              <w:left w:val="single" w:color="auto" w:sz="4" w:space="0"/>
              <w:bottom w:val="single" w:color="auto" w:sz="4" w:space="0"/>
              <w:right w:val="single" w:color="auto" w:sz="4" w:space="0"/>
            </w:tcBorders>
            <w:noWrap w:val="0"/>
            <w:vAlign w:val="center"/>
          </w:tcPr>
          <w:p w14:paraId="311B46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勘察、设计、施工、监理单位允许其他单位或者个人以本单位名义承揽水利工程业务</w:t>
            </w:r>
          </w:p>
        </w:tc>
        <w:tc>
          <w:tcPr>
            <w:tcW w:w="2981" w:type="dxa"/>
            <w:vMerge w:val="restart"/>
            <w:tcBorders>
              <w:top w:val="nil"/>
              <w:left w:val="single" w:color="auto" w:sz="4" w:space="0"/>
              <w:bottom w:val="single" w:color="auto" w:sz="4" w:space="0"/>
              <w:right w:val="single" w:color="auto" w:sz="4" w:space="0"/>
            </w:tcBorders>
            <w:noWrap w:val="0"/>
            <w:vAlign w:val="center"/>
          </w:tcPr>
          <w:p w14:paraId="27ECCD9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违反条款：《条例》第十八条第二款、第二十五条第二款、第三十四条第二款；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责令改正，没收违法所得，对勘察、设计单位和工程监理单位处合同约定的勘察费、设计费和监理合同价款1倍以上2倍以下的罚款；对施工单位处工程合同价款2%以上4%以下的罚款；可以责令停业整顿，降低资质等级；情节严重的，吊销资质证书。</w:t>
            </w:r>
          </w:p>
        </w:tc>
        <w:tc>
          <w:tcPr>
            <w:tcW w:w="851" w:type="dxa"/>
            <w:tcBorders>
              <w:top w:val="nil"/>
              <w:left w:val="nil"/>
              <w:bottom w:val="single" w:color="auto" w:sz="4" w:space="0"/>
              <w:right w:val="single" w:color="auto" w:sz="4" w:space="0"/>
            </w:tcBorders>
            <w:noWrap w:val="0"/>
            <w:vAlign w:val="center"/>
          </w:tcPr>
          <w:p w14:paraId="6F543F3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勘察费、设计费、监理合同价款×1倍（对勘察、设计、监理单位）</w:t>
            </w:r>
          </w:p>
        </w:tc>
        <w:tc>
          <w:tcPr>
            <w:tcW w:w="840" w:type="dxa"/>
            <w:tcBorders>
              <w:top w:val="nil"/>
              <w:left w:val="nil"/>
              <w:bottom w:val="single" w:color="auto" w:sz="4" w:space="0"/>
              <w:right w:val="single" w:color="auto" w:sz="4" w:space="0"/>
            </w:tcBorders>
            <w:noWrap/>
            <w:vAlign w:val="center"/>
          </w:tcPr>
          <w:p w14:paraId="0EE672A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01F85F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，系数为0.5；3.5000万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CFFE4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罚款金额=勘察费、设计费、监理合同价款×（1+情节系数）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23B6CAE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w:t>
            </w:r>
            <w:r>
              <w:rPr>
                <w:rFonts w:hint="eastAsia" w:ascii="宋体" w:hAnsi="宋体" w:eastAsia="宋体" w:cs="宋体"/>
                <w:color w:val="auto"/>
                <w:kern w:val="0"/>
                <w:sz w:val="15"/>
                <w:szCs w:val="15"/>
                <w:highlight w:val="none"/>
                <w:lang w:eastAsia="zh-CN"/>
              </w:rPr>
              <w:t>质量</w:t>
            </w:r>
            <w:r>
              <w:rPr>
                <w:rFonts w:hint="eastAsia" w:ascii="宋体" w:hAnsi="宋体" w:eastAsia="宋体" w:cs="宋体"/>
                <w:color w:val="auto"/>
                <w:kern w:val="0"/>
                <w:sz w:val="15"/>
                <w:szCs w:val="15"/>
                <w:highlight w:val="none"/>
              </w:rPr>
              <w:t>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77236B8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43FADEC">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C2352600</w:t>
            </w:r>
          </w:p>
        </w:tc>
      </w:tr>
      <w:tr w14:paraId="79D304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4012B702">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7EFCF28F">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361550A4">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3E73FAF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工程合同价款×2%（对施工单位）</w:t>
            </w:r>
          </w:p>
        </w:tc>
        <w:tc>
          <w:tcPr>
            <w:tcW w:w="840" w:type="dxa"/>
            <w:tcBorders>
              <w:top w:val="nil"/>
              <w:left w:val="nil"/>
              <w:bottom w:val="single" w:color="auto" w:sz="4" w:space="0"/>
              <w:right w:val="single" w:color="auto" w:sz="4" w:space="0"/>
            </w:tcBorders>
            <w:noWrap/>
            <w:vAlign w:val="center"/>
          </w:tcPr>
          <w:p w14:paraId="45E404D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31F47C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，系数为0.5；3.5000万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2EBFC7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74B7906D">
            <w:pPr>
              <w:widowControl/>
              <w:jc w:val="left"/>
              <w:rPr>
                <w:rFonts w:hint="eastAsia" w:ascii="宋体" w:hAnsi="宋体" w:eastAsia="宋体" w:cs="宋体"/>
                <w:color w:val="auto"/>
                <w:kern w:val="0"/>
                <w:sz w:val="15"/>
                <w:szCs w:val="15"/>
                <w:highlight w:val="none"/>
              </w:rPr>
            </w:pPr>
          </w:p>
        </w:tc>
        <w:tc>
          <w:tcPr>
            <w:tcW w:w="1304" w:type="dxa"/>
            <w:gridSpan w:val="2"/>
            <w:tcBorders>
              <w:top w:val="nil"/>
              <w:left w:val="nil"/>
              <w:bottom w:val="single" w:color="auto" w:sz="4" w:space="0"/>
              <w:right w:val="single" w:color="auto" w:sz="4" w:space="0"/>
            </w:tcBorders>
            <w:noWrap w:val="0"/>
            <w:vAlign w:val="center"/>
          </w:tcPr>
          <w:p w14:paraId="16E10DD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609BA2C">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C2352600</w:t>
            </w:r>
          </w:p>
        </w:tc>
      </w:tr>
      <w:tr w14:paraId="64BED4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16096E4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624" w:type="dxa"/>
            <w:tcBorders>
              <w:top w:val="nil"/>
              <w:left w:val="nil"/>
              <w:bottom w:val="single" w:color="auto" w:sz="4" w:space="0"/>
              <w:right w:val="single" w:color="auto" w:sz="4" w:space="0"/>
            </w:tcBorders>
            <w:noWrap w:val="0"/>
            <w:vAlign w:val="center"/>
          </w:tcPr>
          <w:p w14:paraId="66DA4F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水利工程建设单位未对施工图设计文件进行审查或者审查不合格，擅自施工</w:t>
            </w:r>
          </w:p>
        </w:tc>
        <w:tc>
          <w:tcPr>
            <w:tcW w:w="2981" w:type="dxa"/>
            <w:tcBorders>
              <w:top w:val="nil"/>
              <w:left w:val="nil"/>
              <w:bottom w:val="single" w:color="auto" w:sz="4" w:space="0"/>
              <w:right w:val="single" w:color="auto" w:sz="4" w:space="0"/>
            </w:tcBorders>
            <w:noWrap w:val="0"/>
            <w:vAlign w:val="center"/>
          </w:tcPr>
          <w:p w14:paraId="5DF367C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违反条款：《条例》第十一条第二款；《规定》第十五条第一款；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处罚条款：《条例》第五十六条第（四）项，责令改正，处20万元以上50万元以下的罚款；《规定》第六十条第（四）项，责令改正，处20万元以上50万元以下的罚款。</w:t>
            </w:r>
          </w:p>
        </w:tc>
        <w:tc>
          <w:tcPr>
            <w:tcW w:w="851" w:type="dxa"/>
            <w:tcBorders>
              <w:top w:val="nil"/>
              <w:left w:val="nil"/>
              <w:bottom w:val="single" w:color="auto" w:sz="4" w:space="0"/>
              <w:right w:val="single" w:color="auto" w:sz="4" w:space="0"/>
            </w:tcBorders>
            <w:noWrap w:val="0"/>
            <w:vAlign w:val="center"/>
          </w:tcPr>
          <w:p w14:paraId="043A64E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16F51D7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568610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FC04E9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14:paraId="0252757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2099B1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1007CA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C2359600</w:t>
            </w:r>
          </w:p>
        </w:tc>
      </w:tr>
      <w:tr w14:paraId="2B322F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7188B73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624" w:type="dxa"/>
            <w:tcBorders>
              <w:top w:val="nil"/>
              <w:left w:val="nil"/>
              <w:bottom w:val="single" w:color="auto" w:sz="4" w:space="0"/>
              <w:right w:val="single" w:color="auto" w:sz="4" w:space="0"/>
            </w:tcBorders>
            <w:noWrap w:val="0"/>
            <w:vAlign w:val="center"/>
          </w:tcPr>
          <w:p w14:paraId="02C421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工程勘察企业未按照工程建设强制性标准进行勘察</w:t>
            </w:r>
          </w:p>
        </w:tc>
        <w:tc>
          <w:tcPr>
            <w:tcW w:w="2981" w:type="dxa"/>
            <w:tcBorders>
              <w:top w:val="nil"/>
              <w:left w:val="nil"/>
              <w:bottom w:val="single" w:color="auto" w:sz="4" w:space="0"/>
              <w:right w:val="single" w:color="auto" w:sz="4" w:space="0"/>
            </w:tcBorders>
            <w:noWrap w:val="0"/>
            <w:vAlign w:val="center"/>
          </w:tcPr>
          <w:p w14:paraId="52DD3D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违反条款：《条例》第十九条第一款；《规定》第二十二条；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处罚条款：《条例》第六十三条第一款第（一）项，责令改正，处10万元以上30万元以下的罚款；《规定》第六十六条第一款第（一）项，责令改正，处10万元以上30万元以下的罚款。</w:t>
            </w:r>
          </w:p>
        </w:tc>
        <w:tc>
          <w:tcPr>
            <w:tcW w:w="851" w:type="dxa"/>
            <w:tcBorders>
              <w:top w:val="nil"/>
              <w:left w:val="nil"/>
              <w:bottom w:val="single" w:color="auto" w:sz="4" w:space="0"/>
              <w:right w:val="single" w:color="auto" w:sz="4" w:space="0"/>
            </w:tcBorders>
            <w:noWrap w:val="0"/>
            <w:vAlign w:val="center"/>
          </w:tcPr>
          <w:p w14:paraId="2240797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7A92235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4E65F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标准与强制性标准存在偏差1处，系数为0；每增加1处，系数加0.4；偏差≥6处，系数为2；2.存在重大质量问题或造成生产安全事故，系数为2。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B5926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443535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025A4B9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B41A6C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C2328800</w:t>
            </w:r>
          </w:p>
        </w:tc>
      </w:tr>
      <w:tr w14:paraId="62E695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ign w:val="center"/>
          </w:tcPr>
          <w:p w14:paraId="0F2A5084">
            <w:pPr>
              <w:widowControl/>
              <w:jc w:val="center"/>
              <w:outlineLvl w:val="1"/>
              <w:rPr>
                <w:rFonts w:hint="eastAsia" w:ascii="宋体" w:hAnsi="宋体" w:eastAsia="宋体" w:cs="宋体"/>
                <w:color w:val="auto"/>
                <w:kern w:val="0"/>
                <w:szCs w:val="21"/>
                <w:highlight w:val="none"/>
              </w:rPr>
            </w:pPr>
            <w:bookmarkStart w:id="345" w:name="_Toc218468897"/>
            <w:bookmarkStart w:id="346" w:name="_Toc565743131"/>
            <w:r>
              <w:rPr>
                <w:rFonts w:hint="eastAsia" w:ascii="宋体" w:hAnsi="宋体" w:eastAsia="宋体" w:cs="宋体"/>
                <w:b/>
                <w:bCs/>
                <w:color w:val="auto"/>
                <w:kern w:val="0"/>
                <w:szCs w:val="21"/>
                <w:highlight w:val="none"/>
              </w:rPr>
              <w:t>《水利工程质量管理规定》案由1项</w:t>
            </w:r>
            <w:bookmarkEnd w:id="345"/>
            <w:bookmarkEnd w:id="346"/>
          </w:p>
        </w:tc>
        <w:tc>
          <w:tcPr>
            <w:tcW w:w="3173" w:type="dxa"/>
            <w:gridSpan w:val="3"/>
            <w:tcBorders>
              <w:top w:val="nil"/>
              <w:left w:val="single" w:color="auto" w:sz="4" w:space="0"/>
              <w:bottom w:val="single" w:color="auto" w:sz="4" w:space="0"/>
              <w:right w:val="single" w:color="auto" w:sz="4" w:space="0"/>
            </w:tcBorders>
            <w:noWrap/>
            <w:vAlign w:val="center"/>
          </w:tcPr>
          <w:p w14:paraId="18B1345D">
            <w:pPr>
              <w:widowControl/>
              <w:jc w:val="center"/>
              <w:outlineLvl w:val="1"/>
              <w:rPr>
                <w:rFonts w:hint="eastAsia" w:ascii="宋体" w:hAnsi="宋体" w:eastAsia="宋体" w:cs="宋体"/>
                <w:b/>
                <w:bCs/>
                <w:color w:val="auto"/>
                <w:kern w:val="0"/>
                <w:szCs w:val="21"/>
                <w:highlight w:val="none"/>
              </w:rPr>
            </w:pPr>
          </w:p>
        </w:tc>
      </w:tr>
      <w:tr w14:paraId="05061E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27145E0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1FFD23D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水利工程质量检测单位伪造检测数据，出具虚假质量检测报告</w:t>
            </w:r>
          </w:p>
        </w:tc>
        <w:tc>
          <w:tcPr>
            <w:tcW w:w="2981" w:type="dxa"/>
            <w:tcBorders>
              <w:top w:val="nil"/>
              <w:left w:val="nil"/>
              <w:bottom w:val="single" w:color="auto" w:sz="4" w:space="0"/>
              <w:right w:val="single" w:color="auto" w:sz="4" w:space="0"/>
            </w:tcBorders>
            <w:noWrap w:val="0"/>
            <w:vAlign w:val="center"/>
          </w:tcPr>
          <w:p w14:paraId="27B6AA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处罚条款：第七十二条，责令改正，给予警告或者通报批评，处10万元以下罚款。</w:t>
            </w:r>
          </w:p>
        </w:tc>
        <w:tc>
          <w:tcPr>
            <w:tcW w:w="851" w:type="dxa"/>
            <w:tcBorders>
              <w:top w:val="nil"/>
              <w:left w:val="nil"/>
              <w:bottom w:val="single" w:color="auto" w:sz="4" w:space="0"/>
              <w:right w:val="single" w:color="auto" w:sz="4" w:space="0"/>
            </w:tcBorders>
            <w:noWrap w:val="0"/>
            <w:vAlign w:val="center"/>
          </w:tcPr>
          <w:p w14:paraId="3D0FA7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5B97887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8A917E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或通报批评，处以下罚款：1.伪造检测数据，出具虚假质量检测报告1份，系数为0；每增加1份，系数加1；报告≥10份，系数为9；2.存在重大质量问题或造成生产安全事故，系数为9。3.存在基准2.1.3规定情形的，系数按照相关规定确定（基准2.1.3.5不适用）。</w:t>
            </w:r>
          </w:p>
        </w:tc>
        <w:tc>
          <w:tcPr>
            <w:tcW w:w="825" w:type="dxa"/>
            <w:gridSpan w:val="2"/>
            <w:tcBorders>
              <w:top w:val="nil"/>
              <w:left w:val="nil"/>
              <w:bottom w:val="single" w:color="auto" w:sz="4" w:space="0"/>
              <w:right w:val="single" w:color="auto" w:sz="4" w:space="0"/>
            </w:tcBorders>
            <w:noWrap w:val="0"/>
            <w:vAlign w:val="center"/>
          </w:tcPr>
          <w:p w14:paraId="490595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049778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需要作出除30000以外罚款决定的，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5FE6AF1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5A7C15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C2322600</w:t>
            </w:r>
          </w:p>
        </w:tc>
      </w:tr>
      <w:tr w14:paraId="27157B7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14:paraId="161F03C7">
            <w:pPr>
              <w:widowControl/>
              <w:jc w:val="center"/>
              <w:outlineLvl w:val="1"/>
              <w:rPr>
                <w:rFonts w:hint="eastAsia" w:ascii="宋体" w:hAnsi="宋体" w:eastAsia="宋体" w:cs="宋体"/>
                <w:color w:val="auto"/>
                <w:kern w:val="0"/>
                <w:szCs w:val="21"/>
                <w:highlight w:val="none"/>
              </w:rPr>
            </w:pPr>
            <w:bookmarkStart w:id="347" w:name="_Toc517666752"/>
            <w:bookmarkStart w:id="348" w:name="_Toc218468898"/>
            <w:r>
              <w:rPr>
                <w:rFonts w:hint="eastAsia" w:ascii="宋体" w:hAnsi="宋体" w:eastAsia="宋体" w:cs="宋体"/>
                <w:b/>
                <w:bCs/>
                <w:color w:val="auto"/>
                <w:kern w:val="0"/>
                <w:szCs w:val="21"/>
                <w:highlight w:val="none"/>
              </w:rPr>
              <w:t>《水利工程质量检测管理规定》案由11项</w:t>
            </w:r>
            <w:bookmarkEnd w:id="347"/>
            <w:bookmarkEnd w:id="348"/>
          </w:p>
        </w:tc>
        <w:tc>
          <w:tcPr>
            <w:tcW w:w="3173" w:type="dxa"/>
            <w:gridSpan w:val="3"/>
            <w:tcBorders>
              <w:top w:val="nil"/>
              <w:left w:val="single" w:color="auto" w:sz="4" w:space="0"/>
              <w:bottom w:val="single" w:color="auto" w:sz="4" w:space="0"/>
              <w:right w:val="single" w:color="auto" w:sz="4" w:space="0"/>
            </w:tcBorders>
            <w:noWrap/>
            <w:vAlign w:val="center"/>
          </w:tcPr>
          <w:p w14:paraId="2079C27F">
            <w:pPr>
              <w:widowControl/>
              <w:jc w:val="center"/>
              <w:outlineLvl w:val="1"/>
              <w:rPr>
                <w:rFonts w:hint="eastAsia" w:ascii="宋体" w:hAnsi="宋体" w:eastAsia="宋体" w:cs="宋体"/>
                <w:b/>
                <w:bCs/>
                <w:color w:val="auto"/>
                <w:kern w:val="0"/>
                <w:szCs w:val="21"/>
                <w:highlight w:val="none"/>
              </w:rPr>
            </w:pPr>
          </w:p>
        </w:tc>
      </w:tr>
      <w:tr w14:paraId="61B666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29F6EF6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5BA730B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水利工程质量检测单位使用不符合条件的检测人员</w:t>
            </w:r>
          </w:p>
        </w:tc>
        <w:tc>
          <w:tcPr>
            <w:tcW w:w="2981" w:type="dxa"/>
            <w:tcBorders>
              <w:top w:val="nil"/>
              <w:left w:val="nil"/>
              <w:bottom w:val="single" w:color="auto" w:sz="4" w:space="0"/>
              <w:right w:val="single" w:color="auto" w:sz="4" w:space="0"/>
            </w:tcBorders>
            <w:noWrap w:val="0"/>
            <w:vAlign w:val="center"/>
          </w:tcPr>
          <w:p w14:paraId="43E442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处罚条款：第二十七条第（三）项，责令改正，有违法所得的，没收违法所得，可并处1万元以上3万元以下的罚款。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14:paraId="60B40A6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043732F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DA499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使用不符合条件的检测人员1人，系数为0；2.使用不符合条件的检测人员2人，系数为1；3.使用不符合条件的检测人员3人及以上或存在重大质量问题或造成生产安全事故，系数为2。4.存在基准2.1.3规定情形的，系数按照相关规定确定（基准2.1.3.5不适用）。</w:t>
            </w:r>
          </w:p>
        </w:tc>
        <w:tc>
          <w:tcPr>
            <w:tcW w:w="825" w:type="dxa"/>
            <w:gridSpan w:val="2"/>
            <w:tcBorders>
              <w:top w:val="nil"/>
              <w:left w:val="nil"/>
              <w:bottom w:val="single" w:color="auto" w:sz="4" w:space="0"/>
              <w:right w:val="single" w:color="auto" w:sz="4" w:space="0"/>
            </w:tcBorders>
            <w:noWrap w:val="0"/>
            <w:vAlign w:val="center"/>
          </w:tcPr>
          <w:p w14:paraId="5E43316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144CC1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CCBA9D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795083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C2322000</w:t>
            </w:r>
          </w:p>
        </w:tc>
      </w:tr>
      <w:tr w14:paraId="5A10E2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0DA7727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6EBEB22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水利工程质量检测单位未按规定上报发现的违法违规行为和检测不合格事项</w:t>
            </w:r>
          </w:p>
        </w:tc>
        <w:tc>
          <w:tcPr>
            <w:tcW w:w="2981" w:type="dxa"/>
            <w:tcBorders>
              <w:top w:val="nil"/>
              <w:left w:val="nil"/>
              <w:bottom w:val="single" w:color="auto" w:sz="4" w:space="0"/>
              <w:right w:val="single" w:color="auto" w:sz="4" w:space="0"/>
            </w:tcBorders>
            <w:noWrap w:val="0"/>
            <w:vAlign w:val="center"/>
          </w:tcPr>
          <w:p w14:paraId="22CAE1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处罚条款：第二十七条第（四）项，责令改正，有违法所得的，没收违法所得，可并处1万元以上3万元以下的罚款。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14:paraId="539E959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72A688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863BD7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规定上报发现的违法违规行为和检测不合格事项1处（项），系数为0；2.未按规定上报发现的违法违规行为和检测不合格事项2处（项），系数为1；3.未按规定上报发现的违法违规行为和检测不合格事项3处（项）及以上或存在重大质量问题或造成生产安全事故，系数为2。4.存在基准2.1.3规定情形的，系数按照相关规定确定（基准2.1.3.5不适用）。</w:t>
            </w:r>
          </w:p>
        </w:tc>
        <w:tc>
          <w:tcPr>
            <w:tcW w:w="825" w:type="dxa"/>
            <w:gridSpan w:val="2"/>
            <w:tcBorders>
              <w:top w:val="nil"/>
              <w:left w:val="nil"/>
              <w:bottom w:val="single" w:color="auto" w:sz="4" w:space="0"/>
              <w:right w:val="single" w:color="auto" w:sz="4" w:space="0"/>
            </w:tcBorders>
            <w:noWrap w:val="0"/>
            <w:vAlign w:val="center"/>
          </w:tcPr>
          <w:p w14:paraId="28FAF0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28BD4F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393C46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B6F19E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C2322100</w:t>
            </w:r>
          </w:p>
        </w:tc>
      </w:tr>
      <w:tr w14:paraId="5633911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5D48EE7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635920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水利工程质量检测单位未按规定在质量检测报告上签字盖章</w:t>
            </w:r>
          </w:p>
        </w:tc>
        <w:tc>
          <w:tcPr>
            <w:tcW w:w="2981" w:type="dxa"/>
            <w:tcBorders>
              <w:top w:val="nil"/>
              <w:left w:val="nil"/>
              <w:bottom w:val="single" w:color="auto" w:sz="4" w:space="0"/>
              <w:right w:val="single" w:color="auto" w:sz="4" w:space="0"/>
            </w:tcBorders>
            <w:noWrap w:val="0"/>
            <w:vAlign w:val="center"/>
          </w:tcPr>
          <w:p w14:paraId="725E1B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处罚条款：第二十七条第（五）项，责令改正，有违法所得的，没收违法所得，可并处1万元以上3万元以下的罚款。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14:paraId="1EFF9B5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710BDCD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7EAB5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规定签字盖章的质量检测报告1份，系数为0；2.未按规定签字盖章的质量检测报告2份，系数为1；3.未按规定签字盖章的质量检测报告3份及以上或存在重大质量问题或造成生产安全事故，系数为2。4.存在基准2.1.3规定情形的，系数按照相关规定确定（基准2.1.3.5不适用）。</w:t>
            </w:r>
          </w:p>
        </w:tc>
        <w:tc>
          <w:tcPr>
            <w:tcW w:w="825" w:type="dxa"/>
            <w:gridSpan w:val="2"/>
            <w:tcBorders>
              <w:top w:val="nil"/>
              <w:left w:val="nil"/>
              <w:bottom w:val="single" w:color="auto" w:sz="4" w:space="0"/>
              <w:right w:val="single" w:color="auto" w:sz="4" w:space="0"/>
            </w:tcBorders>
            <w:noWrap w:val="0"/>
            <w:vAlign w:val="center"/>
          </w:tcPr>
          <w:p w14:paraId="02C2E4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79C35F2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85894E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F6142A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C2322200</w:t>
            </w:r>
          </w:p>
        </w:tc>
      </w:tr>
      <w:tr w14:paraId="174E64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71F832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302F94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水利工程质量检测单位未按照国家和行业标准进行检测</w:t>
            </w:r>
          </w:p>
        </w:tc>
        <w:tc>
          <w:tcPr>
            <w:tcW w:w="2981" w:type="dxa"/>
            <w:tcBorders>
              <w:top w:val="nil"/>
              <w:left w:val="nil"/>
              <w:bottom w:val="single" w:color="auto" w:sz="4" w:space="0"/>
              <w:right w:val="single" w:color="auto" w:sz="4" w:space="0"/>
            </w:tcBorders>
            <w:noWrap w:val="0"/>
            <w:vAlign w:val="center"/>
          </w:tcPr>
          <w:p w14:paraId="06C80F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处罚条款：第二十七条第（六）项，责令改正，有违法所得的，没收违法所得，可并处1万元以上3万元以下的罚款。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14:paraId="6322217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1765E76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C672A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照国家和行业标准进行检测1次，系数为0；2.未按照国家和行业标准进行检测2次，系数为1；3.未按照国家和行业标准进行检测3次及以上或存在重大质量问题或造成生产安全事故，系数为2。4.存在基准2.1.3规定情形的，系数按照相关规定确定（基准2.1.3.5不适用）。</w:t>
            </w:r>
          </w:p>
        </w:tc>
        <w:tc>
          <w:tcPr>
            <w:tcW w:w="825" w:type="dxa"/>
            <w:gridSpan w:val="2"/>
            <w:tcBorders>
              <w:top w:val="nil"/>
              <w:left w:val="nil"/>
              <w:bottom w:val="single" w:color="auto" w:sz="4" w:space="0"/>
              <w:right w:val="single" w:color="auto" w:sz="4" w:space="0"/>
            </w:tcBorders>
            <w:noWrap w:val="0"/>
            <w:vAlign w:val="center"/>
          </w:tcPr>
          <w:p w14:paraId="208CD8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5B509D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F89F67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5A4BAA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C2322300</w:t>
            </w:r>
          </w:p>
        </w:tc>
      </w:tr>
      <w:tr w14:paraId="546165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6B97BF8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14:paraId="5BFD75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水利工程质量检测单位档案资料管理混乱，造成检测数据无法追溯</w:t>
            </w:r>
          </w:p>
        </w:tc>
        <w:tc>
          <w:tcPr>
            <w:tcW w:w="2981" w:type="dxa"/>
            <w:tcBorders>
              <w:top w:val="nil"/>
              <w:left w:val="nil"/>
              <w:bottom w:val="single" w:color="auto" w:sz="4" w:space="0"/>
              <w:right w:val="single" w:color="auto" w:sz="4" w:space="0"/>
            </w:tcBorders>
            <w:noWrap w:val="0"/>
            <w:vAlign w:val="center"/>
          </w:tcPr>
          <w:p w14:paraId="6C2BA1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处罚条款：第二十七条第（七）项，责令改正，有违法所得的，没收违法所得，可并处1万元以上3万元以下的罚款。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14:paraId="7BB678E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0EE5593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6215A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档案资料管理混乱造成检测数据无法追溯1处，系数为0；2.档案资料管理混乱造成检测数据无法追溯2处，系数为1；3.档案资料管理混乱造成检测数据无法追溯3处及以上或存在重大质量问题或造成生产安全事故，系数为2。4.存在基准2.1.3规定情形的，系数按照相关规定确定（基准2.1.3.5不适用）。</w:t>
            </w:r>
          </w:p>
        </w:tc>
        <w:tc>
          <w:tcPr>
            <w:tcW w:w="825" w:type="dxa"/>
            <w:gridSpan w:val="2"/>
            <w:tcBorders>
              <w:top w:val="nil"/>
              <w:left w:val="nil"/>
              <w:bottom w:val="single" w:color="auto" w:sz="4" w:space="0"/>
              <w:right w:val="single" w:color="auto" w:sz="4" w:space="0"/>
            </w:tcBorders>
            <w:noWrap w:val="0"/>
            <w:vAlign w:val="center"/>
          </w:tcPr>
          <w:p w14:paraId="1A44D8E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44EBE7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3FA94B3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948838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C2322400</w:t>
            </w:r>
          </w:p>
        </w:tc>
      </w:tr>
      <w:tr w14:paraId="61E294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5CDA45C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14:paraId="55846A6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水利工程质量检测单位转包、违规分包检测业务</w:t>
            </w:r>
          </w:p>
        </w:tc>
        <w:tc>
          <w:tcPr>
            <w:tcW w:w="2981" w:type="dxa"/>
            <w:tcBorders>
              <w:top w:val="nil"/>
              <w:left w:val="nil"/>
              <w:bottom w:val="single" w:color="auto" w:sz="4" w:space="0"/>
              <w:right w:val="single" w:color="auto" w:sz="4" w:space="0"/>
            </w:tcBorders>
            <w:noWrap w:val="0"/>
            <w:vAlign w:val="center"/>
          </w:tcPr>
          <w:p w14:paraId="43EF91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处罚条款：第二十七条第（八）项，责令改正，有违法所得的，没收违法所得，可并处1万元以上3万元以下的罚款。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14:paraId="22C5F0D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47AE27D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0C30C6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转包、分包金额＜50万元，系数为0；2.50万元≤转包、分包金额＜100万元，系数为1；3.100万元≤转包、分包金额或存在重大质量问题或造成生产安全事故，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F4C95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78C0F2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563960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CBD1EE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C2322500</w:t>
            </w:r>
          </w:p>
        </w:tc>
      </w:tr>
      <w:tr w14:paraId="4C61E9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00E36C3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14:paraId="6FE5F5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委托未取得相应资质的单位进行水利工程质量检测</w:t>
            </w:r>
          </w:p>
        </w:tc>
        <w:tc>
          <w:tcPr>
            <w:tcW w:w="2981" w:type="dxa"/>
            <w:tcBorders>
              <w:top w:val="nil"/>
              <w:left w:val="nil"/>
              <w:bottom w:val="single" w:color="auto" w:sz="4" w:space="0"/>
              <w:right w:val="single" w:color="auto" w:sz="4" w:space="0"/>
            </w:tcBorders>
            <w:noWrap w:val="0"/>
            <w:vAlign w:val="center"/>
          </w:tcPr>
          <w:p w14:paraId="784AB4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处罚条款：第二十九条第（一）项，责令改正，可并处1万元以上3万元以下的罚款。</w:t>
            </w:r>
          </w:p>
        </w:tc>
        <w:tc>
          <w:tcPr>
            <w:tcW w:w="851" w:type="dxa"/>
            <w:tcBorders>
              <w:top w:val="nil"/>
              <w:left w:val="nil"/>
              <w:bottom w:val="single" w:color="auto" w:sz="4" w:space="0"/>
              <w:right w:val="single" w:color="auto" w:sz="4" w:space="0"/>
            </w:tcBorders>
            <w:noWrap w:val="0"/>
            <w:vAlign w:val="center"/>
          </w:tcPr>
          <w:p w14:paraId="48776CD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126ABB3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2AC5D7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或存在重大质量问题或造成生产安全事故，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C9186E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236F1A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118F07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8BAEA7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C2322700</w:t>
            </w:r>
          </w:p>
        </w:tc>
      </w:tr>
      <w:tr w14:paraId="1EAE1A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76B7C31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14:paraId="54FB00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明示或暗示检测单位出具虚假检测报告，篡改或伪造水利工程质量检测报告</w:t>
            </w:r>
          </w:p>
        </w:tc>
        <w:tc>
          <w:tcPr>
            <w:tcW w:w="2981" w:type="dxa"/>
            <w:tcBorders>
              <w:top w:val="nil"/>
              <w:left w:val="nil"/>
              <w:bottom w:val="single" w:color="auto" w:sz="4" w:space="0"/>
              <w:right w:val="single" w:color="auto" w:sz="4" w:space="0"/>
            </w:tcBorders>
            <w:noWrap w:val="0"/>
            <w:vAlign w:val="center"/>
          </w:tcPr>
          <w:p w14:paraId="65B2B40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处罚条款：第二十九条第（二）项，责令改正，可并处1万元以上3万元以下的罚款。</w:t>
            </w:r>
          </w:p>
        </w:tc>
        <w:tc>
          <w:tcPr>
            <w:tcW w:w="851" w:type="dxa"/>
            <w:tcBorders>
              <w:top w:val="nil"/>
              <w:left w:val="nil"/>
              <w:bottom w:val="single" w:color="auto" w:sz="4" w:space="0"/>
              <w:right w:val="single" w:color="auto" w:sz="4" w:space="0"/>
            </w:tcBorders>
            <w:noWrap w:val="0"/>
            <w:vAlign w:val="center"/>
          </w:tcPr>
          <w:p w14:paraId="003FB4F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225D12E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514654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明示或暗示检测单位出具虚假检测报告，篡改或伪造检测报告1份，系数为0；2.明示或暗示检测单位出具虚假检测报告，篡改或伪造检测报告2份，系数为1；3.明示或暗示检测单位出具虚假检测报告，篡改或伪造检测报告3份及以上或存在重大质量问题或造成生产安全事故，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3FB93B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598898C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0B0DD3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C187926">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C2322800</w:t>
            </w:r>
          </w:p>
        </w:tc>
      </w:tr>
      <w:tr w14:paraId="144D09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3FB884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14:paraId="37D816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送检的水利工程质量检测试样弄虚作假</w:t>
            </w:r>
          </w:p>
        </w:tc>
        <w:tc>
          <w:tcPr>
            <w:tcW w:w="2981" w:type="dxa"/>
            <w:tcBorders>
              <w:top w:val="nil"/>
              <w:left w:val="nil"/>
              <w:bottom w:val="single" w:color="auto" w:sz="4" w:space="0"/>
              <w:right w:val="single" w:color="auto" w:sz="4" w:space="0"/>
            </w:tcBorders>
            <w:noWrap w:val="0"/>
            <w:vAlign w:val="center"/>
          </w:tcPr>
          <w:p w14:paraId="2FEAB6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处罚条款：第二十九条第（三）项，责令改正，可并处1万元以上3万元以下的罚款。</w:t>
            </w:r>
          </w:p>
        </w:tc>
        <w:tc>
          <w:tcPr>
            <w:tcW w:w="851" w:type="dxa"/>
            <w:tcBorders>
              <w:top w:val="nil"/>
              <w:left w:val="nil"/>
              <w:bottom w:val="single" w:color="auto" w:sz="4" w:space="0"/>
              <w:right w:val="single" w:color="auto" w:sz="4" w:space="0"/>
            </w:tcBorders>
            <w:noWrap w:val="0"/>
            <w:vAlign w:val="center"/>
          </w:tcPr>
          <w:p w14:paraId="3346A78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59FF751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423AE2E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的送检试样样本1个，系数为0；2.弄虚作假的送检试样样本2个，系数为1；3.弄虚作假的送检试样样本3个及以上或存在重大质量问题或造成生产安全事故，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36FECD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15BBDC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1584E1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F094A7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C2322900</w:t>
            </w:r>
          </w:p>
        </w:tc>
      </w:tr>
      <w:tr w14:paraId="4FAD1E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7A473AE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14:paraId="43E8E07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检测人员从事质量检测活动中弄虚作假、伪造数据</w:t>
            </w:r>
          </w:p>
        </w:tc>
        <w:tc>
          <w:tcPr>
            <w:tcW w:w="2981" w:type="dxa"/>
            <w:tcBorders>
              <w:top w:val="nil"/>
              <w:left w:val="nil"/>
              <w:bottom w:val="single" w:color="auto" w:sz="4" w:space="0"/>
              <w:right w:val="single" w:color="auto" w:sz="4" w:space="0"/>
            </w:tcBorders>
            <w:noWrap w:val="0"/>
            <w:vAlign w:val="center"/>
          </w:tcPr>
          <w:p w14:paraId="2FA306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处罚条款：第三十条第（二）项，责令改正，给予警告，可并处1千元以下罚款。</w:t>
            </w:r>
          </w:p>
        </w:tc>
        <w:tc>
          <w:tcPr>
            <w:tcW w:w="851" w:type="dxa"/>
            <w:tcBorders>
              <w:top w:val="nil"/>
              <w:left w:val="nil"/>
              <w:bottom w:val="single" w:color="auto" w:sz="4" w:space="0"/>
              <w:right w:val="single" w:color="auto" w:sz="4" w:space="0"/>
            </w:tcBorders>
            <w:noWrap w:val="0"/>
            <w:vAlign w:val="center"/>
          </w:tcPr>
          <w:p w14:paraId="2BD0D1F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tcBorders>
              <w:top w:val="nil"/>
              <w:left w:val="nil"/>
              <w:bottom w:val="single" w:color="auto" w:sz="4" w:space="0"/>
              <w:right w:val="single" w:color="auto" w:sz="4" w:space="0"/>
            </w:tcBorders>
            <w:noWrap/>
            <w:vAlign w:val="center"/>
          </w:tcPr>
          <w:p w14:paraId="0838255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28E4A9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弄虚作假、伪造数据1处，系数为0；2.弄虚作假、伪造数据2处，系数为0.5；3.弄虚作假、伪造数据3处及以上或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F021E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14:paraId="3B654E6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3FB6164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D6ACA0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C2323100</w:t>
            </w:r>
          </w:p>
        </w:tc>
      </w:tr>
      <w:tr w14:paraId="72B983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5E1E266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4" w:type="dxa"/>
            <w:tcBorders>
              <w:top w:val="nil"/>
              <w:left w:val="nil"/>
              <w:bottom w:val="single" w:color="auto" w:sz="4" w:space="0"/>
              <w:right w:val="single" w:color="auto" w:sz="4" w:space="0"/>
            </w:tcBorders>
            <w:noWrap w:val="0"/>
            <w:vAlign w:val="center"/>
          </w:tcPr>
          <w:p w14:paraId="11ACBB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水利工程质量检测人员从事检测活动中不如实记录，随意取舍数据，弄虚作假，伪造数据的，未执行法律、法规和强制性条文</w:t>
            </w:r>
          </w:p>
        </w:tc>
        <w:tc>
          <w:tcPr>
            <w:tcW w:w="2981" w:type="dxa"/>
            <w:tcBorders>
              <w:top w:val="nil"/>
              <w:left w:val="nil"/>
              <w:bottom w:val="single" w:color="auto" w:sz="4" w:space="0"/>
              <w:right w:val="single" w:color="auto" w:sz="4" w:space="0"/>
            </w:tcBorders>
            <w:noWrap w:val="0"/>
            <w:vAlign w:val="center"/>
          </w:tcPr>
          <w:p w14:paraId="5BBB2B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处罚条款：第三十条第（一）项，责令改正，给予警告，可并处1千元以下罚款。</w:t>
            </w:r>
          </w:p>
        </w:tc>
        <w:tc>
          <w:tcPr>
            <w:tcW w:w="851" w:type="dxa"/>
            <w:tcBorders>
              <w:top w:val="nil"/>
              <w:left w:val="nil"/>
              <w:bottom w:val="single" w:color="auto" w:sz="4" w:space="0"/>
              <w:right w:val="single" w:color="auto" w:sz="4" w:space="0"/>
            </w:tcBorders>
            <w:noWrap w:val="0"/>
            <w:vAlign w:val="center"/>
          </w:tcPr>
          <w:p w14:paraId="72F329C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tcBorders>
              <w:top w:val="nil"/>
              <w:left w:val="nil"/>
              <w:bottom w:val="single" w:color="auto" w:sz="4" w:space="0"/>
              <w:right w:val="single" w:color="auto" w:sz="4" w:space="0"/>
            </w:tcBorders>
            <w:noWrap/>
            <w:vAlign w:val="center"/>
          </w:tcPr>
          <w:p w14:paraId="4CBF85A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25642E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给予警告，并处以下罚款：1.存在1种行为，系数为0；2.存在2种及以上行为，系数为1。3.存在基准2.1.3规定情形的，系数按照相关规定确定（基准2.1.3.5不适用）。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72F1E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14:paraId="14C8AEE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69D78F7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3E3AD0C">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C2353300</w:t>
            </w:r>
          </w:p>
        </w:tc>
      </w:tr>
      <w:tr w14:paraId="0E38BE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14:paraId="2DEC0108">
            <w:pPr>
              <w:widowControl/>
              <w:jc w:val="center"/>
              <w:outlineLvl w:val="1"/>
              <w:rPr>
                <w:rFonts w:hint="eastAsia" w:ascii="宋体" w:hAnsi="宋体" w:eastAsia="宋体" w:cs="宋体"/>
                <w:color w:val="auto"/>
                <w:kern w:val="0"/>
                <w:szCs w:val="21"/>
                <w:highlight w:val="none"/>
              </w:rPr>
            </w:pPr>
            <w:bookmarkStart w:id="349" w:name="_Toc1566018748"/>
            <w:bookmarkStart w:id="350" w:name="_Toc218468899"/>
            <w:r>
              <w:rPr>
                <w:rFonts w:hint="eastAsia" w:ascii="宋体" w:hAnsi="宋体" w:eastAsia="宋体" w:cs="宋体"/>
                <w:b/>
                <w:bCs/>
                <w:color w:val="auto"/>
                <w:kern w:val="0"/>
                <w:szCs w:val="21"/>
                <w:highlight w:val="none"/>
              </w:rPr>
              <w:t>《水利工程建设监理规定》案由</w:t>
            </w:r>
            <w:r>
              <w:rPr>
                <w:rFonts w:hint="eastAsia" w:ascii="宋体" w:hAnsi="宋体" w:eastAsia="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rPr>
              <w:t>项</w:t>
            </w:r>
            <w:bookmarkEnd w:id="349"/>
            <w:bookmarkEnd w:id="350"/>
          </w:p>
        </w:tc>
        <w:tc>
          <w:tcPr>
            <w:tcW w:w="3173" w:type="dxa"/>
            <w:gridSpan w:val="3"/>
            <w:tcBorders>
              <w:top w:val="nil"/>
              <w:left w:val="single" w:color="auto" w:sz="4" w:space="0"/>
              <w:bottom w:val="single" w:color="auto" w:sz="4" w:space="0"/>
              <w:right w:val="single" w:color="auto" w:sz="4" w:space="0"/>
            </w:tcBorders>
            <w:noWrap/>
            <w:vAlign w:val="center"/>
          </w:tcPr>
          <w:p w14:paraId="4DE9F849">
            <w:pPr>
              <w:widowControl/>
              <w:jc w:val="center"/>
              <w:outlineLvl w:val="1"/>
              <w:rPr>
                <w:rFonts w:hint="eastAsia" w:ascii="宋体" w:hAnsi="宋体" w:eastAsia="宋体" w:cs="宋体"/>
                <w:b/>
                <w:bCs/>
                <w:color w:val="auto"/>
                <w:kern w:val="0"/>
                <w:szCs w:val="21"/>
                <w:highlight w:val="none"/>
              </w:rPr>
            </w:pPr>
          </w:p>
        </w:tc>
      </w:tr>
      <w:tr w14:paraId="706BFF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363" w:hRule="atLeast"/>
        </w:trPr>
        <w:tc>
          <w:tcPr>
            <w:tcW w:w="716" w:type="dxa"/>
            <w:gridSpan w:val="2"/>
            <w:tcBorders>
              <w:top w:val="nil"/>
              <w:left w:val="single" w:color="auto" w:sz="4" w:space="0"/>
              <w:bottom w:val="single" w:color="auto" w:sz="4" w:space="0"/>
              <w:right w:val="single" w:color="auto" w:sz="4" w:space="0"/>
            </w:tcBorders>
            <w:noWrap/>
            <w:vAlign w:val="center"/>
          </w:tcPr>
          <w:p w14:paraId="177D3852">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21E0C461">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水利工程项目法人及其工作人员</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w:t>
            </w:r>
          </w:p>
        </w:tc>
        <w:tc>
          <w:tcPr>
            <w:tcW w:w="2981" w:type="dxa"/>
            <w:tcBorders>
              <w:top w:val="nil"/>
              <w:left w:val="nil"/>
              <w:bottom w:val="single" w:color="auto" w:sz="4" w:space="0"/>
              <w:right w:val="single" w:color="auto" w:sz="4" w:space="0"/>
            </w:tcBorders>
            <w:noWrap w:val="0"/>
            <w:vAlign w:val="center"/>
          </w:tcPr>
          <w:p w14:paraId="79E8E0A2">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w:t>
            </w:r>
            <w:r>
              <w:rPr>
                <w:rFonts w:hint="eastAsia" w:ascii="宋体" w:hAnsi="宋体" w:eastAsia="宋体" w:cs="宋体"/>
                <w:color w:val="000000"/>
                <w:kern w:val="0"/>
                <w:sz w:val="15"/>
                <w:szCs w:val="15"/>
                <w:highlight w:val="none"/>
                <w:lang w:eastAsia="zh-CN"/>
              </w:rPr>
              <w:t>第十二条；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三十四</w:t>
            </w:r>
            <w:r>
              <w:rPr>
                <w:rFonts w:hint="eastAsia" w:ascii="宋体" w:hAnsi="宋体" w:eastAsia="宋体" w:cs="宋体"/>
                <w:color w:val="000000"/>
                <w:kern w:val="0"/>
                <w:sz w:val="15"/>
                <w:szCs w:val="15"/>
                <w:highlight w:val="none"/>
              </w:rPr>
              <w:t>条，处违法所得3倍以下且不超过</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万元的罚款。</w:t>
            </w:r>
          </w:p>
        </w:tc>
        <w:tc>
          <w:tcPr>
            <w:tcW w:w="851" w:type="dxa"/>
            <w:tcBorders>
              <w:top w:val="nil"/>
              <w:left w:val="nil"/>
              <w:bottom w:val="single" w:color="auto" w:sz="4" w:space="0"/>
              <w:right w:val="single" w:color="auto" w:sz="4" w:space="0"/>
            </w:tcBorders>
            <w:noWrap w:val="0"/>
            <w:vAlign w:val="center"/>
          </w:tcPr>
          <w:p w14:paraId="718627E5">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违法所得</w:t>
            </w:r>
          </w:p>
        </w:tc>
        <w:tc>
          <w:tcPr>
            <w:tcW w:w="840" w:type="dxa"/>
            <w:tcBorders>
              <w:top w:val="nil"/>
              <w:left w:val="nil"/>
              <w:bottom w:val="single" w:color="auto" w:sz="4" w:space="0"/>
              <w:right w:val="single" w:color="auto" w:sz="4" w:space="0"/>
            </w:tcBorders>
            <w:noWrap/>
            <w:vAlign w:val="center"/>
          </w:tcPr>
          <w:p w14:paraId="2663A16E">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0EBC3E96">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收受监理单位贿赂1次，系数为0；2.</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收受监理单位贿赂2次，系数为1；3.</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收受监理单位贿赂3次及以上或</w:t>
            </w:r>
            <w:r>
              <w:rPr>
                <w:rFonts w:hint="eastAsia" w:ascii="宋体" w:hAnsi="宋体" w:eastAsia="宋体" w:cs="宋体"/>
                <w:color w:val="000000"/>
                <w:kern w:val="0"/>
                <w:sz w:val="15"/>
                <w:szCs w:val="15"/>
                <w:highlight w:val="none"/>
                <w:lang w:val="en-US" w:eastAsia="zh-CN"/>
              </w:rPr>
              <w:t>造成严重影响的</w:t>
            </w:r>
            <w:r>
              <w:rPr>
                <w:rFonts w:hint="eastAsia" w:ascii="宋体" w:hAnsi="宋体" w:eastAsia="宋体" w:cs="宋体"/>
                <w:color w:val="000000"/>
                <w:kern w:val="0"/>
                <w:sz w:val="15"/>
                <w:szCs w:val="15"/>
                <w:highlight w:val="none"/>
              </w:rPr>
              <w:t>，系数为2。4.存在基准2.1.3规定情形的，系数按照相关规定确定（基准2.1.3.5不适用）。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6B88B40">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罚款金额=违法所得×（1+情节系数）</w:t>
            </w:r>
          </w:p>
        </w:tc>
        <w:tc>
          <w:tcPr>
            <w:tcW w:w="2016" w:type="dxa"/>
            <w:tcBorders>
              <w:top w:val="nil"/>
              <w:left w:val="nil"/>
              <w:bottom w:val="single" w:color="auto" w:sz="4" w:space="0"/>
              <w:right w:val="single" w:color="auto" w:sz="4" w:space="0"/>
            </w:tcBorders>
            <w:noWrap w:val="0"/>
            <w:vAlign w:val="center"/>
          </w:tcPr>
          <w:p w14:paraId="5F5DAFD0">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52A8D905">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14:paraId="449F8F30">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755EE3D">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C2326000</w:t>
            </w:r>
          </w:p>
        </w:tc>
      </w:tr>
      <w:tr w14:paraId="25BDA3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40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3963AF91">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2</w:t>
            </w:r>
          </w:p>
        </w:tc>
        <w:tc>
          <w:tcPr>
            <w:tcW w:w="1624" w:type="dxa"/>
            <w:tcBorders>
              <w:top w:val="nil"/>
              <w:left w:val="single" w:color="auto" w:sz="4" w:space="0"/>
              <w:bottom w:val="single" w:color="auto" w:sz="4" w:space="0"/>
              <w:right w:val="single" w:color="auto" w:sz="4" w:space="0"/>
            </w:tcBorders>
            <w:noWrap w:val="0"/>
            <w:vAlign w:val="center"/>
          </w:tcPr>
          <w:p w14:paraId="58986372">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水利工程建设监理单位以串通、欺诈、胁迫、贿赂等不正当竞争手段承揽监理业务</w:t>
            </w:r>
          </w:p>
        </w:tc>
        <w:tc>
          <w:tcPr>
            <w:tcW w:w="2981" w:type="dxa"/>
            <w:tcBorders>
              <w:top w:val="nil"/>
              <w:left w:val="single" w:color="auto" w:sz="4" w:space="0"/>
              <w:bottom w:val="single" w:color="auto" w:sz="4" w:space="0"/>
              <w:right w:val="single" w:color="auto" w:sz="4" w:space="0"/>
            </w:tcBorders>
            <w:noWrap w:val="0"/>
            <w:vAlign w:val="center"/>
          </w:tcPr>
          <w:p w14:paraId="0FED3D7F">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十四</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51" w:type="dxa"/>
            <w:tcBorders>
              <w:top w:val="nil"/>
              <w:left w:val="nil"/>
              <w:bottom w:val="single" w:color="auto" w:sz="4" w:space="0"/>
              <w:right w:val="single" w:color="auto" w:sz="4" w:space="0"/>
            </w:tcBorders>
            <w:noWrap w:val="0"/>
            <w:vAlign w:val="center"/>
          </w:tcPr>
          <w:p w14:paraId="020A9086">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14:paraId="252DEA6A">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22EBF056">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1.资质等级为乙级，系数为0；2.资质等级为甲级,系数为1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3.造成严重影响的，系数加1</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D41693C">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14:paraId="3E9721D2">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3465A780">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14:paraId="125A3609">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BCC268D">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C2326900</w:t>
            </w:r>
          </w:p>
        </w:tc>
      </w:tr>
      <w:tr w14:paraId="359C09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233" w:hRule="atLeast"/>
        </w:trPr>
        <w:tc>
          <w:tcPr>
            <w:tcW w:w="716" w:type="dxa"/>
            <w:gridSpan w:val="2"/>
            <w:tcBorders>
              <w:top w:val="nil"/>
              <w:left w:val="single" w:color="auto" w:sz="4" w:space="0"/>
              <w:bottom w:val="single" w:color="auto" w:sz="4" w:space="0"/>
              <w:right w:val="single" w:color="auto" w:sz="4" w:space="0"/>
            </w:tcBorders>
            <w:noWrap w:val="0"/>
            <w:vAlign w:val="center"/>
          </w:tcPr>
          <w:p w14:paraId="4912E640">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3</w:t>
            </w:r>
          </w:p>
        </w:tc>
        <w:tc>
          <w:tcPr>
            <w:tcW w:w="1624" w:type="dxa"/>
            <w:tcBorders>
              <w:top w:val="nil"/>
              <w:left w:val="single" w:color="auto" w:sz="4" w:space="0"/>
              <w:bottom w:val="single" w:color="auto" w:sz="4" w:space="0"/>
              <w:right w:val="single" w:color="auto" w:sz="4" w:space="0"/>
            </w:tcBorders>
            <w:noWrap w:val="0"/>
            <w:vAlign w:val="center"/>
          </w:tcPr>
          <w:p w14:paraId="38862AAC">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监理单位安排本单位注册监理工程师超出其注册专业对应范围从事监理执业活动</w:t>
            </w:r>
          </w:p>
        </w:tc>
        <w:tc>
          <w:tcPr>
            <w:tcW w:w="2981" w:type="dxa"/>
            <w:tcBorders>
              <w:top w:val="nil"/>
              <w:left w:val="single" w:color="auto" w:sz="4" w:space="0"/>
              <w:bottom w:val="single" w:color="auto" w:sz="4" w:space="0"/>
              <w:right w:val="single" w:color="auto" w:sz="4" w:space="0"/>
            </w:tcBorders>
            <w:noWrap w:val="0"/>
            <w:vAlign w:val="center"/>
          </w:tcPr>
          <w:p w14:paraId="67C841A5">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十六</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三款、第四款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51" w:type="dxa"/>
            <w:tcBorders>
              <w:top w:val="nil"/>
              <w:left w:val="nil"/>
              <w:bottom w:val="single" w:color="auto" w:sz="4" w:space="0"/>
              <w:right w:val="single" w:color="auto" w:sz="4" w:space="0"/>
            </w:tcBorders>
            <w:noWrap w:val="0"/>
            <w:vAlign w:val="center"/>
          </w:tcPr>
          <w:p w14:paraId="45E576D7">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14:paraId="17CC4DF4">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5C4F6857">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rPr>
              <w:t>，系数为0；2.</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2项</w:t>
            </w:r>
            <w:r>
              <w:rPr>
                <w:rFonts w:hint="eastAsia" w:ascii="宋体" w:hAnsi="宋体" w:eastAsia="宋体" w:cs="宋体"/>
                <w:color w:val="000000"/>
                <w:kern w:val="0"/>
                <w:sz w:val="15"/>
                <w:szCs w:val="15"/>
                <w:highlight w:val="none"/>
              </w:rPr>
              <w:t>,系数为1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3项及以上或造成严重影响的，系数为2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6351534">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14:paraId="40D6D00E">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1443BF58">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14:paraId="3A79E454">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CC945B2">
            <w:pPr>
              <w:widowControl/>
              <w:jc w:val="center"/>
              <w:rPr>
                <w:rFonts w:hint="eastAsia" w:ascii="Times New Roman" w:hAnsi="Times New Roman" w:eastAsia="宋体" w:cs="Times New Roman"/>
                <w:color w:val="000000"/>
                <w:kern w:val="0"/>
                <w:sz w:val="15"/>
                <w:szCs w:val="15"/>
                <w:highlight w:val="none"/>
                <w:lang w:eastAsia="zh-CN"/>
              </w:rPr>
            </w:pPr>
            <w:r>
              <w:rPr>
                <w:rFonts w:hint="eastAsia" w:cs="Times New Roman"/>
                <w:color w:val="000000"/>
                <w:kern w:val="0"/>
                <w:sz w:val="15"/>
                <w:szCs w:val="15"/>
                <w:highlight w:val="none"/>
                <w:lang w:eastAsia="zh-CN"/>
              </w:rPr>
              <w:t>待新增</w:t>
            </w:r>
          </w:p>
        </w:tc>
      </w:tr>
      <w:tr w14:paraId="59F426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067" w:hRule="atLeast"/>
        </w:trPr>
        <w:tc>
          <w:tcPr>
            <w:tcW w:w="716" w:type="dxa"/>
            <w:gridSpan w:val="2"/>
            <w:tcBorders>
              <w:top w:val="nil"/>
              <w:left w:val="single" w:color="auto" w:sz="4" w:space="0"/>
              <w:bottom w:val="single" w:color="auto" w:sz="4" w:space="0"/>
              <w:right w:val="single" w:color="auto" w:sz="4" w:space="0"/>
            </w:tcBorders>
            <w:noWrap w:val="0"/>
            <w:vAlign w:val="center"/>
          </w:tcPr>
          <w:p w14:paraId="70B35726">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4</w:t>
            </w:r>
          </w:p>
        </w:tc>
        <w:tc>
          <w:tcPr>
            <w:tcW w:w="1624" w:type="dxa"/>
            <w:tcBorders>
              <w:top w:val="nil"/>
              <w:left w:val="single" w:color="auto" w:sz="4" w:space="0"/>
              <w:bottom w:val="single" w:color="auto" w:sz="4" w:space="0"/>
              <w:right w:val="single" w:color="auto" w:sz="4" w:space="0"/>
            </w:tcBorders>
            <w:noWrap w:val="0"/>
            <w:vAlign w:val="center"/>
          </w:tcPr>
          <w:p w14:paraId="1F1690CC">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监理单位拒绝或者阻碍监督检查人员依法履行职责</w:t>
            </w:r>
          </w:p>
        </w:tc>
        <w:tc>
          <w:tcPr>
            <w:tcW w:w="2981" w:type="dxa"/>
            <w:tcBorders>
              <w:top w:val="nil"/>
              <w:left w:val="single" w:color="auto" w:sz="4" w:space="0"/>
              <w:bottom w:val="single" w:color="auto" w:sz="4" w:space="0"/>
              <w:right w:val="single" w:color="auto" w:sz="4" w:space="0"/>
            </w:tcBorders>
            <w:noWrap w:val="0"/>
            <w:vAlign w:val="center"/>
          </w:tcPr>
          <w:p w14:paraId="4E73D3E0">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二十九</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五</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51" w:type="dxa"/>
            <w:tcBorders>
              <w:top w:val="nil"/>
              <w:left w:val="nil"/>
              <w:bottom w:val="single" w:color="auto" w:sz="4" w:space="0"/>
              <w:right w:val="single" w:color="auto" w:sz="4" w:space="0"/>
            </w:tcBorders>
            <w:noWrap w:val="0"/>
            <w:vAlign w:val="center"/>
          </w:tcPr>
          <w:p w14:paraId="4ADD61F0">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14:paraId="4FA55A30">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3A376F29">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val="en-US" w:eastAsia="zh-CN"/>
              </w:rPr>
              <w:t>造成严重影响的，系数为2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2</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7201958">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14:paraId="083FC91C">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72C08071">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14:paraId="24DB8CE8">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A659848">
            <w:pPr>
              <w:widowControl/>
              <w:jc w:val="center"/>
              <w:rPr>
                <w:rFonts w:hint="eastAsia" w:ascii="Times New Roman" w:hAnsi="Times New Roman" w:eastAsia="宋体" w:cs="Times New Roman"/>
                <w:color w:val="000000"/>
                <w:kern w:val="0"/>
                <w:sz w:val="15"/>
                <w:szCs w:val="15"/>
                <w:highlight w:val="none"/>
                <w:lang w:eastAsia="zh-CN"/>
              </w:rPr>
            </w:pPr>
            <w:r>
              <w:rPr>
                <w:rFonts w:hint="eastAsia" w:cs="Times New Roman"/>
                <w:color w:val="000000"/>
                <w:kern w:val="0"/>
                <w:sz w:val="15"/>
                <w:szCs w:val="15"/>
                <w:highlight w:val="none"/>
                <w:lang w:eastAsia="zh-CN"/>
              </w:rPr>
              <w:t>待新增</w:t>
            </w:r>
          </w:p>
        </w:tc>
      </w:tr>
      <w:tr w14:paraId="16F1A9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33" w:hRule="atLeast"/>
        </w:trPr>
        <w:tc>
          <w:tcPr>
            <w:tcW w:w="716" w:type="dxa"/>
            <w:gridSpan w:val="2"/>
            <w:tcBorders>
              <w:top w:val="nil"/>
              <w:left w:val="single" w:color="auto" w:sz="4" w:space="0"/>
              <w:bottom w:val="single" w:color="auto" w:sz="4" w:space="0"/>
              <w:right w:val="single" w:color="auto" w:sz="4" w:space="0"/>
            </w:tcBorders>
            <w:noWrap w:val="0"/>
            <w:vAlign w:val="center"/>
          </w:tcPr>
          <w:p w14:paraId="4088D2B3">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5</w:t>
            </w:r>
          </w:p>
        </w:tc>
        <w:tc>
          <w:tcPr>
            <w:tcW w:w="1624" w:type="dxa"/>
            <w:tcBorders>
              <w:top w:val="nil"/>
              <w:left w:val="single" w:color="auto" w:sz="4" w:space="0"/>
              <w:bottom w:val="single" w:color="auto" w:sz="4" w:space="0"/>
              <w:right w:val="single" w:color="auto" w:sz="4" w:space="0"/>
            </w:tcBorders>
            <w:noWrap w:val="0"/>
            <w:vAlign w:val="center"/>
          </w:tcPr>
          <w:p w14:paraId="3B324DC9">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因监理单位过错造成质量事故</w:t>
            </w:r>
          </w:p>
        </w:tc>
        <w:tc>
          <w:tcPr>
            <w:tcW w:w="2981" w:type="dxa"/>
            <w:tcBorders>
              <w:top w:val="nil"/>
              <w:left w:val="single" w:color="auto" w:sz="4" w:space="0"/>
              <w:bottom w:val="single" w:color="auto" w:sz="4" w:space="0"/>
              <w:right w:val="single" w:color="auto" w:sz="4" w:space="0"/>
            </w:tcBorders>
            <w:noWrap w:val="0"/>
            <w:vAlign w:val="center"/>
          </w:tcPr>
          <w:p w14:paraId="56B5910B">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w:t>
            </w:r>
            <w:r>
              <w:rPr>
                <w:rFonts w:hint="eastAsia" w:ascii="宋体" w:hAnsi="宋体" w:eastAsia="宋体" w:cs="宋体"/>
                <w:color w:val="000000"/>
                <w:kern w:val="0"/>
                <w:sz w:val="15"/>
                <w:szCs w:val="15"/>
                <w:highlight w:val="none"/>
              </w:rPr>
              <w:t>）项；</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51" w:type="dxa"/>
            <w:tcBorders>
              <w:top w:val="nil"/>
              <w:left w:val="nil"/>
              <w:bottom w:val="single" w:color="auto" w:sz="4" w:space="0"/>
              <w:right w:val="single" w:color="auto" w:sz="4" w:space="0"/>
            </w:tcBorders>
            <w:noWrap w:val="0"/>
            <w:vAlign w:val="center"/>
          </w:tcPr>
          <w:p w14:paraId="252BBE66">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14:paraId="5AC8371B">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34584D2C">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一般质量事故</w:t>
            </w:r>
            <w:r>
              <w:rPr>
                <w:rFonts w:hint="eastAsia" w:ascii="宋体" w:hAnsi="宋体" w:eastAsia="宋体" w:cs="宋体"/>
                <w:color w:val="000000"/>
                <w:kern w:val="0"/>
                <w:sz w:val="15"/>
                <w:szCs w:val="15"/>
                <w:highlight w:val="none"/>
              </w:rPr>
              <w:t>，系数为0；2.</w:t>
            </w:r>
            <w:r>
              <w:rPr>
                <w:rFonts w:hint="eastAsia" w:ascii="宋体" w:hAnsi="宋体" w:eastAsia="宋体" w:cs="宋体"/>
                <w:color w:val="000000"/>
                <w:kern w:val="0"/>
                <w:sz w:val="15"/>
                <w:szCs w:val="15"/>
                <w:highlight w:val="none"/>
                <w:lang w:eastAsia="zh-CN"/>
              </w:rPr>
              <w:t>较大质量事故</w:t>
            </w:r>
            <w:r>
              <w:rPr>
                <w:rFonts w:hint="eastAsia" w:ascii="宋体" w:hAnsi="宋体" w:eastAsia="宋体" w:cs="宋体"/>
                <w:color w:val="000000"/>
                <w:kern w:val="0"/>
                <w:sz w:val="15"/>
                <w:szCs w:val="15"/>
                <w:highlight w:val="none"/>
              </w:rPr>
              <w:t>,系数为1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3.重大及以上质量事故，系数为2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31ADE4F">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14:paraId="66CA7375">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6FDD7B39">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14:paraId="41BBA59F">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5EF64FA">
            <w:pPr>
              <w:widowControl/>
              <w:jc w:val="center"/>
              <w:rPr>
                <w:rFonts w:hint="eastAsia" w:ascii="Times New Roman" w:hAnsi="Times New Roman" w:eastAsia="宋体" w:cs="Times New Roman"/>
                <w:color w:val="000000"/>
                <w:kern w:val="0"/>
                <w:sz w:val="15"/>
                <w:szCs w:val="15"/>
                <w:highlight w:val="none"/>
                <w:lang w:eastAsia="zh-CN"/>
              </w:rPr>
            </w:pPr>
            <w:r>
              <w:rPr>
                <w:rFonts w:hint="eastAsia" w:cs="Times New Roman"/>
                <w:color w:val="000000"/>
                <w:kern w:val="0"/>
                <w:sz w:val="15"/>
                <w:szCs w:val="15"/>
                <w:highlight w:val="none"/>
                <w:lang w:eastAsia="zh-CN"/>
              </w:rPr>
              <w:t>待新增</w:t>
            </w:r>
          </w:p>
        </w:tc>
      </w:tr>
      <w:tr w14:paraId="4DEEDC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605" w:hRule="atLeast"/>
        </w:trPr>
        <w:tc>
          <w:tcPr>
            <w:tcW w:w="716" w:type="dxa"/>
            <w:gridSpan w:val="2"/>
            <w:tcBorders>
              <w:top w:val="nil"/>
              <w:left w:val="single" w:color="auto" w:sz="4" w:space="0"/>
              <w:bottom w:val="single" w:color="auto" w:sz="4" w:space="0"/>
              <w:right w:val="single" w:color="auto" w:sz="4" w:space="0"/>
            </w:tcBorders>
            <w:noWrap w:val="0"/>
            <w:vAlign w:val="center"/>
          </w:tcPr>
          <w:p w14:paraId="48C94678">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6</w:t>
            </w:r>
          </w:p>
        </w:tc>
        <w:tc>
          <w:tcPr>
            <w:tcW w:w="1624" w:type="dxa"/>
            <w:tcBorders>
              <w:top w:val="nil"/>
              <w:left w:val="single" w:color="auto" w:sz="4" w:space="0"/>
              <w:bottom w:val="single" w:color="auto" w:sz="4" w:space="0"/>
              <w:right w:val="single" w:color="auto" w:sz="4" w:space="0"/>
            </w:tcBorders>
            <w:noWrap w:val="0"/>
            <w:vAlign w:val="center"/>
          </w:tcPr>
          <w:p w14:paraId="26500362">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监理单位未检查并复核原材料、中间产品和设备质量</w:t>
            </w:r>
          </w:p>
        </w:tc>
        <w:tc>
          <w:tcPr>
            <w:tcW w:w="2981" w:type="dxa"/>
            <w:tcBorders>
              <w:top w:val="nil"/>
              <w:left w:val="single" w:color="auto" w:sz="4" w:space="0"/>
              <w:bottom w:val="single" w:color="auto" w:sz="4" w:space="0"/>
              <w:right w:val="single" w:color="auto" w:sz="4" w:space="0"/>
            </w:tcBorders>
            <w:noWrap w:val="0"/>
            <w:vAlign w:val="center"/>
          </w:tcPr>
          <w:p w14:paraId="76EFD339">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二十一</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八</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，给予警告或通报批评；情节严重的，处</w:t>
            </w:r>
            <w:r>
              <w:rPr>
                <w:rFonts w:hint="eastAsia" w:ascii="宋体" w:hAnsi="宋体" w:eastAsia="宋体" w:cs="宋体"/>
                <w:color w:val="000000"/>
                <w:kern w:val="0"/>
                <w:sz w:val="15"/>
                <w:szCs w:val="15"/>
                <w:highlight w:val="none"/>
                <w:lang w:val="en-US" w:eastAsia="zh-CN"/>
              </w:rPr>
              <w:t>1万元以上3万元以下罚款。</w:t>
            </w:r>
          </w:p>
        </w:tc>
        <w:tc>
          <w:tcPr>
            <w:tcW w:w="851" w:type="dxa"/>
            <w:tcBorders>
              <w:top w:val="nil"/>
              <w:left w:val="nil"/>
              <w:bottom w:val="single" w:color="auto" w:sz="4" w:space="0"/>
              <w:right w:val="single" w:color="auto" w:sz="4" w:space="0"/>
            </w:tcBorders>
            <w:noWrap w:val="0"/>
            <w:vAlign w:val="center"/>
          </w:tcPr>
          <w:p w14:paraId="568F398A">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ign w:val="center"/>
          </w:tcPr>
          <w:p w14:paraId="3DCEF10F">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70299A72">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（一）无严重情节，</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材料、产品、设备中1类的，</w:t>
            </w:r>
            <w:r>
              <w:rPr>
                <w:rFonts w:hint="eastAsia" w:ascii="宋体" w:hAnsi="宋体" w:eastAsia="宋体" w:cs="宋体"/>
                <w:color w:val="000000"/>
                <w:kern w:val="0"/>
                <w:sz w:val="15"/>
                <w:szCs w:val="15"/>
                <w:highlight w:val="none"/>
              </w:rPr>
              <w:t>给予警告</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2类及以上的，通报批评；（二）情节严重，处以下罚款：1.</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材料、产品、设备中1类的，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0；2.</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材料、产品、设备中2类的，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1；3.</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材料、产品、设备中3类的，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2；3</w:t>
            </w:r>
            <w:r>
              <w:rPr>
                <w:rFonts w:hint="eastAsia" w:ascii="宋体" w:hAnsi="宋体" w:eastAsia="宋体" w:cs="宋体"/>
                <w:color w:val="000000"/>
                <w:kern w:val="0"/>
                <w:sz w:val="15"/>
                <w:szCs w:val="15"/>
                <w:highlight w:val="none"/>
              </w:rPr>
              <w:t>.存在基准2.1.3规定情形的，系数按照相关规定确定（基准2.1.3.</w:t>
            </w:r>
            <w:r>
              <w:rPr>
                <w:rFonts w:hint="eastAsia" w:ascii="宋体" w:hAnsi="宋体" w:eastAsia="宋体" w:cs="宋体"/>
                <w:color w:val="000000"/>
                <w:kern w:val="0"/>
                <w:sz w:val="15"/>
                <w:szCs w:val="15"/>
                <w:highlight w:val="none"/>
                <w:lang w:val="en-US"/>
              </w:rPr>
              <w:t>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2.1.3.5</w:t>
            </w:r>
            <w:r>
              <w:rPr>
                <w:rFonts w:hint="eastAsia" w:ascii="宋体" w:hAnsi="宋体" w:eastAsia="宋体" w:cs="宋体"/>
                <w:color w:val="000000"/>
                <w:kern w:val="0"/>
                <w:sz w:val="15"/>
                <w:szCs w:val="15"/>
                <w:highlight w:val="none"/>
              </w:rPr>
              <w:t>不适用）。</w:t>
            </w:r>
          </w:p>
        </w:tc>
        <w:tc>
          <w:tcPr>
            <w:tcW w:w="1879" w:type="dxa"/>
            <w:gridSpan w:val="3"/>
            <w:tcBorders>
              <w:top w:val="nil"/>
              <w:left w:val="nil"/>
              <w:bottom w:val="single" w:color="auto" w:sz="4" w:space="0"/>
              <w:right w:val="single" w:color="auto" w:sz="4" w:space="0"/>
            </w:tcBorders>
            <w:noWrap w:val="0"/>
            <w:vAlign w:val="center"/>
          </w:tcPr>
          <w:p w14:paraId="288A311A">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10000</w:t>
            </w:r>
            <w:r>
              <w:rPr>
                <w:rFonts w:hint="eastAsia" w:ascii="宋体" w:hAnsi="宋体" w:eastAsia="宋体" w:cs="宋体"/>
                <w:color w:val="000000"/>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14:paraId="5F4311CC">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事故的；2.</w:t>
            </w:r>
            <w:r>
              <w:rPr>
                <w:rFonts w:hint="eastAsia" w:ascii="宋体" w:hAnsi="宋体" w:eastAsia="宋体" w:cs="宋体"/>
                <w:color w:val="000000"/>
                <w:kern w:val="0"/>
                <w:sz w:val="15"/>
                <w:szCs w:val="15"/>
                <w:highlight w:val="none"/>
                <w:lang w:eastAsia="zh-CN"/>
              </w:rPr>
              <w:t>拒不改正的</w:t>
            </w:r>
            <w:r>
              <w:rPr>
                <w:rFonts w:hint="eastAsia" w:ascii="宋体" w:hAnsi="宋体" w:eastAsia="宋体" w:cs="宋体"/>
                <w:color w:val="000000"/>
                <w:kern w:val="0"/>
                <w:sz w:val="15"/>
                <w:szCs w:val="15"/>
                <w:highlight w:val="none"/>
              </w:rPr>
              <w:t>。</w:t>
            </w:r>
          </w:p>
          <w:p w14:paraId="318BC982">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14:paraId="3EAB3ECA">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77A4AD4">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无</w:t>
            </w:r>
          </w:p>
        </w:tc>
      </w:tr>
      <w:tr w14:paraId="729693D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74" w:hRule="atLeast"/>
        </w:trPr>
        <w:tc>
          <w:tcPr>
            <w:tcW w:w="716" w:type="dxa"/>
            <w:gridSpan w:val="2"/>
            <w:tcBorders>
              <w:top w:val="nil"/>
              <w:left w:val="single" w:color="auto" w:sz="4" w:space="0"/>
              <w:bottom w:val="single" w:color="auto" w:sz="4" w:space="0"/>
              <w:right w:val="single" w:color="auto" w:sz="4" w:space="0"/>
            </w:tcBorders>
            <w:noWrap w:val="0"/>
            <w:vAlign w:val="center"/>
          </w:tcPr>
          <w:p w14:paraId="1A0C344E">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7</w:t>
            </w:r>
          </w:p>
        </w:tc>
        <w:tc>
          <w:tcPr>
            <w:tcW w:w="1624" w:type="dxa"/>
            <w:tcBorders>
              <w:top w:val="nil"/>
              <w:left w:val="single" w:color="auto" w:sz="4" w:space="0"/>
              <w:bottom w:val="single" w:color="auto" w:sz="4" w:space="0"/>
              <w:right w:val="single" w:color="auto" w:sz="4" w:space="0"/>
            </w:tcBorders>
            <w:noWrap w:val="0"/>
            <w:vAlign w:val="center"/>
          </w:tcPr>
          <w:p w14:paraId="44A87527">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未如实复核并签认工程量的</w:t>
            </w:r>
          </w:p>
        </w:tc>
        <w:tc>
          <w:tcPr>
            <w:tcW w:w="2981" w:type="dxa"/>
            <w:tcBorders>
              <w:top w:val="nil"/>
              <w:left w:val="single" w:color="auto" w:sz="4" w:space="0"/>
              <w:bottom w:val="single" w:color="auto" w:sz="4" w:space="0"/>
              <w:right w:val="single" w:color="auto" w:sz="4" w:space="0"/>
            </w:tcBorders>
            <w:noWrap w:val="0"/>
            <w:vAlign w:val="center"/>
          </w:tcPr>
          <w:p w14:paraId="1B8CC341">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二十三</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八</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，给予警告或通报批评；情节严重的，处</w:t>
            </w:r>
            <w:r>
              <w:rPr>
                <w:rFonts w:hint="eastAsia" w:ascii="宋体" w:hAnsi="宋体" w:eastAsia="宋体" w:cs="宋体"/>
                <w:color w:val="000000"/>
                <w:kern w:val="0"/>
                <w:sz w:val="15"/>
                <w:szCs w:val="15"/>
                <w:highlight w:val="none"/>
                <w:lang w:val="en-US" w:eastAsia="zh-CN"/>
              </w:rPr>
              <w:t>1万元以上3万元以下罚款。</w:t>
            </w:r>
          </w:p>
        </w:tc>
        <w:tc>
          <w:tcPr>
            <w:tcW w:w="851" w:type="dxa"/>
            <w:tcBorders>
              <w:top w:val="nil"/>
              <w:left w:val="nil"/>
              <w:bottom w:val="single" w:color="auto" w:sz="4" w:space="0"/>
              <w:right w:val="single" w:color="auto" w:sz="4" w:space="0"/>
            </w:tcBorders>
            <w:noWrap w:val="0"/>
            <w:vAlign w:val="center"/>
          </w:tcPr>
          <w:p w14:paraId="1824E0A2">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ign w:val="center"/>
          </w:tcPr>
          <w:p w14:paraId="7F680047">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18C73B20">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（一）无严重情节，</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rPr>
              <w:t>给予警告</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2项及以上，通报批评；（二）情节严重，处以下罚款：1.</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0；2.</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2项，</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1；3.</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3项及以上，</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2；3</w:t>
            </w:r>
            <w:r>
              <w:rPr>
                <w:rFonts w:hint="eastAsia" w:ascii="宋体" w:hAnsi="宋体" w:eastAsia="宋体" w:cs="宋体"/>
                <w:color w:val="000000"/>
                <w:kern w:val="0"/>
                <w:sz w:val="15"/>
                <w:szCs w:val="15"/>
                <w:highlight w:val="none"/>
              </w:rPr>
              <w:t>.存在基准2.1.3规定情形的，系数按照相关规定确定（基准2.1.3.</w:t>
            </w:r>
            <w:r>
              <w:rPr>
                <w:rFonts w:hint="eastAsia" w:ascii="宋体" w:hAnsi="宋体" w:eastAsia="宋体" w:cs="宋体"/>
                <w:color w:val="000000"/>
                <w:kern w:val="0"/>
                <w:sz w:val="15"/>
                <w:szCs w:val="15"/>
                <w:highlight w:val="none"/>
                <w:lang w:val="en-US"/>
              </w:rPr>
              <w:t>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2.1.3.5</w:t>
            </w:r>
            <w:r>
              <w:rPr>
                <w:rFonts w:hint="eastAsia" w:ascii="宋体" w:hAnsi="宋体" w:eastAsia="宋体" w:cs="宋体"/>
                <w:color w:val="000000"/>
                <w:kern w:val="0"/>
                <w:sz w:val="15"/>
                <w:szCs w:val="15"/>
                <w:highlight w:val="none"/>
              </w:rPr>
              <w:t>不适用）。</w:t>
            </w:r>
          </w:p>
        </w:tc>
        <w:tc>
          <w:tcPr>
            <w:tcW w:w="1879" w:type="dxa"/>
            <w:gridSpan w:val="3"/>
            <w:tcBorders>
              <w:top w:val="nil"/>
              <w:left w:val="nil"/>
              <w:bottom w:val="single" w:color="auto" w:sz="4" w:space="0"/>
              <w:right w:val="single" w:color="auto" w:sz="4" w:space="0"/>
            </w:tcBorders>
            <w:noWrap w:val="0"/>
            <w:vAlign w:val="center"/>
          </w:tcPr>
          <w:p w14:paraId="0E16D71F">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10000</w:t>
            </w:r>
            <w:r>
              <w:rPr>
                <w:rFonts w:hint="eastAsia" w:ascii="宋体" w:hAnsi="宋体" w:eastAsia="宋体" w:cs="宋体"/>
                <w:color w:val="000000"/>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14:paraId="3EEA6B23">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事故的；2.</w:t>
            </w:r>
            <w:r>
              <w:rPr>
                <w:rFonts w:hint="eastAsia" w:ascii="宋体" w:hAnsi="宋体" w:eastAsia="宋体" w:cs="宋体"/>
                <w:color w:val="000000"/>
                <w:kern w:val="0"/>
                <w:sz w:val="15"/>
                <w:szCs w:val="15"/>
                <w:highlight w:val="none"/>
                <w:lang w:eastAsia="zh-CN"/>
              </w:rPr>
              <w:t>拒不改正的</w:t>
            </w:r>
            <w:r>
              <w:rPr>
                <w:rFonts w:hint="eastAsia" w:ascii="宋体" w:hAnsi="宋体" w:eastAsia="宋体" w:cs="宋体"/>
                <w:color w:val="000000"/>
                <w:kern w:val="0"/>
                <w:sz w:val="15"/>
                <w:szCs w:val="15"/>
                <w:highlight w:val="none"/>
              </w:rPr>
              <w:t>。</w:t>
            </w:r>
          </w:p>
          <w:p w14:paraId="3AC817B5">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14:paraId="767CEB29">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B130735">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无</w:t>
            </w:r>
          </w:p>
        </w:tc>
      </w:tr>
      <w:tr w14:paraId="05DACE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833" w:hRule="atLeast"/>
        </w:trPr>
        <w:tc>
          <w:tcPr>
            <w:tcW w:w="716" w:type="dxa"/>
            <w:gridSpan w:val="2"/>
            <w:tcBorders>
              <w:top w:val="nil"/>
              <w:left w:val="single" w:color="auto" w:sz="4" w:space="0"/>
              <w:bottom w:val="single" w:color="auto" w:sz="4" w:space="0"/>
              <w:right w:val="single" w:color="auto" w:sz="4" w:space="0"/>
            </w:tcBorders>
            <w:noWrap/>
            <w:vAlign w:val="center"/>
          </w:tcPr>
          <w:p w14:paraId="7C48F411">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8</w:t>
            </w:r>
          </w:p>
        </w:tc>
        <w:tc>
          <w:tcPr>
            <w:tcW w:w="1624" w:type="dxa"/>
            <w:tcBorders>
              <w:top w:val="nil"/>
              <w:left w:val="nil"/>
              <w:bottom w:val="single" w:color="auto" w:sz="4" w:space="0"/>
              <w:right w:val="single" w:color="auto" w:sz="4" w:space="0"/>
            </w:tcBorders>
            <w:noWrap w:val="0"/>
            <w:vAlign w:val="center"/>
          </w:tcPr>
          <w:p w14:paraId="1220A884">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水利工程建设监理人员</w:t>
            </w:r>
            <w:r>
              <w:rPr>
                <w:rFonts w:hint="eastAsia" w:ascii="宋体" w:hAnsi="宋体" w:eastAsia="宋体" w:cs="宋体"/>
                <w:strike w:val="0"/>
                <w:dstrike w:val="0"/>
                <w:color w:val="000000"/>
                <w:kern w:val="0"/>
                <w:sz w:val="15"/>
                <w:szCs w:val="15"/>
                <w:highlight w:val="none"/>
              </w:rPr>
              <w:t>利用执（从）业上的便利，索取或者收受被监理工程的施工单位以及原材料、中间产品和设备供应单位贿赂</w:t>
            </w:r>
          </w:p>
        </w:tc>
        <w:tc>
          <w:tcPr>
            <w:tcW w:w="2981" w:type="dxa"/>
            <w:tcBorders>
              <w:top w:val="nil"/>
              <w:left w:val="nil"/>
              <w:bottom w:val="single" w:color="auto" w:sz="4" w:space="0"/>
              <w:right w:val="single" w:color="auto" w:sz="4" w:space="0"/>
            </w:tcBorders>
            <w:noWrap w:val="0"/>
            <w:vAlign w:val="center"/>
          </w:tcPr>
          <w:p w14:paraId="57EDB63F">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条第（一）项；</w:t>
            </w:r>
          </w:p>
          <w:p w14:paraId="279E4D90">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条第（一）项，责令改正，给予警告或通报批评；情节严重的，处1万元以上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51" w:type="dxa"/>
            <w:tcBorders>
              <w:top w:val="nil"/>
              <w:left w:val="nil"/>
              <w:bottom w:val="single" w:color="auto" w:sz="4" w:space="0"/>
              <w:right w:val="single" w:color="auto" w:sz="4" w:space="0"/>
            </w:tcBorders>
            <w:noWrap w:val="0"/>
            <w:vAlign w:val="center"/>
          </w:tcPr>
          <w:p w14:paraId="637074E8">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w:t>
            </w:r>
          </w:p>
        </w:tc>
        <w:tc>
          <w:tcPr>
            <w:tcW w:w="840" w:type="dxa"/>
            <w:tcBorders>
              <w:top w:val="nil"/>
              <w:left w:val="nil"/>
              <w:bottom w:val="single" w:color="auto" w:sz="4" w:space="0"/>
              <w:right w:val="single" w:color="auto" w:sz="4" w:space="0"/>
            </w:tcBorders>
            <w:noWrap/>
            <w:vAlign w:val="center"/>
          </w:tcPr>
          <w:p w14:paraId="3CA457E9">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5F210244">
            <w:pPr>
              <w:widowControl/>
              <w:numPr>
                <w:ilvl w:val="0"/>
                <w:numId w:val="11"/>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无严重情节，</w:t>
            </w:r>
            <w:r>
              <w:rPr>
                <w:rFonts w:hint="eastAsia" w:ascii="宋体" w:hAnsi="宋体" w:eastAsia="宋体" w:cs="宋体"/>
                <w:color w:val="000000"/>
                <w:kern w:val="0"/>
                <w:sz w:val="15"/>
                <w:szCs w:val="15"/>
                <w:highlight w:val="none"/>
                <w:lang w:eastAsia="zh-CN"/>
              </w:rPr>
              <w:t>给予警告或通报批评</w:t>
            </w:r>
            <w:r>
              <w:rPr>
                <w:rFonts w:hint="eastAsia" w:ascii="宋体" w:hAnsi="宋体" w:eastAsia="宋体" w:cs="宋体"/>
                <w:color w:val="000000"/>
                <w:kern w:val="0"/>
                <w:sz w:val="15"/>
                <w:szCs w:val="15"/>
                <w:highlight w:val="none"/>
              </w:rPr>
              <w:t>。</w:t>
            </w:r>
          </w:p>
          <w:p w14:paraId="7B46F853">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（二）</w:t>
            </w:r>
            <w:r>
              <w:rPr>
                <w:rFonts w:hint="eastAsia" w:ascii="宋体" w:hAnsi="宋体" w:eastAsia="宋体" w:cs="宋体"/>
                <w:color w:val="000000"/>
                <w:kern w:val="0"/>
                <w:sz w:val="15"/>
                <w:szCs w:val="15"/>
                <w:highlight w:val="none"/>
                <w:lang w:eastAsia="zh-CN"/>
              </w:rPr>
              <w:t>情节严重</w:t>
            </w:r>
            <w:r>
              <w:rPr>
                <w:rFonts w:hint="eastAsia" w:ascii="宋体" w:hAnsi="宋体" w:eastAsia="宋体" w:cs="宋体"/>
                <w:color w:val="000000"/>
                <w:kern w:val="0"/>
                <w:sz w:val="15"/>
                <w:szCs w:val="15"/>
                <w:highlight w:val="none"/>
              </w:rPr>
              <w:t>，并处以下罚款：1.索取或收受财物1次，系数为0；2.索取或收受财物2次，系数为</w:t>
            </w:r>
            <w:r>
              <w:rPr>
                <w:rFonts w:hint="eastAsia" w:ascii="宋体" w:hAnsi="宋体" w:eastAsia="宋体" w:cs="宋体"/>
                <w:color w:val="000000"/>
                <w:kern w:val="0"/>
                <w:sz w:val="15"/>
                <w:szCs w:val="15"/>
                <w:highlight w:val="none"/>
                <w:lang w:val="en-US" w:eastAsia="zh-CN"/>
              </w:rPr>
              <w:t>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rPr>
              <w:t>.索取或收受财物</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rPr>
              <w:t>次及以上或造成其它恶劣影响，系数为</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D5AE413">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2016" w:type="dxa"/>
            <w:tcBorders>
              <w:top w:val="nil"/>
              <w:left w:val="nil"/>
              <w:bottom w:val="single" w:color="auto" w:sz="4" w:space="0"/>
              <w:right w:val="single" w:color="auto" w:sz="4" w:space="0"/>
            </w:tcBorders>
            <w:noWrap w:val="0"/>
            <w:vAlign w:val="center"/>
          </w:tcPr>
          <w:p w14:paraId="74FFB80C">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或者严重影响</w:t>
            </w:r>
            <w:r>
              <w:rPr>
                <w:rFonts w:hint="eastAsia" w:ascii="宋体" w:hAnsi="宋体" w:eastAsia="宋体" w:cs="宋体"/>
                <w:color w:val="000000"/>
                <w:kern w:val="0"/>
                <w:sz w:val="15"/>
                <w:szCs w:val="15"/>
                <w:highlight w:val="none"/>
              </w:rPr>
              <w:t>的；2.经执法部门处罚后，再次发生同类型违法行为。</w:t>
            </w:r>
          </w:p>
          <w:p w14:paraId="30FA4593">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14:paraId="7E2B661E">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0DD266B">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C2327700</w:t>
            </w:r>
          </w:p>
        </w:tc>
      </w:tr>
      <w:tr w14:paraId="4AF81F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95" w:hRule="atLeast"/>
        </w:trPr>
        <w:tc>
          <w:tcPr>
            <w:tcW w:w="716" w:type="dxa"/>
            <w:gridSpan w:val="2"/>
            <w:tcBorders>
              <w:top w:val="nil"/>
              <w:left w:val="single" w:color="auto" w:sz="4" w:space="0"/>
              <w:bottom w:val="single" w:color="auto" w:sz="4" w:space="0"/>
              <w:right w:val="single" w:color="auto" w:sz="4" w:space="0"/>
            </w:tcBorders>
            <w:noWrap/>
            <w:vAlign w:val="center"/>
          </w:tcPr>
          <w:p w14:paraId="224C96D1">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9</w:t>
            </w:r>
          </w:p>
        </w:tc>
        <w:tc>
          <w:tcPr>
            <w:tcW w:w="1624" w:type="dxa"/>
            <w:tcBorders>
              <w:top w:val="nil"/>
              <w:left w:val="nil"/>
              <w:bottom w:val="single" w:color="auto" w:sz="4" w:space="0"/>
              <w:right w:val="single" w:color="auto" w:sz="4" w:space="0"/>
            </w:tcBorders>
            <w:noWrap w:val="0"/>
            <w:vAlign w:val="center"/>
          </w:tcPr>
          <w:p w14:paraId="780CD5E2">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与被监理工程的项目法人、施工单位以及原材料、中间产品和设备供应单位串通，谋取不正当利益</w:t>
            </w:r>
          </w:p>
        </w:tc>
        <w:tc>
          <w:tcPr>
            <w:tcW w:w="2981" w:type="dxa"/>
            <w:tcBorders>
              <w:top w:val="nil"/>
              <w:left w:val="nil"/>
              <w:bottom w:val="single" w:color="auto" w:sz="4" w:space="0"/>
              <w:right w:val="single" w:color="auto" w:sz="4" w:space="0"/>
            </w:tcBorders>
            <w:noWrap w:val="0"/>
            <w:vAlign w:val="center"/>
          </w:tcPr>
          <w:p w14:paraId="402A86BD">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w:t>
            </w:r>
          </w:p>
          <w:p w14:paraId="539038CF">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51" w:type="dxa"/>
            <w:tcBorders>
              <w:top w:val="nil"/>
              <w:left w:val="nil"/>
              <w:bottom w:val="single" w:color="auto" w:sz="4" w:space="0"/>
              <w:right w:val="single" w:color="auto" w:sz="4" w:space="0"/>
            </w:tcBorders>
            <w:noWrap w:val="0"/>
            <w:vAlign w:val="center"/>
          </w:tcPr>
          <w:p w14:paraId="588233CB">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w:t>
            </w:r>
          </w:p>
        </w:tc>
        <w:tc>
          <w:tcPr>
            <w:tcW w:w="840" w:type="dxa"/>
            <w:tcBorders>
              <w:top w:val="nil"/>
              <w:left w:val="nil"/>
              <w:bottom w:val="single" w:color="auto" w:sz="4" w:space="0"/>
              <w:right w:val="single" w:color="auto" w:sz="4" w:space="0"/>
            </w:tcBorders>
            <w:noWrap/>
            <w:vAlign w:val="center"/>
          </w:tcPr>
          <w:p w14:paraId="081636EA">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4CB66DD1">
            <w:pPr>
              <w:widowControl/>
              <w:numPr>
                <w:ilvl w:val="0"/>
                <w:numId w:val="12"/>
              </w:numPr>
              <w:jc w:val="left"/>
              <w:rPr>
                <w:rFonts w:hint="eastAsia" w:ascii="宋体" w:hAnsi="宋体" w:eastAsia="宋体" w:cs="宋体"/>
                <w:strike w:val="0"/>
                <w:dstrike w:val="0"/>
                <w:color w:val="000000"/>
                <w:kern w:val="0"/>
                <w:sz w:val="15"/>
                <w:szCs w:val="15"/>
                <w:highlight w:val="none"/>
              </w:rPr>
            </w:pPr>
            <w:r>
              <w:rPr>
                <w:rFonts w:hint="eastAsia" w:ascii="宋体" w:hAnsi="宋体" w:eastAsia="宋体" w:cs="宋体"/>
                <w:strike w:val="0"/>
                <w:dstrike w:val="0"/>
                <w:color w:val="000000"/>
                <w:kern w:val="0"/>
                <w:sz w:val="15"/>
                <w:szCs w:val="15"/>
                <w:highlight w:val="none"/>
              </w:rPr>
              <w:t>无严重情节，</w:t>
            </w:r>
            <w:r>
              <w:rPr>
                <w:rFonts w:hint="eastAsia" w:ascii="宋体" w:hAnsi="宋体" w:eastAsia="宋体" w:cs="宋体"/>
                <w:color w:val="000000"/>
                <w:kern w:val="0"/>
                <w:sz w:val="15"/>
                <w:szCs w:val="15"/>
                <w:highlight w:val="none"/>
              </w:rPr>
              <w:t>给予警告或通报批评</w:t>
            </w:r>
            <w:r>
              <w:rPr>
                <w:rFonts w:hint="eastAsia" w:ascii="宋体" w:hAnsi="宋体" w:eastAsia="宋体" w:cs="宋体"/>
                <w:strike w:val="0"/>
                <w:dstrike w:val="0"/>
                <w:color w:val="000000"/>
                <w:kern w:val="0"/>
                <w:sz w:val="15"/>
                <w:szCs w:val="15"/>
                <w:highlight w:val="none"/>
              </w:rPr>
              <w:t>。</w:t>
            </w:r>
          </w:p>
          <w:p w14:paraId="4AB1C174">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（二）</w:t>
            </w:r>
            <w:r>
              <w:rPr>
                <w:rFonts w:hint="eastAsia" w:ascii="宋体" w:hAnsi="宋体" w:eastAsia="宋体" w:cs="宋体"/>
                <w:strike w:val="0"/>
                <w:dstrike w:val="0"/>
                <w:color w:val="000000"/>
                <w:kern w:val="0"/>
                <w:sz w:val="15"/>
                <w:szCs w:val="15"/>
                <w:highlight w:val="none"/>
                <w:lang w:eastAsia="zh-CN"/>
              </w:rPr>
              <w:t>情节严重</w:t>
            </w:r>
            <w:r>
              <w:rPr>
                <w:rFonts w:hint="eastAsia" w:ascii="宋体" w:hAnsi="宋体" w:eastAsia="宋体" w:cs="宋体"/>
                <w:strike w:val="0"/>
                <w:dstrike w:val="0"/>
                <w:color w:val="000000"/>
                <w:kern w:val="0"/>
                <w:sz w:val="15"/>
                <w:szCs w:val="15"/>
                <w:highlight w:val="none"/>
              </w:rPr>
              <w:t>，并处以下罚款：1.谋取不正当利益1次，系数为0；2.谋取不正当利益2次，系数为</w:t>
            </w:r>
            <w:r>
              <w:rPr>
                <w:rFonts w:hint="eastAsia" w:ascii="宋体" w:hAnsi="宋体" w:eastAsia="宋体" w:cs="宋体"/>
                <w:strike w:val="0"/>
                <w:dstrike w:val="0"/>
                <w:color w:val="000000"/>
                <w:kern w:val="0"/>
                <w:sz w:val="15"/>
                <w:szCs w:val="15"/>
                <w:highlight w:val="none"/>
                <w:lang w:val="en-US" w:eastAsia="zh-CN"/>
              </w:rPr>
              <w:t>2</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.谋取不正当利益</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次及以上或造成其它恶劣影响，系数为</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7DD84EB">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2016" w:type="dxa"/>
            <w:tcBorders>
              <w:top w:val="nil"/>
              <w:left w:val="nil"/>
              <w:bottom w:val="single" w:color="auto" w:sz="4" w:space="0"/>
              <w:right w:val="single" w:color="auto" w:sz="4" w:space="0"/>
            </w:tcBorders>
            <w:noWrap w:val="0"/>
            <w:vAlign w:val="center"/>
          </w:tcPr>
          <w:p w14:paraId="15EA7FCC">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或严重影响</w:t>
            </w:r>
            <w:r>
              <w:rPr>
                <w:rFonts w:hint="eastAsia" w:ascii="宋体" w:hAnsi="宋体" w:eastAsia="宋体" w:cs="宋体"/>
                <w:color w:val="000000"/>
                <w:kern w:val="0"/>
                <w:sz w:val="15"/>
                <w:szCs w:val="15"/>
                <w:highlight w:val="none"/>
              </w:rPr>
              <w:t>的；2.经执法部门处罚后，再次发生同类型违法行为。</w:t>
            </w:r>
          </w:p>
          <w:p w14:paraId="757E3D43">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14:paraId="015389A4">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DA51C6E">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C2327800</w:t>
            </w:r>
          </w:p>
        </w:tc>
      </w:tr>
      <w:tr w14:paraId="74DE63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50" w:hRule="atLeast"/>
        </w:trPr>
        <w:tc>
          <w:tcPr>
            <w:tcW w:w="716" w:type="dxa"/>
            <w:gridSpan w:val="2"/>
            <w:tcBorders>
              <w:top w:val="nil"/>
              <w:left w:val="single" w:color="auto" w:sz="4" w:space="0"/>
              <w:bottom w:val="single" w:color="auto" w:sz="4" w:space="0"/>
              <w:right w:val="single" w:color="auto" w:sz="4" w:space="0"/>
            </w:tcBorders>
            <w:noWrap/>
            <w:vAlign w:val="center"/>
          </w:tcPr>
          <w:p w14:paraId="72E16183">
            <w:pPr>
              <w:widowControl/>
              <w:jc w:val="center"/>
              <w:rPr>
                <w:rFonts w:hint="eastAsia" w:ascii="宋体" w:hAnsi="宋体" w:eastAsia="宋体" w:cs="宋体"/>
                <w:color w:val="000000"/>
                <w:kern w:val="0"/>
                <w:sz w:val="15"/>
                <w:szCs w:val="15"/>
                <w:highlight w:val="none"/>
                <w:lang w:val="en-US" w:eastAsia="zh-CN" w:bidi="ar-SA"/>
              </w:rPr>
            </w:pPr>
            <w:bookmarkStart w:id="351" w:name="_Toc218468900"/>
            <w:r>
              <w:rPr>
                <w:rFonts w:hint="eastAsia" w:ascii="宋体" w:hAnsi="宋体" w:eastAsia="宋体" w:cs="宋体"/>
                <w:color w:val="000000"/>
                <w:kern w:val="0"/>
                <w:sz w:val="15"/>
                <w:szCs w:val="15"/>
                <w:highlight w:val="none"/>
                <w:lang w:val="en-US" w:eastAsia="zh-CN"/>
              </w:rPr>
              <w:t>10</w:t>
            </w:r>
          </w:p>
        </w:tc>
        <w:tc>
          <w:tcPr>
            <w:tcW w:w="1624" w:type="dxa"/>
            <w:tcBorders>
              <w:top w:val="nil"/>
              <w:left w:val="nil"/>
              <w:bottom w:val="single" w:color="auto" w:sz="4" w:space="0"/>
              <w:right w:val="single" w:color="auto" w:sz="4" w:space="0"/>
            </w:tcBorders>
            <w:noWrap w:val="0"/>
            <w:vAlign w:val="center"/>
          </w:tcPr>
          <w:p w14:paraId="57300FBD">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监理人员非法泄露执（从）业中应当保守的秘密</w:t>
            </w:r>
          </w:p>
        </w:tc>
        <w:tc>
          <w:tcPr>
            <w:tcW w:w="2981" w:type="dxa"/>
            <w:tcBorders>
              <w:top w:val="nil"/>
              <w:left w:val="nil"/>
              <w:bottom w:val="single" w:color="auto" w:sz="4" w:space="0"/>
              <w:right w:val="single" w:color="auto" w:sz="4" w:space="0"/>
            </w:tcBorders>
            <w:noWrap w:val="0"/>
            <w:vAlign w:val="center"/>
          </w:tcPr>
          <w:p w14:paraId="2DDEFCC1">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十五</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六款</w:t>
            </w:r>
            <w:r>
              <w:rPr>
                <w:rFonts w:hint="eastAsia" w:ascii="宋体" w:hAnsi="宋体" w:eastAsia="宋体" w:cs="宋体"/>
                <w:color w:val="000000"/>
                <w:kern w:val="0"/>
                <w:sz w:val="15"/>
                <w:szCs w:val="15"/>
                <w:highlight w:val="none"/>
              </w:rPr>
              <w:t>；</w:t>
            </w:r>
          </w:p>
          <w:p w14:paraId="683B8DD6">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w:t>
            </w:r>
            <w:r>
              <w:rPr>
                <w:rFonts w:hint="eastAsia" w:ascii="宋体" w:hAnsi="宋体" w:eastAsia="宋体" w:cs="宋体"/>
                <w:color w:val="000000"/>
                <w:kern w:val="0"/>
                <w:sz w:val="15"/>
                <w:szCs w:val="15"/>
                <w:highlight w:val="none"/>
              </w:rPr>
              <w:t>）项，责令改正，给予警告或通报批评；情节严重的，处1万元以上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51" w:type="dxa"/>
            <w:tcBorders>
              <w:top w:val="nil"/>
              <w:left w:val="nil"/>
              <w:bottom w:val="single" w:color="auto" w:sz="4" w:space="0"/>
              <w:right w:val="single" w:color="auto" w:sz="4" w:space="0"/>
            </w:tcBorders>
            <w:noWrap w:val="0"/>
            <w:vAlign w:val="center"/>
          </w:tcPr>
          <w:p w14:paraId="74263E7B">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w:t>
            </w:r>
            <w:r>
              <w:rPr>
                <w:rFonts w:hint="eastAsia" w:ascii="宋体" w:hAnsi="宋体" w:eastAsia="宋体" w:cs="宋体"/>
                <w:color w:val="000000"/>
                <w:kern w:val="0"/>
                <w:sz w:val="15"/>
                <w:szCs w:val="15"/>
                <w:highlight w:val="none"/>
              </w:rPr>
              <w:t>00</w:t>
            </w:r>
          </w:p>
        </w:tc>
        <w:tc>
          <w:tcPr>
            <w:tcW w:w="840" w:type="dxa"/>
            <w:tcBorders>
              <w:top w:val="nil"/>
              <w:left w:val="nil"/>
              <w:bottom w:val="single" w:color="auto" w:sz="4" w:space="0"/>
              <w:right w:val="single" w:color="auto" w:sz="4" w:space="0"/>
            </w:tcBorders>
            <w:noWrap/>
            <w:vAlign w:val="center"/>
          </w:tcPr>
          <w:p w14:paraId="2C920378">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0B01A413">
            <w:pPr>
              <w:widowControl/>
              <w:numPr>
                <w:ilvl w:val="0"/>
                <w:numId w:val="13"/>
              </w:numPr>
              <w:jc w:val="left"/>
              <w:rPr>
                <w:rFonts w:hint="eastAsia" w:ascii="宋体" w:hAnsi="宋体" w:eastAsia="宋体" w:cs="宋体"/>
                <w:strike w:val="0"/>
                <w:dstrike w:val="0"/>
                <w:color w:val="000000"/>
                <w:kern w:val="0"/>
                <w:sz w:val="15"/>
                <w:szCs w:val="15"/>
                <w:highlight w:val="none"/>
              </w:rPr>
            </w:pPr>
            <w:r>
              <w:rPr>
                <w:rFonts w:hint="eastAsia" w:ascii="宋体" w:hAnsi="宋体" w:eastAsia="宋体" w:cs="宋体"/>
                <w:strike w:val="0"/>
                <w:dstrike w:val="0"/>
                <w:color w:val="000000"/>
                <w:kern w:val="0"/>
                <w:sz w:val="15"/>
                <w:szCs w:val="15"/>
                <w:highlight w:val="none"/>
              </w:rPr>
              <w:t>无严重情节，</w:t>
            </w:r>
            <w:r>
              <w:rPr>
                <w:rFonts w:hint="eastAsia" w:ascii="宋体" w:hAnsi="宋体" w:eastAsia="宋体" w:cs="宋体"/>
                <w:color w:val="000000"/>
                <w:kern w:val="0"/>
                <w:sz w:val="15"/>
                <w:szCs w:val="15"/>
                <w:highlight w:val="none"/>
              </w:rPr>
              <w:t>给予警告或通报批评</w:t>
            </w:r>
            <w:r>
              <w:rPr>
                <w:rFonts w:hint="eastAsia" w:ascii="宋体" w:hAnsi="宋体" w:eastAsia="宋体" w:cs="宋体"/>
                <w:strike w:val="0"/>
                <w:dstrike w:val="0"/>
                <w:color w:val="000000"/>
                <w:kern w:val="0"/>
                <w:sz w:val="15"/>
                <w:szCs w:val="15"/>
                <w:highlight w:val="none"/>
              </w:rPr>
              <w:t>。</w:t>
            </w:r>
          </w:p>
          <w:p w14:paraId="2B18FC6B">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（二）</w:t>
            </w:r>
            <w:r>
              <w:rPr>
                <w:rFonts w:hint="eastAsia" w:ascii="宋体" w:hAnsi="宋体" w:eastAsia="宋体" w:cs="宋体"/>
                <w:strike w:val="0"/>
                <w:dstrike w:val="0"/>
                <w:color w:val="000000"/>
                <w:kern w:val="0"/>
                <w:sz w:val="15"/>
                <w:szCs w:val="15"/>
                <w:highlight w:val="none"/>
                <w:lang w:eastAsia="zh-CN"/>
              </w:rPr>
              <w:t>情节严重</w:t>
            </w:r>
            <w:r>
              <w:rPr>
                <w:rFonts w:hint="eastAsia" w:ascii="宋体" w:hAnsi="宋体" w:eastAsia="宋体" w:cs="宋体"/>
                <w:strike w:val="0"/>
                <w:dstrike w:val="0"/>
                <w:color w:val="000000"/>
                <w:kern w:val="0"/>
                <w:sz w:val="15"/>
                <w:szCs w:val="15"/>
                <w:highlight w:val="none"/>
              </w:rPr>
              <w:t>，并处以下罚款：1.泄露秘密1次，系数为0；2.泄露秘密2次，系数为</w:t>
            </w:r>
            <w:r>
              <w:rPr>
                <w:rFonts w:hint="eastAsia" w:ascii="宋体" w:hAnsi="宋体" w:eastAsia="宋体" w:cs="宋体"/>
                <w:strike w:val="0"/>
                <w:dstrike w:val="0"/>
                <w:color w:val="000000"/>
                <w:kern w:val="0"/>
                <w:sz w:val="15"/>
                <w:szCs w:val="15"/>
                <w:highlight w:val="none"/>
                <w:lang w:val="en-US" w:eastAsia="zh-CN"/>
              </w:rPr>
              <w:t>2</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.泄露秘密</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次及以上或造成其它恶劣影响，系数为</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3629A21">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2016" w:type="dxa"/>
            <w:tcBorders>
              <w:top w:val="nil"/>
              <w:left w:val="nil"/>
              <w:bottom w:val="single" w:color="auto" w:sz="4" w:space="0"/>
              <w:right w:val="single" w:color="auto" w:sz="4" w:space="0"/>
            </w:tcBorders>
            <w:noWrap w:val="0"/>
            <w:vAlign w:val="center"/>
          </w:tcPr>
          <w:p w14:paraId="231324E8">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或严重影响</w:t>
            </w:r>
            <w:r>
              <w:rPr>
                <w:rFonts w:hint="eastAsia" w:ascii="宋体" w:hAnsi="宋体" w:eastAsia="宋体" w:cs="宋体"/>
                <w:color w:val="000000"/>
                <w:kern w:val="0"/>
                <w:sz w:val="15"/>
                <w:szCs w:val="15"/>
                <w:highlight w:val="none"/>
              </w:rPr>
              <w:t>的；2.经执法部门处罚后，再次发生同类型违法行为。</w:t>
            </w:r>
          </w:p>
          <w:p w14:paraId="6528730C">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14:paraId="6B9312F0">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9313B88">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C2327900</w:t>
            </w:r>
          </w:p>
        </w:tc>
      </w:tr>
      <w:tr w14:paraId="60EFB0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7" w:hRule="atLeast"/>
        </w:trPr>
        <w:tc>
          <w:tcPr>
            <w:tcW w:w="13283" w:type="dxa"/>
            <w:gridSpan w:val="11"/>
            <w:tcBorders>
              <w:top w:val="nil"/>
              <w:left w:val="single" w:color="auto" w:sz="4" w:space="0"/>
              <w:bottom w:val="single" w:color="auto" w:sz="4" w:space="0"/>
              <w:right w:val="single" w:color="auto" w:sz="4" w:space="0"/>
            </w:tcBorders>
            <w:noWrap/>
            <w:vAlign w:val="center"/>
          </w:tcPr>
          <w:p w14:paraId="54C02CD5">
            <w:pPr>
              <w:widowControl/>
              <w:jc w:val="center"/>
              <w:outlineLvl w:val="1"/>
              <w:rPr>
                <w:rFonts w:hint="eastAsia" w:ascii="宋体" w:hAnsi="宋体" w:eastAsia="宋体" w:cs="宋体"/>
                <w:color w:val="auto"/>
                <w:kern w:val="0"/>
                <w:szCs w:val="21"/>
                <w:highlight w:val="none"/>
              </w:rPr>
            </w:pPr>
            <w:bookmarkStart w:id="352" w:name="_Toc778723007"/>
            <w:r>
              <w:rPr>
                <w:rFonts w:hint="eastAsia" w:ascii="宋体" w:hAnsi="宋体" w:eastAsia="宋体" w:cs="宋体"/>
                <w:b/>
                <w:bCs/>
                <w:color w:val="auto"/>
                <w:kern w:val="0"/>
                <w:szCs w:val="21"/>
                <w:highlight w:val="none"/>
              </w:rPr>
              <w:t>《水利工程质量事故处理规定》案由1项</w:t>
            </w:r>
            <w:bookmarkEnd w:id="351"/>
            <w:bookmarkEnd w:id="352"/>
          </w:p>
        </w:tc>
        <w:tc>
          <w:tcPr>
            <w:tcW w:w="3173" w:type="dxa"/>
            <w:gridSpan w:val="3"/>
            <w:tcBorders>
              <w:top w:val="nil"/>
              <w:left w:val="single" w:color="auto" w:sz="4" w:space="0"/>
              <w:bottom w:val="single" w:color="auto" w:sz="4" w:space="0"/>
              <w:right w:val="single" w:color="auto" w:sz="4" w:space="0"/>
            </w:tcBorders>
            <w:noWrap/>
            <w:vAlign w:val="center"/>
          </w:tcPr>
          <w:p w14:paraId="7E1186D3">
            <w:pPr>
              <w:widowControl/>
              <w:jc w:val="center"/>
              <w:outlineLvl w:val="1"/>
              <w:rPr>
                <w:rFonts w:hint="eastAsia" w:ascii="宋体" w:hAnsi="宋体" w:eastAsia="宋体" w:cs="宋体"/>
                <w:b/>
                <w:bCs/>
                <w:color w:val="auto"/>
                <w:kern w:val="0"/>
                <w:szCs w:val="21"/>
                <w:highlight w:val="none"/>
              </w:rPr>
            </w:pPr>
          </w:p>
        </w:tc>
      </w:tr>
      <w:tr w14:paraId="776C04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45CDAA7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059C579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事故相关单位迟报、谎报、瞒报水利工程质量事故</w:t>
            </w:r>
          </w:p>
        </w:tc>
        <w:tc>
          <w:tcPr>
            <w:tcW w:w="2981" w:type="dxa"/>
            <w:tcBorders>
              <w:top w:val="nil"/>
              <w:left w:val="nil"/>
              <w:bottom w:val="single" w:color="auto" w:sz="4" w:space="0"/>
              <w:right w:val="single" w:color="auto" w:sz="4" w:space="0"/>
            </w:tcBorders>
            <w:noWrap w:val="0"/>
            <w:vAlign w:val="center"/>
          </w:tcPr>
          <w:p w14:paraId="3F7710C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处罚条款：第二十九条，责令改正，给予警告或者通报批评，情节严重的，处5万元以上10万元以下的罚款。</w:t>
            </w:r>
          </w:p>
        </w:tc>
        <w:tc>
          <w:tcPr>
            <w:tcW w:w="851" w:type="dxa"/>
            <w:tcBorders>
              <w:top w:val="nil"/>
              <w:left w:val="nil"/>
              <w:bottom w:val="single" w:color="auto" w:sz="4" w:space="0"/>
              <w:right w:val="single" w:color="auto" w:sz="4" w:space="0"/>
            </w:tcBorders>
            <w:noWrap w:val="0"/>
            <w:vAlign w:val="center"/>
          </w:tcPr>
          <w:p w14:paraId="63C7901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14:paraId="22F80FE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65F4FA41">
            <w:pPr>
              <w:widowControl/>
              <w:numPr>
                <w:ilvl w:val="0"/>
                <w:numId w:val="0"/>
              </w:numPr>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lang w:eastAsia="zh-CN"/>
              </w:rPr>
              <w:t>（一）</w:t>
            </w:r>
            <w:r>
              <w:rPr>
                <w:rFonts w:hint="eastAsia" w:ascii="宋体" w:hAnsi="宋体" w:eastAsia="宋体" w:cs="宋体"/>
                <w:b w:val="0"/>
                <w:bCs w:val="0"/>
                <w:color w:val="auto"/>
                <w:kern w:val="0"/>
                <w:sz w:val="15"/>
                <w:szCs w:val="15"/>
                <w:highlight w:val="none"/>
              </w:rPr>
              <w:t>无严重情节（迟报），迟报但未对事故处理造成实际影响，给予警告。</w:t>
            </w:r>
          </w:p>
          <w:p w14:paraId="1261B06F">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rPr>
              <w:t>（二）情节严重（迟报且对事故处理造成实际影响、谎报、瞒报），通报批评，并处以下罚款：1.发生一般安全事故，系数为0；2.发生较大安全事故，系数为0.5；3.发生重大及以上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71C0FB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7835FF6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5143C8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 xml:space="preserve"> </w:t>
            </w: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3516F6A">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C4685500</w:t>
            </w:r>
          </w:p>
        </w:tc>
      </w:tr>
      <w:tr w14:paraId="2C055C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ign w:val="center"/>
          </w:tcPr>
          <w:p w14:paraId="78614AFC">
            <w:pPr>
              <w:widowControl/>
              <w:jc w:val="center"/>
              <w:outlineLvl w:val="1"/>
              <w:rPr>
                <w:rFonts w:hint="eastAsia" w:ascii="宋体" w:hAnsi="宋体" w:eastAsia="宋体" w:cs="宋体"/>
                <w:color w:val="auto"/>
                <w:kern w:val="0"/>
                <w:szCs w:val="21"/>
                <w:highlight w:val="none"/>
              </w:rPr>
            </w:pPr>
            <w:bookmarkStart w:id="353" w:name="_Toc218468901"/>
            <w:bookmarkStart w:id="354" w:name="_Toc1219974643"/>
            <w:r>
              <w:rPr>
                <w:rFonts w:hint="eastAsia" w:ascii="宋体" w:hAnsi="宋体" w:eastAsia="宋体" w:cs="宋体"/>
                <w:b/>
                <w:bCs/>
                <w:color w:val="auto"/>
                <w:kern w:val="0"/>
                <w:szCs w:val="21"/>
                <w:highlight w:val="none"/>
              </w:rPr>
              <w:t>《实施工程建设强制性标准监督规定》案由1项</w:t>
            </w:r>
            <w:bookmarkEnd w:id="353"/>
            <w:bookmarkEnd w:id="354"/>
          </w:p>
        </w:tc>
        <w:tc>
          <w:tcPr>
            <w:tcW w:w="3173" w:type="dxa"/>
            <w:gridSpan w:val="3"/>
            <w:tcBorders>
              <w:top w:val="nil"/>
              <w:left w:val="single" w:color="auto" w:sz="4" w:space="0"/>
              <w:bottom w:val="single" w:color="auto" w:sz="4" w:space="0"/>
              <w:right w:val="single" w:color="auto" w:sz="4" w:space="0"/>
            </w:tcBorders>
            <w:noWrap/>
            <w:vAlign w:val="center"/>
          </w:tcPr>
          <w:p w14:paraId="056B158D">
            <w:pPr>
              <w:widowControl/>
              <w:jc w:val="center"/>
              <w:outlineLvl w:val="1"/>
              <w:rPr>
                <w:rFonts w:hint="eastAsia" w:ascii="宋体" w:hAnsi="宋体" w:eastAsia="宋体" w:cs="宋体"/>
                <w:b/>
                <w:bCs/>
                <w:color w:val="auto"/>
                <w:kern w:val="0"/>
                <w:szCs w:val="21"/>
                <w:highlight w:val="none"/>
              </w:rPr>
            </w:pPr>
          </w:p>
        </w:tc>
      </w:tr>
      <w:tr w14:paraId="3439AB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76437F3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096F16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水利工程施工单位违反建设强制性标准</w:t>
            </w:r>
          </w:p>
        </w:tc>
        <w:tc>
          <w:tcPr>
            <w:tcW w:w="2981" w:type="dxa"/>
            <w:tcBorders>
              <w:top w:val="nil"/>
              <w:left w:val="nil"/>
              <w:bottom w:val="single" w:color="auto" w:sz="4" w:space="0"/>
              <w:right w:val="single" w:color="auto" w:sz="4" w:space="0"/>
            </w:tcBorders>
            <w:noWrap w:val="0"/>
            <w:vAlign w:val="center"/>
          </w:tcPr>
          <w:p w14:paraId="1238FD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处罚条款：第十八条，责令改正，处工程合同价款2％以上4％以下的罚款，情节严重的，责令停业整顿，降低资质等级或者吊销资质证书。</w:t>
            </w:r>
          </w:p>
        </w:tc>
        <w:tc>
          <w:tcPr>
            <w:tcW w:w="851" w:type="dxa"/>
            <w:tcBorders>
              <w:top w:val="nil"/>
              <w:left w:val="nil"/>
              <w:bottom w:val="single" w:color="auto" w:sz="4" w:space="0"/>
              <w:right w:val="single" w:color="auto" w:sz="4" w:space="0"/>
            </w:tcBorders>
            <w:noWrap w:val="0"/>
            <w:vAlign w:val="center"/>
          </w:tcPr>
          <w:p w14:paraId="73374BC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工程价款×2%</w:t>
            </w:r>
          </w:p>
        </w:tc>
        <w:tc>
          <w:tcPr>
            <w:tcW w:w="840" w:type="dxa"/>
            <w:tcBorders>
              <w:top w:val="nil"/>
              <w:left w:val="nil"/>
              <w:bottom w:val="single" w:color="auto" w:sz="4" w:space="0"/>
              <w:right w:val="single" w:color="auto" w:sz="4" w:space="0"/>
            </w:tcBorders>
            <w:noWrap/>
            <w:vAlign w:val="center"/>
          </w:tcPr>
          <w:p w14:paraId="506933A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60D8EA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施工标准与强制性标准存在偏差1处，系数为0；2.施工标准与强制性标准存在偏差2处，系数为0.5；3.施工标准与强制性标准存在偏差3处及以上或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6CBBF3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14:paraId="38C172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44EA395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868F296">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C2325700</w:t>
            </w:r>
          </w:p>
        </w:tc>
      </w:tr>
      <w:tr w14:paraId="4CBD2C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 w:hRule="atLeast"/>
        </w:trPr>
        <w:tc>
          <w:tcPr>
            <w:tcW w:w="13283" w:type="dxa"/>
            <w:gridSpan w:val="11"/>
            <w:tcBorders>
              <w:top w:val="nil"/>
              <w:left w:val="single" w:color="auto" w:sz="4" w:space="0"/>
              <w:bottom w:val="single" w:color="auto" w:sz="4" w:space="0"/>
              <w:right w:val="single" w:color="auto" w:sz="4" w:space="0"/>
            </w:tcBorders>
            <w:noWrap/>
            <w:vAlign w:val="center"/>
          </w:tcPr>
          <w:p w14:paraId="44FF2315">
            <w:pPr>
              <w:widowControl/>
              <w:jc w:val="center"/>
              <w:outlineLvl w:val="1"/>
              <w:rPr>
                <w:rFonts w:hint="eastAsia" w:ascii="宋体" w:hAnsi="宋体" w:eastAsia="宋体" w:cs="宋体"/>
                <w:color w:val="auto"/>
                <w:kern w:val="0"/>
                <w:szCs w:val="21"/>
                <w:highlight w:val="none"/>
              </w:rPr>
            </w:pPr>
            <w:bookmarkStart w:id="355" w:name="_Toc629926218"/>
            <w:bookmarkStart w:id="356" w:name="_Toc218468902"/>
            <w:r>
              <w:rPr>
                <w:rFonts w:hint="eastAsia" w:ascii="宋体" w:hAnsi="宋体" w:eastAsia="宋体" w:cs="宋体"/>
                <w:b/>
                <w:bCs/>
                <w:color w:val="auto"/>
                <w:kern w:val="0"/>
                <w:szCs w:val="21"/>
                <w:highlight w:val="none"/>
              </w:rPr>
              <w:t>《建设工程勘察质量管理办法》案由1项</w:t>
            </w:r>
            <w:bookmarkEnd w:id="355"/>
            <w:bookmarkEnd w:id="356"/>
          </w:p>
        </w:tc>
        <w:tc>
          <w:tcPr>
            <w:tcW w:w="3173" w:type="dxa"/>
            <w:gridSpan w:val="3"/>
            <w:tcBorders>
              <w:top w:val="nil"/>
              <w:left w:val="single" w:color="auto" w:sz="4" w:space="0"/>
              <w:bottom w:val="single" w:color="auto" w:sz="4" w:space="0"/>
              <w:right w:val="single" w:color="auto" w:sz="4" w:space="0"/>
            </w:tcBorders>
            <w:noWrap/>
            <w:vAlign w:val="center"/>
          </w:tcPr>
          <w:p w14:paraId="5058FDC3">
            <w:pPr>
              <w:widowControl/>
              <w:jc w:val="center"/>
              <w:outlineLvl w:val="1"/>
              <w:rPr>
                <w:rFonts w:hint="eastAsia" w:ascii="宋体" w:hAnsi="宋体" w:eastAsia="宋体" w:cs="宋体"/>
                <w:b/>
                <w:bCs/>
                <w:color w:val="auto"/>
                <w:kern w:val="0"/>
                <w:szCs w:val="21"/>
                <w:highlight w:val="none"/>
              </w:rPr>
            </w:pPr>
          </w:p>
        </w:tc>
      </w:tr>
      <w:tr w14:paraId="62BCEF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756A6AC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3723B4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工程勘察企业弄虚作假、提供虚假成果资料</w:t>
            </w:r>
          </w:p>
        </w:tc>
        <w:tc>
          <w:tcPr>
            <w:tcW w:w="2981" w:type="dxa"/>
            <w:tcBorders>
              <w:top w:val="nil"/>
              <w:left w:val="nil"/>
              <w:bottom w:val="single" w:color="auto" w:sz="4" w:space="0"/>
              <w:right w:val="single" w:color="auto" w:sz="4" w:space="0"/>
            </w:tcBorders>
            <w:noWrap w:val="0"/>
            <w:vAlign w:val="center"/>
          </w:tcPr>
          <w:p w14:paraId="588874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处罚条款：第二十三条，责令改正，处10万元以上30万元以下的罚款，造成工程质量事故的，责令停业整顿，降低资质等级，情节严重的，吊销资质证书。</w:t>
            </w:r>
          </w:p>
        </w:tc>
        <w:tc>
          <w:tcPr>
            <w:tcW w:w="851" w:type="dxa"/>
            <w:tcBorders>
              <w:top w:val="nil"/>
              <w:left w:val="nil"/>
              <w:bottom w:val="single" w:color="auto" w:sz="4" w:space="0"/>
              <w:right w:val="single" w:color="auto" w:sz="4" w:space="0"/>
            </w:tcBorders>
            <w:noWrap w:val="0"/>
            <w:vAlign w:val="center"/>
          </w:tcPr>
          <w:p w14:paraId="175C371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0C9D67B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EDE85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提供虚假成果材料1份，系数为0；每增加1份，系数加0.4；材料≥6份，系数为2；2.存在重大质量问题或造成生产安全事故，系数为2。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EBE9D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4F74EC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05D0AC9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6B7254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C2328800</w:t>
            </w:r>
          </w:p>
        </w:tc>
      </w:tr>
      <w:tr w14:paraId="7385A3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14:paraId="520E5FC5">
            <w:pPr>
              <w:widowControl/>
              <w:jc w:val="center"/>
              <w:outlineLvl w:val="1"/>
              <w:rPr>
                <w:rFonts w:hint="eastAsia" w:ascii="宋体" w:hAnsi="宋体" w:eastAsia="宋体" w:cs="宋体"/>
                <w:color w:val="auto"/>
                <w:kern w:val="0"/>
                <w:szCs w:val="21"/>
                <w:highlight w:val="none"/>
              </w:rPr>
            </w:pPr>
            <w:bookmarkStart w:id="357" w:name="_Toc218468903"/>
            <w:bookmarkStart w:id="358" w:name="_Toc54520453"/>
            <w:r>
              <w:rPr>
                <w:rFonts w:hint="eastAsia" w:ascii="宋体" w:hAnsi="宋体" w:eastAsia="宋体" w:cs="宋体"/>
                <w:b/>
                <w:bCs/>
                <w:color w:val="auto"/>
                <w:kern w:val="0"/>
                <w:szCs w:val="21"/>
                <w:highlight w:val="none"/>
              </w:rPr>
              <w:t>《北京市建设工程质量条例》案由28项</w:t>
            </w:r>
            <w:bookmarkEnd w:id="357"/>
            <w:bookmarkEnd w:id="358"/>
          </w:p>
        </w:tc>
        <w:tc>
          <w:tcPr>
            <w:tcW w:w="3173" w:type="dxa"/>
            <w:gridSpan w:val="3"/>
            <w:tcBorders>
              <w:top w:val="nil"/>
              <w:left w:val="single" w:color="auto" w:sz="4" w:space="0"/>
              <w:bottom w:val="single" w:color="auto" w:sz="4" w:space="0"/>
              <w:right w:val="single" w:color="auto" w:sz="4" w:space="0"/>
            </w:tcBorders>
            <w:noWrap/>
            <w:vAlign w:val="center"/>
          </w:tcPr>
          <w:p w14:paraId="274CDFAA">
            <w:pPr>
              <w:widowControl/>
              <w:jc w:val="center"/>
              <w:outlineLvl w:val="1"/>
              <w:rPr>
                <w:rFonts w:hint="eastAsia" w:ascii="宋体" w:hAnsi="宋体" w:eastAsia="宋体" w:cs="宋体"/>
                <w:b/>
                <w:bCs/>
                <w:color w:val="auto"/>
                <w:kern w:val="0"/>
                <w:szCs w:val="21"/>
                <w:highlight w:val="none"/>
              </w:rPr>
            </w:pPr>
          </w:p>
        </w:tc>
      </w:tr>
      <w:tr w14:paraId="5A223C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36436B7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5A39C9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建设单位未及时出具撤销保函申请书或者返还保证金</w:t>
            </w:r>
          </w:p>
        </w:tc>
        <w:tc>
          <w:tcPr>
            <w:tcW w:w="2981" w:type="dxa"/>
            <w:tcBorders>
              <w:top w:val="nil"/>
              <w:left w:val="nil"/>
              <w:bottom w:val="single" w:color="auto" w:sz="4" w:space="0"/>
              <w:right w:val="single" w:color="auto" w:sz="4" w:space="0"/>
            </w:tcBorders>
            <w:noWrap w:val="0"/>
            <w:vAlign w:val="center"/>
          </w:tcPr>
          <w:p w14:paraId="061FC9B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违反条款：第六十四条第三款；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处罚条款：第一百零一条，责令限期改正，逾期未改正的，处10万元以上50万元以下的罚款。</w:t>
            </w:r>
          </w:p>
        </w:tc>
        <w:tc>
          <w:tcPr>
            <w:tcW w:w="851" w:type="dxa"/>
            <w:tcBorders>
              <w:top w:val="nil"/>
              <w:left w:val="nil"/>
              <w:bottom w:val="single" w:color="auto" w:sz="4" w:space="0"/>
              <w:right w:val="single" w:color="auto" w:sz="4" w:space="0"/>
            </w:tcBorders>
            <w:noWrap w:val="0"/>
            <w:vAlign w:val="center"/>
          </w:tcPr>
          <w:p w14:paraId="5E179EE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5843139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2F1C0171">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1.逾期撤销或返还＜5天，系数为0；2.5天≤逾期撤销或返还＜10天，系数为1；3.10天≤逾期撤销或返还＜15天，系数为2；4.15天≤逾期撤销或返还＜20天，系数为3；5.20天≤逾期撤销或返还或造成</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2376C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4B48DD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24F6E1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B59257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C2346200</w:t>
            </w:r>
          </w:p>
        </w:tc>
      </w:tr>
      <w:tr w14:paraId="790DCE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631BA55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679ED4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建设、施工、监理单位未在3日内报告涉及结构安全的重大工程质量问题</w:t>
            </w:r>
          </w:p>
        </w:tc>
        <w:tc>
          <w:tcPr>
            <w:tcW w:w="2981" w:type="dxa"/>
            <w:tcBorders>
              <w:top w:val="nil"/>
              <w:left w:val="nil"/>
              <w:bottom w:val="single" w:color="auto" w:sz="4" w:space="0"/>
              <w:right w:val="single" w:color="auto" w:sz="4" w:space="0"/>
            </w:tcBorders>
            <w:noWrap w:val="0"/>
            <w:vAlign w:val="center"/>
          </w:tcPr>
          <w:p w14:paraId="192D669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处罚条款：第九十二条，责令改正，处3万元以上10万元以下的罚款。</w:t>
            </w:r>
          </w:p>
        </w:tc>
        <w:tc>
          <w:tcPr>
            <w:tcW w:w="851" w:type="dxa"/>
            <w:tcBorders>
              <w:top w:val="nil"/>
              <w:left w:val="nil"/>
              <w:bottom w:val="single" w:color="auto" w:sz="4" w:space="0"/>
              <w:right w:val="single" w:color="auto" w:sz="4" w:space="0"/>
            </w:tcBorders>
            <w:noWrap w:val="0"/>
            <w:vAlign w:val="center"/>
          </w:tcPr>
          <w:p w14:paraId="1DE4658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1BAEB30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770B4DF7">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1.逾期上报＜1日，系数为0；2.1日≤逾期上报＜3日，系数为1；3.3日≤逾期上报＜5日，系数为2；4.5日≤逾期上报或造成</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恶劣影响，系数为3。5.存在基准2.1.3规定情形的，系数按照相关规定确定（基准2.1.3.5不适用）。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FE6EC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14:paraId="5C6998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F2B328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672F21A">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C2346500</w:t>
            </w:r>
          </w:p>
        </w:tc>
      </w:tr>
      <w:tr w14:paraId="51E988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1358849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34E8FE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施工单位使用未经监理单位审查的建筑材料、建筑构配件和设备、预拌混凝土、混凝土预制构件及有关专业工程材料</w:t>
            </w:r>
          </w:p>
        </w:tc>
        <w:tc>
          <w:tcPr>
            <w:tcW w:w="2981" w:type="dxa"/>
            <w:tcBorders>
              <w:top w:val="nil"/>
              <w:left w:val="nil"/>
              <w:bottom w:val="single" w:color="auto" w:sz="4" w:space="0"/>
              <w:right w:val="single" w:color="auto" w:sz="4" w:space="0"/>
            </w:tcBorders>
            <w:noWrap w:val="0"/>
            <w:vAlign w:val="center"/>
          </w:tcPr>
          <w:p w14:paraId="3D0C0C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处罚条款：第八十七条第（一）项，责令改正，处3万元以上10万元以下的罚款；造成质量事故的，责令停业整顿，降低资质等级或者吊销资质证书。</w:t>
            </w:r>
          </w:p>
        </w:tc>
        <w:tc>
          <w:tcPr>
            <w:tcW w:w="851" w:type="dxa"/>
            <w:tcBorders>
              <w:top w:val="nil"/>
              <w:left w:val="nil"/>
              <w:bottom w:val="single" w:color="auto" w:sz="4" w:space="0"/>
              <w:right w:val="single" w:color="auto" w:sz="4" w:space="0"/>
            </w:tcBorders>
            <w:noWrap w:val="0"/>
            <w:vAlign w:val="center"/>
          </w:tcPr>
          <w:p w14:paraId="3009718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291B86A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05891824">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施工合同价款＜1000万元，系数为0；2.1000万元≤施工合同价款＜3000万元，系数为1；3.3000万元≤施工合同价款＜5000万元，系数为2；4.5000万元≤施工合同价款或存在重大质量问题或造成生产安全事故，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3AC90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14:paraId="674B224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566158A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878221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C2346700</w:t>
            </w:r>
          </w:p>
        </w:tc>
      </w:tr>
      <w:tr w14:paraId="564714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001B49B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3485566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施工单位对送检样品或者进场检验弄虚作假</w:t>
            </w:r>
          </w:p>
        </w:tc>
        <w:tc>
          <w:tcPr>
            <w:tcW w:w="2981" w:type="dxa"/>
            <w:tcBorders>
              <w:top w:val="nil"/>
              <w:left w:val="nil"/>
              <w:bottom w:val="single" w:color="auto" w:sz="4" w:space="0"/>
              <w:right w:val="single" w:color="auto" w:sz="4" w:space="0"/>
            </w:tcBorders>
            <w:noWrap w:val="0"/>
            <w:vAlign w:val="center"/>
          </w:tcPr>
          <w:p w14:paraId="33E9CE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处罚条款：第八十七条第（二）项，责令改正，处3万元以上10万元以下的罚款；造成质量事故的，责令停业整顿，降低资质等级或者吊销资质证书。</w:t>
            </w:r>
          </w:p>
        </w:tc>
        <w:tc>
          <w:tcPr>
            <w:tcW w:w="851" w:type="dxa"/>
            <w:tcBorders>
              <w:top w:val="nil"/>
              <w:left w:val="nil"/>
              <w:bottom w:val="single" w:color="auto" w:sz="4" w:space="0"/>
              <w:right w:val="single" w:color="auto" w:sz="4" w:space="0"/>
            </w:tcBorders>
            <w:noWrap w:val="0"/>
            <w:vAlign w:val="center"/>
          </w:tcPr>
          <w:p w14:paraId="41EFD19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10C4000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5843A402">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弄虚作假1次，系数为0；2.弄虚作假2次，系数为1；3.弄虚作假3次，系数为2；4.弄虚作假4次及以上或存在重大质量问题或造成生产安全事故，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5EFF4B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14:paraId="16C0F2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74C659C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463EA2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C2346700</w:t>
            </w:r>
          </w:p>
        </w:tc>
      </w:tr>
      <w:tr w14:paraId="7D9855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60" w:hRule="atLeast"/>
        </w:trPr>
        <w:tc>
          <w:tcPr>
            <w:tcW w:w="716" w:type="dxa"/>
            <w:gridSpan w:val="2"/>
            <w:tcBorders>
              <w:top w:val="nil"/>
              <w:left w:val="single" w:color="auto" w:sz="4" w:space="0"/>
              <w:bottom w:val="single" w:color="auto" w:sz="4" w:space="0"/>
              <w:right w:val="single" w:color="auto" w:sz="4" w:space="0"/>
            </w:tcBorders>
            <w:noWrap/>
            <w:vAlign w:val="center"/>
          </w:tcPr>
          <w:p w14:paraId="53A5BAD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14:paraId="327D4A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施工单位对隐蔽工程、检验批、分项工程、分部工程未经监理单位验收或者验收不合格，进行下一工序施工</w:t>
            </w:r>
          </w:p>
        </w:tc>
        <w:tc>
          <w:tcPr>
            <w:tcW w:w="2981" w:type="dxa"/>
            <w:tcBorders>
              <w:top w:val="nil"/>
              <w:left w:val="nil"/>
              <w:bottom w:val="single" w:color="auto" w:sz="4" w:space="0"/>
              <w:right w:val="single" w:color="auto" w:sz="4" w:space="0"/>
            </w:tcBorders>
            <w:noWrap w:val="0"/>
            <w:vAlign w:val="center"/>
          </w:tcPr>
          <w:p w14:paraId="43E0399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处罚条款：第八十七条第（三）项，责令改正，处3万元以上10万元以下的罚款；造成质量事故的，责令停业整顿，降低资质等级或者吊销资质证书。</w:t>
            </w:r>
          </w:p>
        </w:tc>
        <w:tc>
          <w:tcPr>
            <w:tcW w:w="851" w:type="dxa"/>
            <w:tcBorders>
              <w:top w:val="nil"/>
              <w:left w:val="nil"/>
              <w:bottom w:val="single" w:color="auto" w:sz="4" w:space="0"/>
              <w:right w:val="single" w:color="auto" w:sz="4" w:space="0"/>
            </w:tcBorders>
            <w:noWrap w:val="0"/>
            <w:vAlign w:val="center"/>
          </w:tcPr>
          <w:p w14:paraId="421A095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3248079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7952607F">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施工合同价款＜1000万元，系数为0；2.1000万元≤施工合同价款＜3000万元，系数为1；3.3000万元≤施工合同价款＜5000万元，系数为2；4.5000万元≤施工合同价款或存在重大质量问题或造成生产安全事故，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ED3C3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14:paraId="067F26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64CFD6D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340878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C2346700</w:t>
            </w:r>
          </w:p>
        </w:tc>
      </w:tr>
      <w:tr w14:paraId="77CB14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05EA8EA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14:paraId="4A4F9E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监理单位未对关键部位和关键工序进行旁站，或者见证过程弄虚作假</w:t>
            </w:r>
          </w:p>
        </w:tc>
        <w:tc>
          <w:tcPr>
            <w:tcW w:w="2981" w:type="dxa"/>
            <w:tcBorders>
              <w:top w:val="nil"/>
              <w:left w:val="nil"/>
              <w:bottom w:val="single" w:color="auto" w:sz="4" w:space="0"/>
              <w:right w:val="single" w:color="auto" w:sz="4" w:space="0"/>
            </w:tcBorders>
            <w:noWrap w:val="0"/>
            <w:vAlign w:val="center"/>
          </w:tcPr>
          <w:p w14:paraId="152E8DE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处罚条款：第八十五条，责令改正，处3万元以上10万元以下的罚款。</w:t>
            </w:r>
          </w:p>
        </w:tc>
        <w:tc>
          <w:tcPr>
            <w:tcW w:w="851" w:type="dxa"/>
            <w:tcBorders>
              <w:top w:val="nil"/>
              <w:left w:val="nil"/>
              <w:bottom w:val="single" w:color="auto" w:sz="4" w:space="0"/>
              <w:right w:val="single" w:color="auto" w:sz="4" w:space="0"/>
            </w:tcBorders>
            <w:noWrap w:val="0"/>
            <w:vAlign w:val="center"/>
          </w:tcPr>
          <w:p w14:paraId="05C298D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0B8DB3B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28908BA6">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旁站或见证过程弄虚作假1次，系数为0；2.未旁站或见证过程弄虚作假2次，系数为1；3.未旁站或见证过程弄虚作假3次，系数为2；4.未旁站或见证过程弄虚作假4次及以上或存在重大质量问题或造成生产安全事故，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BD295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14:paraId="0AE278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083919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5B1DEF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C2346800</w:t>
            </w:r>
          </w:p>
        </w:tc>
      </w:tr>
      <w:tr w14:paraId="262F6F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68ADFBF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14:paraId="2E3947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相关单位未按规定签署工程质量终身责任承诺书</w:t>
            </w:r>
          </w:p>
        </w:tc>
        <w:tc>
          <w:tcPr>
            <w:tcW w:w="2981" w:type="dxa"/>
            <w:tcBorders>
              <w:top w:val="nil"/>
              <w:left w:val="nil"/>
              <w:bottom w:val="single" w:color="auto" w:sz="4" w:space="0"/>
              <w:right w:val="single" w:color="auto" w:sz="4" w:space="0"/>
            </w:tcBorders>
            <w:noWrap w:val="0"/>
            <w:vAlign w:val="center"/>
          </w:tcPr>
          <w:p w14:paraId="7EE47F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违反条款：第十六条第二款、第十八条第二款；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处罚条款：责令限期改正，逾期未改正的，处1万元以上3万元以下的罚款。</w:t>
            </w:r>
          </w:p>
        </w:tc>
        <w:tc>
          <w:tcPr>
            <w:tcW w:w="851" w:type="dxa"/>
            <w:tcBorders>
              <w:top w:val="nil"/>
              <w:left w:val="nil"/>
              <w:bottom w:val="single" w:color="auto" w:sz="4" w:space="0"/>
              <w:right w:val="single" w:color="auto" w:sz="4" w:space="0"/>
            </w:tcBorders>
            <w:noWrap w:val="0"/>
            <w:vAlign w:val="center"/>
          </w:tcPr>
          <w:p w14:paraId="65CEA0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55226BB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5DCEE962">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1.逾期签署＜5天，系数为0；2.5天≤逾期签署＜10天，系数为1；3.10天≤逾期签署或存在重大质量问题或造成生产安全事故，系数为2。4.存在基准2.1.3规定情形的，系数按照相关规定确定（基准2.1.3.5不适用）。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5D7E39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7AAE304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0B735C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D4D333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C2346900</w:t>
            </w:r>
          </w:p>
        </w:tc>
      </w:tr>
      <w:tr w14:paraId="659F23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4B8A5AB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14:paraId="01F8E7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建设单位未提交工程质量终身责任承诺书</w:t>
            </w:r>
          </w:p>
        </w:tc>
        <w:tc>
          <w:tcPr>
            <w:tcW w:w="2981" w:type="dxa"/>
            <w:tcBorders>
              <w:top w:val="nil"/>
              <w:left w:val="nil"/>
              <w:bottom w:val="single" w:color="auto" w:sz="4" w:space="0"/>
              <w:right w:val="single" w:color="auto" w:sz="4" w:space="0"/>
            </w:tcBorders>
            <w:noWrap w:val="0"/>
            <w:vAlign w:val="center"/>
          </w:tcPr>
          <w:p w14:paraId="20B0AEE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处罚条款：责令限期改正，逾期未改正的，处1万元以上3万元以下的罚款。</w:t>
            </w:r>
          </w:p>
        </w:tc>
        <w:tc>
          <w:tcPr>
            <w:tcW w:w="851" w:type="dxa"/>
            <w:tcBorders>
              <w:top w:val="nil"/>
              <w:left w:val="nil"/>
              <w:bottom w:val="single" w:color="auto" w:sz="4" w:space="0"/>
              <w:right w:val="single" w:color="auto" w:sz="4" w:space="0"/>
            </w:tcBorders>
            <w:noWrap w:val="0"/>
            <w:vAlign w:val="center"/>
          </w:tcPr>
          <w:p w14:paraId="1FA6EE1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4B8B37D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0E8F8FE2">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提交工程质量终身责任承诺书＜5天，系数为0；2.5天≤逾期提交工程质量终身责任承诺书＜10天，系数为1；3.10天≤逾期提交工程质量终身责任承诺书或存在重大质量问题或造成生产安全事故，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41F68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6D8EE85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80B52B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4D0A83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C2346900</w:t>
            </w:r>
          </w:p>
        </w:tc>
      </w:tr>
      <w:tr w14:paraId="06DA85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38C0278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vMerge w:val="restart"/>
            <w:tcBorders>
              <w:top w:val="nil"/>
              <w:left w:val="single" w:color="auto" w:sz="4" w:space="0"/>
              <w:bottom w:val="single" w:color="auto" w:sz="4" w:space="0"/>
              <w:right w:val="single" w:color="auto" w:sz="4" w:space="0"/>
            </w:tcBorders>
            <w:noWrap w:val="0"/>
            <w:vAlign w:val="center"/>
          </w:tcPr>
          <w:p w14:paraId="0673738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建设、施工、监理等单位在单位工程质量竣工验收中将不合格工程按照合格验收</w:t>
            </w:r>
          </w:p>
        </w:tc>
        <w:tc>
          <w:tcPr>
            <w:tcW w:w="2981" w:type="dxa"/>
            <w:vMerge w:val="restart"/>
            <w:tcBorders>
              <w:top w:val="nil"/>
              <w:left w:val="single" w:color="auto" w:sz="4" w:space="0"/>
              <w:bottom w:val="single" w:color="auto" w:sz="4" w:space="0"/>
              <w:right w:val="single" w:color="auto" w:sz="4" w:space="0"/>
            </w:tcBorders>
            <w:noWrap w:val="0"/>
            <w:vAlign w:val="center"/>
          </w:tcPr>
          <w:p w14:paraId="4444338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处罚条款：第九十三条第一款，责令改正，对建设单位处单位工程合同价款百分之二以上百分之四以下的罚款，对负有责任的施工、监理单位处10万元以上20万元以下的罚款。</w:t>
            </w:r>
          </w:p>
        </w:tc>
        <w:tc>
          <w:tcPr>
            <w:tcW w:w="851" w:type="dxa"/>
            <w:tcBorders>
              <w:top w:val="nil"/>
              <w:left w:val="nil"/>
              <w:bottom w:val="single" w:color="auto" w:sz="4" w:space="0"/>
              <w:right w:val="single" w:color="auto" w:sz="4" w:space="0"/>
            </w:tcBorders>
            <w:noWrap w:val="0"/>
            <w:vAlign w:val="center"/>
          </w:tcPr>
          <w:p w14:paraId="04D49D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单位工程合同价款×2%</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（建设单位）</w:t>
            </w:r>
          </w:p>
        </w:tc>
        <w:tc>
          <w:tcPr>
            <w:tcW w:w="840" w:type="dxa"/>
            <w:tcBorders>
              <w:top w:val="nil"/>
              <w:left w:val="nil"/>
              <w:bottom w:val="single" w:color="auto" w:sz="4" w:space="0"/>
              <w:right w:val="single" w:color="auto" w:sz="4" w:space="0"/>
            </w:tcBorders>
            <w:noWrap/>
            <w:vAlign w:val="center"/>
          </w:tcPr>
          <w:p w14:paraId="5FECB56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26F95FA4">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涉及重要隐蔽单元工程和关键部位单元工程的，系数为0；2.涉及重要隐蔽单元工程和关键部位单元工程的，系数为0.5；3.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85E86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631BC0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341934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58F0A2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C2347200</w:t>
            </w:r>
          </w:p>
        </w:tc>
      </w:tr>
      <w:tr w14:paraId="512B83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7E7FF603">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7C260A90">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424F9606">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4853C2F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（施工、监理单位）</w:t>
            </w:r>
          </w:p>
        </w:tc>
        <w:tc>
          <w:tcPr>
            <w:tcW w:w="840" w:type="dxa"/>
            <w:tcBorders>
              <w:top w:val="nil"/>
              <w:left w:val="nil"/>
              <w:bottom w:val="single" w:color="auto" w:sz="4" w:space="0"/>
              <w:right w:val="single" w:color="auto" w:sz="4" w:space="0"/>
            </w:tcBorders>
            <w:noWrap/>
            <w:vAlign w:val="center"/>
          </w:tcPr>
          <w:p w14:paraId="475429B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5026E1FB">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按照合格验收的不合格单元工程1处，系数为0；每增加1处，系数加0.2；不合格单元工程≥6处，系数为1。2.存在重大质量问题或造成生产安全事故，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1C94E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66DEBDD2">
            <w:pPr>
              <w:widowControl/>
              <w:jc w:val="left"/>
              <w:rPr>
                <w:rFonts w:hint="eastAsia" w:ascii="宋体" w:hAnsi="宋体" w:eastAsia="宋体" w:cs="宋体"/>
                <w:color w:val="auto"/>
                <w:kern w:val="0"/>
                <w:sz w:val="15"/>
                <w:szCs w:val="15"/>
                <w:highlight w:val="none"/>
              </w:rPr>
            </w:pPr>
          </w:p>
        </w:tc>
        <w:tc>
          <w:tcPr>
            <w:tcW w:w="1304" w:type="dxa"/>
            <w:gridSpan w:val="2"/>
            <w:tcBorders>
              <w:top w:val="nil"/>
              <w:left w:val="nil"/>
              <w:bottom w:val="single" w:color="auto" w:sz="4" w:space="0"/>
              <w:right w:val="single" w:color="auto" w:sz="4" w:space="0"/>
            </w:tcBorders>
            <w:noWrap w:val="0"/>
            <w:vAlign w:val="center"/>
          </w:tcPr>
          <w:p w14:paraId="511A34B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A5738C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C2347200</w:t>
            </w:r>
          </w:p>
        </w:tc>
      </w:tr>
      <w:tr w14:paraId="7558F0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2754556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14:paraId="7D92880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建设单位未按照规定设置永久性标识</w:t>
            </w:r>
          </w:p>
        </w:tc>
        <w:tc>
          <w:tcPr>
            <w:tcW w:w="2981" w:type="dxa"/>
            <w:tcBorders>
              <w:top w:val="nil"/>
              <w:left w:val="nil"/>
              <w:bottom w:val="single" w:color="auto" w:sz="4" w:space="0"/>
              <w:right w:val="single" w:color="auto" w:sz="4" w:space="0"/>
            </w:tcBorders>
            <w:noWrap w:val="0"/>
            <w:vAlign w:val="center"/>
          </w:tcPr>
          <w:p w14:paraId="279D52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处罚条款：第九十五条，责令限期改正，逾期未改正的，处3万元的罚款。</w:t>
            </w:r>
          </w:p>
        </w:tc>
        <w:tc>
          <w:tcPr>
            <w:tcW w:w="851" w:type="dxa"/>
            <w:tcBorders>
              <w:top w:val="nil"/>
              <w:left w:val="nil"/>
              <w:bottom w:val="single" w:color="auto" w:sz="4" w:space="0"/>
              <w:right w:val="single" w:color="auto" w:sz="4" w:space="0"/>
            </w:tcBorders>
            <w:noWrap w:val="0"/>
            <w:vAlign w:val="center"/>
          </w:tcPr>
          <w:p w14:paraId="727459C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44F3D8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379F3FAF">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处3万元的罚款。</w:t>
            </w:r>
          </w:p>
        </w:tc>
        <w:tc>
          <w:tcPr>
            <w:tcW w:w="1879" w:type="dxa"/>
            <w:gridSpan w:val="3"/>
            <w:tcBorders>
              <w:top w:val="nil"/>
              <w:left w:val="nil"/>
              <w:bottom w:val="single" w:color="auto" w:sz="4" w:space="0"/>
              <w:right w:val="single" w:color="auto" w:sz="4" w:space="0"/>
            </w:tcBorders>
            <w:noWrap w:val="0"/>
            <w:vAlign w:val="center"/>
          </w:tcPr>
          <w:p w14:paraId="6D96EC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w:t>
            </w:r>
          </w:p>
        </w:tc>
        <w:tc>
          <w:tcPr>
            <w:tcW w:w="2016" w:type="dxa"/>
            <w:tcBorders>
              <w:top w:val="nil"/>
              <w:left w:val="nil"/>
              <w:bottom w:val="single" w:color="auto" w:sz="4" w:space="0"/>
              <w:right w:val="single" w:color="auto" w:sz="4" w:space="0"/>
            </w:tcBorders>
            <w:noWrap w:val="0"/>
            <w:vAlign w:val="center"/>
          </w:tcPr>
          <w:p w14:paraId="1678B6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3864F3F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7841B8A">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C2347600</w:t>
            </w:r>
          </w:p>
        </w:tc>
      </w:tr>
      <w:tr w14:paraId="0740FB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34F857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4" w:type="dxa"/>
            <w:tcBorders>
              <w:top w:val="nil"/>
              <w:left w:val="nil"/>
              <w:bottom w:val="single" w:color="auto" w:sz="4" w:space="0"/>
              <w:right w:val="single" w:color="auto" w:sz="4" w:space="0"/>
            </w:tcBorders>
            <w:noWrap w:val="0"/>
            <w:vAlign w:val="center"/>
          </w:tcPr>
          <w:p w14:paraId="4D9419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监理单位将不合格的隐蔽工程、检验批、分项工程和分部工程按照合格进行验收，或者在单位工程质量竣工预验收中将质量不合格工程按照质量合格工程预验收</w:t>
            </w:r>
          </w:p>
        </w:tc>
        <w:tc>
          <w:tcPr>
            <w:tcW w:w="2981" w:type="dxa"/>
            <w:tcBorders>
              <w:top w:val="nil"/>
              <w:left w:val="nil"/>
              <w:bottom w:val="single" w:color="auto" w:sz="4" w:space="0"/>
              <w:right w:val="single" w:color="auto" w:sz="4" w:space="0"/>
            </w:tcBorders>
            <w:noWrap w:val="0"/>
            <w:vAlign w:val="center"/>
          </w:tcPr>
          <w:p w14:paraId="1601384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违反条款：第四十四条第二款、第四十七条第一款；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处罚条款：第九十一条，责令改正，处3万元以上10万元以下的罚款。</w:t>
            </w:r>
          </w:p>
        </w:tc>
        <w:tc>
          <w:tcPr>
            <w:tcW w:w="851" w:type="dxa"/>
            <w:tcBorders>
              <w:top w:val="nil"/>
              <w:left w:val="nil"/>
              <w:bottom w:val="single" w:color="auto" w:sz="4" w:space="0"/>
              <w:right w:val="single" w:color="auto" w:sz="4" w:space="0"/>
            </w:tcBorders>
            <w:noWrap w:val="0"/>
            <w:vAlign w:val="center"/>
          </w:tcPr>
          <w:p w14:paraId="16872D9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3103C40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299141B0">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监理合同价款＜50万，系数为0；2.50万≤监理合同价款＜120万，系数为1；3.120万≤监理合同价款，系数为2；4.存在重大质量问题或造成生产安全事故，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BBA5E7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14:paraId="338CE1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B2897E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4351CA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C2347800</w:t>
            </w:r>
          </w:p>
        </w:tc>
      </w:tr>
      <w:tr w14:paraId="31BFF6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69D435A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4" w:type="dxa"/>
            <w:tcBorders>
              <w:top w:val="nil"/>
              <w:left w:val="nil"/>
              <w:bottom w:val="single" w:color="auto" w:sz="4" w:space="0"/>
              <w:right w:val="single" w:color="auto" w:sz="4" w:space="0"/>
            </w:tcBorders>
            <w:noWrap w:val="0"/>
            <w:vAlign w:val="center"/>
          </w:tcPr>
          <w:p w14:paraId="7BEA2B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施工单位不执行监理单位停工整改要求</w:t>
            </w:r>
          </w:p>
        </w:tc>
        <w:tc>
          <w:tcPr>
            <w:tcW w:w="2981" w:type="dxa"/>
            <w:tcBorders>
              <w:top w:val="nil"/>
              <w:left w:val="nil"/>
              <w:bottom w:val="single" w:color="auto" w:sz="4" w:space="0"/>
              <w:right w:val="single" w:color="auto" w:sz="4" w:space="0"/>
            </w:tcBorders>
            <w:noWrap w:val="0"/>
            <w:vAlign w:val="center"/>
          </w:tcPr>
          <w:p w14:paraId="49057E7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处罚条款：第九十条第二款，责令改正，处3万元以上10万元以下的罚款。</w:t>
            </w:r>
          </w:p>
        </w:tc>
        <w:tc>
          <w:tcPr>
            <w:tcW w:w="851" w:type="dxa"/>
            <w:tcBorders>
              <w:top w:val="nil"/>
              <w:left w:val="nil"/>
              <w:bottom w:val="single" w:color="auto" w:sz="4" w:space="0"/>
              <w:right w:val="single" w:color="auto" w:sz="4" w:space="0"/>
            </w:tcBorders>
            <w:noWrap w:val="0"/>
            <w:vAlign w:val="center"/>
          </w:tcPr>
          <w:p w14:paraId="1CCF17A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2DC9264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62C4C9F9">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3000万，系数为0；2.3000万≤工程合同价款＜5000万，系数为1；3.5000万≤工程合同价款，系数为2；4.存在重大质量问题或造成生产安全事故，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48DEEB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14:paraId="2C4726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C83D3D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C30CCC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C2348200</w:t>
            </w:r>
          </w:p>
        </w:tc>
      </w:tr>
      <w:tr w14:paraId="6B2171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2931DE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4" w:type="dxa"/>
            <w:tcBorders>
              <w:top w:val="nil"/>
              <w:left w:val="nil"/>
              <w:bottom w:val="single" w:color="auto" w:sz="4" w:space="0"/>
              <w:right w:val="single" w:color="auto" w:sz="4" w:space="0"/>
            </w:tcBorders>
            <w:noWrap w:val="0"/>
            <w:vAlign w:val="center"/>
          </w:tcPr>
          <w:p w14:paraId="4C082D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任意压缩合理勘察、设计周期或者施工工期</w:t>
            </w:r>
          </w:p>
        </w:tc>
        <w:tc>
          <w:tcPr>
            <w:tcW w:w="2981" w:type="dxa"/>
            <w:tcBorders>
              <w:top w:val="nil"/>
              <w:left w:val="nil"/>
              <w:bottom w:val="single" w:color="auto" w:sz="4" w:space="0"/>
              <w:right w:val="single" w:color="auto" w:sz="4" w:space="0"/>
            </w:tcBorders>
            <w:noWrap w:val="0"/>
            <w:vAlign w:val="center"/>
          </w:tcPr>
          <w:p w14:paraId="64FDD2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处罚条款：第九十九条，责令改正，处20万元以上50万元以下的罚款。</w:t>
            </w:r>
          </w:p>
        </w:tc>
        <w:tc>
          <w:tcPr>
            <w:tcW w:w="851" w:type="dxa"/>
            <w:tcBorders>
              <w:top w:val="nil"/>
              <w:left w:val="nil"/>
              <w:bottom w:val="single" w:color="auto" w:sz="4" w:space="0"/>
              <w:right w:val="single" w:color="auto" w:sz="4" w:space="0"/>
            </w:tcBorders>
            <w:noWrap w:val="0"/>
            <w:vAlign w:val="center"/>
          </w:tcPr>
          <w:p w14:paraId="17040AD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08B3B63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647AEAA3">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压缩合理工期＜10%，系数为0；2.10%≤压缩合理工期＜15%，系数为0.3；3.15%≤压缩合理工期＜20%，系数为0.6；4.20%≤压缩合理工期＜25%，系数为0.9；5.25%≤压缩合理工期＜30%，系数为1.2；6.30%≤压缩合理工期，系数为 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077142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14:paraId="6DAFB7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3C08B60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0DA16C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C2348300</w:t>
            </w:r>
          </w:p>
        </w:tc>
      </w:tr>
      <w:tr w14:paraId="64F323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3321127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4" w:type="dxa"/>
            <w:tcBorders>
              <w:top w:val="nil"/>
              <w:left w:val="nil"/>
              <w:bottom w:val="single" w:color="auto" w:sz="4" w:space="0"/>
              <w:right w:val="single" w:color="auto" w:sz="4" w:space="0"/>
            </w:tcBorders>
            <w:noWrap w:val="0"/>
            <w:vAlign w:val="center"/>
          </w:tcPr>
          <w:p w14:paraId="6DDB2C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篡改或者伪造检测报告</w:t>
            </w:r>
          </w:p>
        </w:tc>
        <w:tc>
          <w:tcPr>
            <w:tcW w:w="2981" w:type="dxa"/>
            <w:tcBorders>
              <w:top w:val="nil"/>
              <w:left w:val="nil"/>
              <w:bottom w:val="single" w:color="auto" w:sz="4" w:space="0"/>
              <w:right w:val="single" w:color="auto" w:sz="4" w:space="0"/>
            </w:tcBorders>
            <w:noWrap w:val="0"/>
            <w:vAlign w:val="center"/>
          </w:tcPr>
          <w:p w14:paraId="5D88B2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处罚条款：第八十九条，责令改正，处3万元以上10万元以下的罚款。</w:t>
            </w:r>
          </w:p>
        </w:tc>
        <w:tc>
          <w:tcPr>
            <w:tcW w:w="851" w:type="dxa"/>
            <w:tcBorders>
              <w:top w:val="nil"/>
              <w:left w:val="nil"/>
              <w:bottom w:val="single" w:color="auto" w:sz="4" w:space="0"/>
              <w:right w:val="single" w:color="auto" w:sz="4" w:space="0"/>
            </w:tcBorders>
            <w:noWrap w:val="0"/>
            <w:vAlign w:val="center"/>
          </w:tcPr>
          <w:p w14:paraId="114B688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2B248DC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7D3E1544">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篡改或伪造检测报告1份，系数为0；2.篡改或伪造检测报告2份，系数为1；3.篡改或伪造检测报告3份，系数为2；4.篡改或伪造检测报告4份及以上或存在重大质量问题或造成生产安全事故，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7C1B02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14:paraId="20BF1BC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5645094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2601A5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C2348500</w:t>
            </w:r>
          </w:p>
        </w:tc>
      </w:tr>
      <w:tr w14:paraId="2C5A7A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66151E7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4" w:type="dxa"/>
            <w:tcBorders>
              <w:top w:val="nil"/>
              <w:left w:val="nil"/>
              <w:bottom w:val="single" w:color="auto" w:sz="4" w:space="0"/>
              <w:right w:val="single" w:color="auto" w:sz="4" w:space="0"/>
            </w:tcBorders>
            <w:noWrap w:val="0"/>
            <w:vAlign w:val="center"/>
          </w:tcPr>
          <w:p w14:paraId="785394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建设单位未履行质量保修义务</w:t>
            </w:r>
          </w:p>
        </w:tc>
        <w:tc>
          <w:tcPr>
            <w:tcW w:w="2981" w:type="dxa"/>
            <w:tcBorders>
              <w:top w:val="nil"/>
              <w:left w:val="nil"/>
              <w:bottom w:val="single" w:color="auto" w:sz="4" w:space="0"/>
              <w:right w:val="single" w:color="auto" w:sz="4" w:space="0"/>
            </w:tcBorders>
            <w:noWrap w:val="0"/>
            <w:vAlign w:val="center"/>
          </w:tcPr>
          <w:p w14:paraId="505402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处罚条款：第九十六条，责令改正，处10万元以上50万元以下的罚款。</w:t>
            </w:r>
          </w:p>
        </w:tc>
        <w:tc>
          <w:tcPr>
            <w:tcW w:w="851" w:type="dxa"/>
            <w:tcBorders>
              <w:top w:val="nil"/>
              <w:left w:val="nil"/>
              <w:bottom w:val="single" w:color="auto" w:sz="4" w:space="0"/>
              <w:right w:val="single" w:color="auto" w:sz="4" w:space="0"/>
            </w:tcBorders>
            <w:noWrap w:val="0"/>
            <w:vAlign w:val="center"/>
          </w:tcPr>
          <w:p w14:paraId="2A2BC13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0A970AD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2C19702E">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履行质量保修义务1次，系数为0；2.未履行质量保修义务2次，系数为1；3.未履行质量保修义务3次，系数为2；4.未履行质量保修义务4次，系数为3；5.未履行质量保修义务5次及以上或存在重大质量问题或造成生产安全事故，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E4FB4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4CF883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E01B24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9BB061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C2348900</w:t>
            </w:r>
          </w:p>
        </w:tc>
      </w:tr>
      <w:tr w14:paraId="0EE36B7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2FFF02F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4" w:type="dxa"/>
            <w:tcBorders>
              <w:top w:val="nil"/>
              <w:left w:val="nil"/>
              <w:bottom w:val="single" w:color="auto" w:sz="4" w:space="0"/>
              <w:right w:val="single" w:color="auto" w:sz="4" w:space="0"/>
            </w:tcBorders>
            <w:noWrap w:val="0"/>
            <w:vAlign w:val="center"/>
          </w:tcPr>
          <w:p w14:paraId="483D9C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施工单位通过挂靠方式，以其他施工单位的名义承揽工程</w:t>
            </w:r>
          </w:p>
        </w:tc>
        <w:tc>
          <w:tcPr>
            <w:tcW w:w="2981" w:type="dxa"/>
            <w:tcBorders>
              <w:top w:val="nil"/>
              <w:left w:val="nil"/>
              <w:bottom w:val="single" w:color="auto" w:sz="4" w:space="0"/>
              <w:right w:val="single" w:color="auto" w:sz="4" w:space="0"/>
            </w:tcBorders>
            <w:noWrap w:val="0"/>
            <w:vAlign w:val="center"/>
          </w:tcPr>
          <w:p w14:paraId="18B960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处罚条款：第八十四条第二款，责令停止违法行为，没收违法所得，处工程合同价款百分之二以上百分之四以下的罚款，可以责令停业整顿，降低资质等级；情节严重的，吊销资质证书。</w:t>
            </w:r>
          </w:p>
        </w:tc>
        <w:tc>
          <w:tcPr>
            <w:tcW w:w="851" w:type="dxa"/>
            <w:tcBorders>
              <w:top w:val="nil"/>
              <w:left w:val="nil"/>
              <w:bottom w:val="single" w:color="auto" w:sz="4" w:space="0"/>
              <w:right w:val="single" w:color="auto" w:sz="4" w:space="0"/>
            </w:tcBorders>
            <w:noWrap w:val="0"/>
            <w:vAlign w:val="center"/>
          </w:tcPr>
          <w:p w14:paraId="113FFD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392E68A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360DF8BD">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有违法所得的，没收违法所得，并处以下罚款：1.工程合同价款＜1000万，系数为0；2.1000万≤工程合同价款＜5000万，系数为0.5；3.5000万≤工程合同价款或施工单位未取得资质证书通过挂靠承揽工程或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EA103E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14:paraId="2118A72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49C57C3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00F337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C2349300</w:t>
            </w:r>
          </w:p>
        </w:tc>
      </w:tr>
      <w:tr w14:paraId="6498A5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00AD2FD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4" w:type="dxa"/>
            <w:tcBorders>
              <w:top w:val="nil"/>
              <w:left w:val="nil"/>
              <w:bottom w:val="single" w:color="auto" w:sz="4" w:space="0"/>
              <w:right w:val="single" w:color="auto" w:sz="4" w:space="0"/>
            </w:tcBorders>
            <w:noWrap w:val="0"/>
            <w:vAlign w:val="center"/>
          </w:tcPr>
          <w:p w14:paraId="7A7973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从事工程建设活动的专业技术人员签署虚假、错误技术文件</w:t>
            </w:r>
          </w:p>
        </w:tc>
        <w:tc>
          <w:tcPr>
            <w:tcW w:w="2981" w:type="dxa"/>
            <w:tcBorders>
              <w:top w:val="nil"/>
              <w:left w:val="nil"/>
              <w:bottom w:val="single" w:color="auto" w:sz="4" w:space="0"/>
              <w:right w:val="single" w:color="auto" w:sz="4" w:space="0"/>
            </w:tcBorders>
            <w:noWrap w:val="0"/>
            <w:vAlign w:val="center"/>
          </w:tcPr>
          <w:p w14:paraId="1BC93A8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处罚条款：第八十条，责令改正，处1万元以上5万元以下的罚款。</w:t>
            </w:r>
          </w:p>
        </w:tc>
        <w:tc>
          <w:tcPr>
            <w:tcW w:w="851" w:type="dxa"/>
            <w:tcBorders>
              <w:top w:val="nil"/>
              <w:left w:val="nil"/>
              <w:bottom w:val="single" w:color="auto" w:sz="4" w:space="0"/>
              <w:right w:val="single" w:color="auto" w:sz="4" w:space="0"/>
            </w:tcBorders>
            <w:noWrap w:val="0"/>
            <w:vAlign w:val="center"/>
          </w:tcPr>
          <w:p w14:paraId="6151D6F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4F87B7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2E2B406F">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签署虚假、错误技术文件1份，系数为0；2.签署虚假、错误技术文件2份，系数为1；3.签署虚假、错误技术文件3份，系数为2；4.签署虚假、错误技术文件4份，系数为3；5.签署虚假、错误技术文件5份及以上或存在重大质量问题或造成生产安全事故，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2C0BAC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27FFB2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4D3128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DD79306">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C2349500</w:t>
            </w:r>
          </w:p>
        </w:tc>
      </w:tr>
      <w:tr w14:paraId="42EDEC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72880C7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4" w:type="dxa"/>
            <w:tcBorders>
              <w:top w:val="nil"/>
              <w:left w:val="nil"/>
              <w:bottom w:val="single" w:color="auto" w:sz="4" w:space="0"/>
              <w:right w:val="single" w:color="auto" w:sz="4" w:space="0"/>
            </w:tcBorders>
            <w:noWrap w:val="0"/>
            <w:vAlign w:val="center"/>
          </w:tcPr>
          <w:p w14:paraId="4065CA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建设单位未按照规定委托检测单位进行检测的</w:t>
            </w:r>
          </w:p>
        </w:tc>
        <w:tc>
          <w:tcPr>
            <w:tcW w:w="2981" w:type="dxa"/>
            <w:tcBorders>
              <w:top w:val="nil"/>
              <w:left w:val="nil"/>
              <w:bottom w:val="single" w:color="auto" w:sz="4" w:space="0"/>
              <w:right w:val="single" w:color="auto" w:sz="4" w:space="0"/>
            </w:tcBorders>
            <w:noWrap w:val="0"/>
            <w:vAlign w:val="center"/>
          </w:tcPr>
          <w:p w14:paraId="0B246B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处罚条款：第八十八条，责令改正，处10万元以上30万元以下的罚款。</w:t>
            </w:r>
          </w:p>
        </w:tc>
        <w:tc>
          <w:tcPr>
            <w:tcW w:w="851" w:type="dxa"/>
            <w:tcBorders>
              <w:top w:val="nil"/>
              <w:left w:val="nil"/>
              <w:bottom w:val="single" w:color="auto" w:sz="4" w:space="0"/>
              <w:right w:val="single" w:color="auto" w:sz="4" w:space="0"/>
            </w:tcBorders>
            <w:noWrap w:val="0"/>
            <w:vAlign w:val="center"/>
          </w:tcPr>
          <w:p w14:paraId="16CBC96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704F6C2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6A1CAF02">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1000万，系数为0；2.1000万元≤工程合同价款＜2000万元，系数为0.4；3.2000万元≤工程合同价款＜3000万元，系数为0.8；4.3000万元≤工程合同价款＜4000万元，系数为1.2；5.4000万元≤工程合同价款＜5000万元，系数为1.6；6.5000万元≤工程合同价款，系数为2；7.存在重大质量问题或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A17EA4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075738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EB2D33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74A70A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C2349700</w:t>
            </w:r>
          </w:p>
        </w:tc>
      </w:tr>
      <w:tr w14:paraId="64AEF4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364AB85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624" w:type="dxa"/>
            <w:tcBorders>
              <w:top w:val="nil"/>
              <w:left w:val="nil"/>
              <w:bottom w:val="single" w:color="auto" w:sz="4" w:space="0"/>
              <w:right w:val="single" w:color="auto" w:sz="4" w:space="0"/>
            </w:tcBorders>
            <w:noWrap w:val="0"/>
            <w:vAlign w:val="center"/>
          </w:tcPr>
          <w:p w14:paraId="0D0502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建设工程有关单位使用不符合要求的人员</w:t>
            </w:r>
          </w:p>
        </w:tc>
        <w:tc>
          <w:tcPr>
            <w:tcW w:w="2981" w:type="dxa"/>
            <w:tcBorders>
              <w:top w:val="nil"/>
              <w:left w:val="nil"/>
              <w:bottom w:val="single" w:color="auto" w:sz="4" w:space="0"/>
              <w:right w:val="single" w:color="auto" w:sz="4" w:space="0"/>
            </w:tcBorders>
            <w:noWrap w:val="0"/>
            <w:vAlign w:val="center"/>
          </w:tcPr>
          <w:p w14:paraId="4B6157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处罚条款：第八十一条第（一）项、第（二）项、第（三）项、第（四）项，责令改正，处1万元以上5万元以下的罚款。</w:t>
            </w:r>
          </w:p>
        </w:tc>
        <w:tc>
          <w:tcPr>
            <w:tcW w:w="851" w:type="dxa"/>
            <w:tcBorders>
              <w:top w:val="nil"/>
              <w:left w:val="nil"/>
              <w:bottom w:val="single" w:color="auto" w:sz="4" w:space="0"/>
              <w:right w:val="single" w:color="auto" w:sz="4" w:space="0"/>
            </w:tcBorders>
            <w:noWrap w:val="0"/>
            <w:vAlign w:val="center"/>
          </w:tcPr>
          <w:p w14:paraId="1DCBF0C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695EE7F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693A8E43">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使用不符合要求人员＜3人，系数为0；2.3人≤使用不具备相应专业资质或资格人员＜7人，系数为1；3.7人≤使用不具备相应专业资质或资格人员＜11人，系数为2；4.11人≤使用不具备相应专业资质或资格人员＜15人，系数为3；5.15人≤使用不具备相应专业资质或资格人员或存在重大质量问题或造成生产安全事故，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4B1584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4EE328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2D11E07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C7CD65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C2349800</w:t>
            </w:r>
          </w:p>
        </w:tc>
      </w:tr>
      <w:tr w14:paraId="117A01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1D251E1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624" w:type="dxa"/>
            <w:tcBorders>
              <w:top w:val="nil"/>
              <w:left w:val="nil"/>
              <w:bottom w:val="single" w:color="auto" w:sz="4" w:space="0"/>
              <w:right w:val="single" w:color="auto" w:sz="4" w:space="0"/>
            </w:tcBorders>
            <w:noWrap w:val="0"/>
            <w:vAlign w:val="center"/>
          </w:tcPr>
          <w:p w14:paraId="5C8BBB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建设工程有关单位未建立一线作业人员教育培训制度或未按照教育培训制度定期对一线作业人员开展职业技能培训</w:t>
            </w:r>
          </w:p>
        </w:tc>
        <w:tc>
          <w:tcPr>
            <w:tcW w:w="2981" w:type="dxa"/>
            <w:tcBorders>
              <w:top w:val="nil"/>
              <w:left w:val="nil"/>
              <w:bottom w:val="single" w:color="auto" w:sz="4" w:space="0"/>
              <w:right w:val="single" w:color="auto" w:sz="4" w:space="0"/>
            </w:tcBorders>
            <w:noWrap w:val="0"/>
            <w:vAlign w:val="center"/>
          </w:tcPr>
          <w:p w14:paraId="5C1114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处罚条款：第八十一条第（五）项，责令改正，处1万元以上5万元以下的罚款。</w:t>
            </w:r>
          </w:p>
        </w:tc>
        <w:tc>
          <w:tcPr>
            <w:tcW w:w="851" w:type="dxa"/>
            <w:tcBorders>
              <w:top w:val="nil"/>
              <w:left w:val="nil"/>
              <w:bottom w:val="single" w:color="auto" w:sz="4" w:space="0"/>
              <w:right w:val="single" w:color="auto" w:sz="4" w:space="0"/>
            </w:tcBorders>
            <w:noWrap w:val="0"/>
            <w:vAlign w:val="center"/>
          </w:tcPr>
          <w:p w14:paraId="69A0F60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7F2AB19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5FA266CD">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建立教育培训制度但定期开展教育培训，系数为0；2.建立教育培训制度但未定期开展教育培训，系数为2；3.未建立教育培训制度且未定期开展教育培训或存在重大质量问题或造成生产安全事故，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38FCA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70994E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473D95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D0C811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C2349800</w:t>
            </w:r>
          </w:p>
        </w:tc>
      </w:tr>
      <w:tr w14:paraId="45D5CF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330" w:hRule="atLeast"/>
        </w:trPr>
        <w:tc>
          <w:tcPr>
            <w:tcW w:w="716" w:type="dxa"/>
            <w:gridSpan w:val="2"/>
            <w:tcBorders>
              <w:top w:val="nil"/>
              <w:left w:val="single" w:color="auto" w:sz="4" w:space="0"/>
              <w:bottom w:val="single" w:color="auto" w:sz="4" w:space="0"/>
              <w:right w:val="single" w:color="auto" w:sz="4" w:space="0"/>
            </w:tcBorders>
            <w:noWrap/>
            <w:vAlign w:val="center"/>
          </w:tcPr>
          <w:p w14:paraId="58A6475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624" w:type="dxa"/>
            <w:tcBorders>
              <w:top w:val="nil"/>
              <w:left w:val="nil"/>
              <w:bottom w:val="single" w:color="auto" w:sz="4" w:space="0"/>
              <w:right w:val="single" w:color="auto" w:sz="4" w:space="0"/>
            </w:tcBorders>
            <w:noWrap w:val="0"/>
            <w:vAlign w:val="center"/>
          </w:tcPr>
          <w:p w14:paraId="6187B7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建设单位将一个单位工程发包给两个以上的施工单位，或者将预拌混凝土直接发包</w:t>
            </w:r>
          </w:p>
        </w:tc>
        <w:tc>
          <w:tcPr>
            <w:tcW w:w="2981" w:type="dxa"/>
            <w:tcBorders>
              <w:top w:val="nil"/>
              <w:left w:val="nil"/>
              <w:bottom w:val="single" w:color="auto" w:sz="4" w:space="0"/>
              <w:right w:val="single" w:color="auto" w:sz="4" w:space="0"/>
            </w:tcBorders>
            <w:noWrap w:val="0"/>
            <w:vAlign w:val="center"/>
          </w:tcPr>
          <w:p w14:paraId="536A84C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处罚条款：第八十二条，责令改正，处单位工程合同价款百分之零点五以上百分之一以下的罚款。</w:t>
            </w:r>
          </w:p>
        </w:tc>
        <w:tc>
          <w:tcPr>
            <w:tcW w:w="851" w:type="dxa"/>
            <w:tcBorders>
              <w:top w:val="nil"/>
              <w:left w:val="nil"/>
              <w:bottom w:val="single" w:color="auto" w:sz="4" w:space="0"/>
              <w:right w:val="single" w:color="auto" w:sz="4" w:space="0"/>
            </w:tcBorders>
            <w:noWrap w:val="0"/>
            <w:vAlign w:val="center"/>
          </w:tcPr>
          <w:p w14:paraId="004DB9D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ign w:val="center"/>
          </w:tcPr>
          <w:p w14:paraId="142D34B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2DD2E762">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1.承包单位应当为乙级资质，系数为0；2.承包单位应当为甲级资质，系数为0.5；3.存在重大质量问题或造成生产安全事故，系数为1。4.存在基准2.1.3规定情形的，系数按照相关规定确定（基准2.1.3.5不适用）。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5058B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2016" w:type="dxa"/>
            <w:tcBorders>
              <w:top w:val="nil"/>
              <w:left w:val="nil"/>
              <w:bottom w:val="single" w:color="auto" w:sz="4" w:space="0"/>
              <w:right w:val="single" w:color="auto" w:sz="4" w:space="0"/>
            </w:tcBorders>
            <w:noWrap w:val="0"/>
            <w:vAlign w:val="center"/>
          </w:tcPr>
          <w:p w14:paraId="1B8BA3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3042C3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AC5249D">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C2350200</w:t>
            </w:r>
          </w:p>
        </w:tc>
      </w:tr>
      <w:tr w14:paraId="714B810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201573B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624" w:type="dxa"/>
            <w:tcBorders>
              <w:top w:val="nil"/>
              <w:left w:val="nil"/>
              <w:bottom w:val="single" w:color="auto" w:sz="4" w:space="0"/>
              <w:right w:val="single" w:color="auto" w:sz="4" w:space="0"/>
            </w:tcBorders>
            <w:noWrap w:val="0"/>
            <w:vAlign w:val="center"/>
          </w:tcPr>
          <w:p w14:paraId="7E0765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施工单位允许其他单位或者个人通过挂靠方式，以本单位的名义承揽工程</w:t>
            </w:r>
          </w:p>
        </w:tc>
        <w:tc>
          <w:tcPr>
            <w:tcW w:w="2981" w:type="dxa"/>
            <w:tcBorders>
              <w:top w:val="nil"/>
              <w:left w:val="nil"/>
              <w:bottom w:val="single" w:color="auto" w:sz="4" w:space="0"/>
              <w:right w:val="single" w:color="auto" w:sz="4" w:space="0"/>
            </w:tcBorders>
            <w:noWrap w:val="0"/>
            <w:vAlign w:val="center"/>
          </w:tcPr>
          <w:p w14:paraId="1F0929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处罚条款：第八十四条第一款，责令改正，没收违法所得，处工程合同价款百分之二以上百分之四以下的罚款；可以责令停业整顿，降低资质等级；情节严重的，吊销资质证书。</w:t>
            </w:r>
          </w:p>
        </w:tc>
        <w:tc>
          <w:tcPr>
            <w:tcW w:w="851" w:type="dxa"/>
            <w:tcBorders>
              <w:top w:val="nil"/>
              <w:left w:val="nil"/>
              <w:bottom w:val="single" w:color="auto" w:sz="4" w:space="0"/>
              <w:right w:val="single" w:color="auto" w:sz="4" w:space="0"/>
            </w:tcBorders>
            <w:noWrap w:val="0"/>
            <w:vAlign w:val="center"/>
          </w:tcPr>
          <w:p w14:paraId="55E6B2F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5169FD3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1222CB97">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有违法所得的，没收违法所得，并处以下罚款：1.工程合同价款＜1000万，系数为0；2.1000万≤工程合同价款＜5000万，系数为0.5；3.5000万≤工程合同价款，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49CF6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14:paraId="071E775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14E10AB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C98D2E9">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C2350900</w:t>
            </w:r>
          </w:p>
        </w:tc>
      </w:tr>
      <w:tr w14:paraId="4365E0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0F014A1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624" w:type="dxa"/>
            <w:tcBorders>
              <w:top w:val="nil"/>
              <w:left w:val="nil"/>
              <w:bottom w:val="single" w:color="auto" w:sz="4" w:space="0"/>
              <w:right w:val="single" w:color="auto" w:sz="4" w:space="0"/>
            </w:tcBorders>
            <w:noWrap w:val="0"/>
            <w:vAlign w:val="center"/>
          </w:tcPr>
          <w:p w14:paraId="6B5B6E6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施工单位在工程竣工验收中将不合格工程按照合格验收</w:t>
            </w:r>
          </w:p>
        </w:tc>
        <w:tc>
          <w:tcPr>
            <w:tcW w:w="2981" w:type="dxa"/>
            <w:tcBorders>
              <w:top w:val="nil"/>
              <w:left w:val="nil"/>
              <w:bottom w:val="single" w:color="auto" w:sz="4" w:space="0"/>
              <w:right w:val="single" w:color="auto" w:sz="4" w:space="0"/>
            </w:tcBorders>
            <w:noWrap w:val="0"/>
            <w:vAlign w:val="center"/>
          </w:tcPr>
          <w:p w14:paraId="1437CC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处罚条款：第九十四条第一款，责令改正，处工程合同价款百分之一以上百分之二以下的罚款。</w:t>
            </w:r>
          </w:p>
        </w:tc>
        <w:tc>
          <w:tcPr>
            <w:tcW w:w="851" w:type="dxa"/>
            <w:tcBorders>
              <w:top w:val="nil"/>
              <w:left w:val="nil"/>
              <w:bottom w:val="single" w:color="auto" w:sz="4" w:space="0"/>
              <w:right w:val="single" w:color="auto" w:sz="4" w:space="0"/>
            </w:tcBorders>
            <w:noWrap w:val="0"/>
            <w:vAlign w:val="center"/>
          </w:tcPr>
          <w:p w14:paraId="748B15D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工程合同价款×1%</w:t>
            </w:r>
          </w:p>
        </w:tc>
        <w:tc>
          <w:tcPr>
            <w:tcW w:w="840" w:type="dxa"/>
            <w:tcBorders>
              <w:top w:val="nil"/>
              <w:left w:val="nil"/>
              <w:bottom w:val="single" w:color="auto" w:sz="4" w:space="0"/>
              <w:right w:val="single" w:color="auto" w:sz="4" w:space="0"/>
            </w:tcBorders>
            <w:noWrap/>
            <w:vAlign w:val="center"/>
          </w:tcPr>
          <w:p w14:paraId="7965151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129E5C55">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1000万，系数为0；2.1000万≤工程合同价款＜3000万，系数为0.25；3.3000万≤工程合同价款＜5000万，系数为0.5；4.5000万≤工程合同价款，系数为0.75；5.存在重大质量问题或造成生产安全事故，系数为1。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65DD5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罚款金额=工程合同价款×1%×（1+情节系数）</w:t>
            </w:r>
          </w:p>
        </w:tc>
        <w:tc>
          <w:tcPr>
            <w:tcW w:w="2016" w:type="dxa"/>
            <w:tcBorders>
              <w:top w:val="nil"/>
              <w:left w:val="nil"/>
              <w:bottom w:val="single" w:color="auto" w:sz="4" w:space="0"/>
              <w:right w:val="single" w:color="auto" w:sz="4" w:space="0"/>
            </w:tcBorders>
            <w:noWrap w:val="0"/>
            <w:vAlign w:val="center"/>
          </w:tcPr>
          <w:p w14:paraId="70EB96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06DBB16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438D5AD">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C2351100</w:t>
            </w:r>
          </w:p>
        </w:tc>
      </w:tr>
      <w:tr w14:paraId="216991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3F21857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624" w:type="dxa"/>
            <w:tcBorders>
              <w:top w:val="nil"/>
              <w:left w:val="nil"/>
              <w:bottom w:val="single" w:color="auto" w:sz="4" w:space="0"/>
              <w:right w:val="single" w:color="auto" w:sz="4" w:space="0"/>
            </w:tcBorders>
            <w:noWrap w:val="0"/>
            <w:vAlign w:val="center"/>
          </w:tcPr>
          <w:p w14:paraId="670706F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监理单位未要求施工单位立即停工整改，或者施工单位拒不停工整改时未报告</w:t>
            </w:r>
          </w:p>
        </w:tc>
        <w:tc>
          <w:tcPr>
            <w:tcW w:w="2981" w:type="dxa"/>
            <w:tcBorders>
              <w:top w:val="nil"/>
              <w:left w:val="nil"/>
              <w:bottom w:val="single" w:color="auto" w:sz="4" w:space="0"/>
              <w:right w:val="single" w:color="auto" w:sz="4" w:space="0"/>
            </w:tcBorders>
            <w:noWrap w:val="0"/>
            <w:vAlign w:val="center"/>
          </w:tcPr>
          <w:p w14:paraId="5D27CD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违反条款：第四十三条第二款和第三款、第四十四条第二款、第四十五条；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处罚条款：第九十条第一款，责令改正，处1万元以上5万元以下的罚款。</w:t>
            </w:r>
          </w:p>
        </w:tc>
        <w:tc>
          <w:tcPr>
            <w:tcW w:w="851" w:type="dxa"/>
            <w:tcBorders>
              <w:top w:val="nil"/>
              <w:left w:val="nil"/>
              <w:bottom w:val="single" w:color="auto" w:sz="4" w:space="0"/>
              <w:right w:val="single" w:color="auto" w:sz="4" w:space="0"/>
            </w:tcBorders>
            <w:noWrap w:val="0"/>
            <w:vAlign w:val="center"/>
          </w:tcPr>
          <w:p w14:paraId="773039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7CD858B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76864CE4">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涉及重要隐蔽单元工程和关键部位单元工程的，系数为0；2.涉及重要隐蔽单元工程和关键部位单元工程的，系数为2；3.存在重大质量问题或造成生产安全事故，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C28EAD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14:paraId="0FB0ACE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F63FA1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117210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C2351500</w:t>
            </w:r>
          </w:p>
        </w:tc>
      </w:tr>
      <w:tr w14:paraId="3F4E1E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14:paraId="51958F6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624" w:type="dxa"/>
            <w:vMerge w:val="restart"/>
            <w:tcBorders>
              <w:top w:val="nil"/>
              <w:left w:val="single" w:color="auto" w:sz="4" w:space="0"/>
              <w:bottom w:val="single" w:color="auto" w:sz="4" w:space="0"/>
              <w:right w:val="single" w:color="auto" w:sz="4" w:space="0"/>
            </w:tcBorders>
            <w:noWrap w:val="0"/>
            <w:vAlign w:val="center"/>
          </w:tcPr>
          <w:p w14:paraId="70AF6D5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建设单位未按规定组织到货检验或者将不合格的建筑材料、建筑构配件和设备用于工程的</w:t>
            </w:r>
          </w:p>
        </w:tc>
        <w:tc>
          <w:tcPr>
            <w:tcW w:w="2981" w:type="dxa"/>
            <w:vMerge w:val="restart"/>
            <w:tcBorders>
              <w:top w:val="nil"/>
              <w:left w:val="single" w:color="auto" w:sz="4" w:space="0"/>
              <w:bottom w:val="single" w:color="auto" w:sz="4" w:space="0"/>
              <w:right w:val="single" w:color="auto" w:sz="4" w:space="0"/>
            </w:tcBorders>
            <w:noWrap w:val="0"/>
            <w:vAlign w:val="center"/>
          </w:tcPr>
          <w:p w14:paraId="3CA7384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处罚条款：第八十六条，未组织到货检验的，责令改正，处10万以上20万以下的罚款；不合格且用于工程的，责令改正，处20万元以上50万元以下的罚款。</w:t>
            </w:r>
          </w:p>
        </w:tc>
        <w:tc>
          <w:tcPr>
            <w:tcW w:w="851" w:type="dxa"/>
            <w:tcBorders>
              <w:top w:val="nil"/>
              <w:left w:val="nil"/>
              <w:bottom w:val="single" w:color="auto" w:sz="4" w:space="0"/>
              <w:right w:val="single" w:color="auto" w:sz="4" w:space="0"/>
            </w:tcBorders>
            <w:noWrap w:val="0"/>
            <w:vAlign w:val="center"/>
          </w:tcPr>
          <w:p w14:paraId="0FF12AA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100000（到货检验）</w:t>
            </w:r>
          </w:p>
        </w:tc>
        <w:tc>
          <w:tcPr>
            <w:tcW w:w="840" w:type="dxa"/>
            <w:tcBorders>
              <w:top w:val="nil"/>
              <w:left w:val="nil"/>
              <w:bottom w:val="single" w:color="auto" w:sz="4" w:space="0"/>
              <w:right w:val="single" w:color="auto" w:sz="4" w:space="0"/>
            </w:tcBorders>
            <w:noWrap/>
            <w:vAlign w:val="center"/>
          </w:tcPr>
          <w:p w14:paraId="5DB5E38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575BA04B">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采购后未组织验货的货物价值＜300万元，系数为0；2.300万元≤采购后未组织验货的货物价值＜600万元，系数为0.2；3.600万元≤采购后未组织验货的货物价值＜900万元，系数为0.4；4.900万元≤采购后未组织验货的货物价值＜1200万元，系数为0.6；5.1200万元≤采购后未组织验货的货物价值＜1500万元，系数为0.8；6.1500万元≤采购后未组织验货的货物价值，系数为1；7.存在重大质量问题或造成生产安全事故，系数为1。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8B7B0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14:paraId="28C45CB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6560ED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79AC39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C2351600</w:t>
            </w:r>
          </w:p>
        </w:tc>
      </w:tr>
      <w:tr w14:paraId="068FA7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9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14:paraId="6CCE078C">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14:paraId="342F5371">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14:paraId="76D411F9">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14:paraId="3F00ADC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（不合格）</w:t>
            </w:r>
          </w:p>
        </w:tc>
        <w:tc>
          <w:tcPr>
            <w:tcW w:w="840" w:type="dxa"/>
            <w:tcBorders>
              <w:top w:val="nil"/>
              <w:left w:val="nil"/>
              <w:bottom w:val="single" w:color="auto" w:sz="4" w:space="0"/>
              <w:right w:val="single" w:color="auto" w:sz="4" w:space="0"/>
            </w:tcBorders>
            <w:noWrap/>
            <w:vAlign w:val="center"/>
          </w:tcPr>
          <w:p w14:paraId="6AE6B8D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211ECE86">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用于工程的不合格建筑材料、建筑构配件和设备的价值＜300万元，系数为0；2.300万元≤用于工程的不合格建筑材料、建筑构配件和设备的价值＜600万元，系数为0.3；3.600万元≤用于工程的不合格建筑材料、建筑构配件和设备的价值＜900万元，系数为0.6；4.900万元≤用于工程的不合格建筑材料、建筑构配件和设备的价值＜1200万元，系数为0.9；5.1200万元≤用于工程的不合格建筑材料、建筑构配件和设备的价值＜1500万元，系数为1.2；6.1500万元≤用于工程的不合格建筑材料、建筑构配件和设备的价值，系数为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38AB8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14:paraId="7938C2C4">
            <w:pPr>
              <w:widowControl/>
              <w:jc w:val="left"/>
              <w:rPr>
                <w:rFonts w:hint="eastAsia" w:ascii="宋体" w:hAnsi="宋体" w:eastAsia="宋体" w:cs="宋体"/>
                <w:color w:val="auto"/>
                <w:kern w:val="0"/>
                <w:sz w:val="15"/>
                <w:szCs w:val="15"/>
                <w:highlight w:val="none"/>
              </w:rPr>
            </w:pPr>
          </w:p>
        </w:tc>
        <w:tc>
          <w:tcPr>
            <w:tcW w:w="1304" w:type="dxa"/>
            <w:gridSpan w:val="2"/>
            <w:tcBorders>
              <w:top w:val="nil"/>
              <w:left w:val="nil"/>
              <w:bottom w:val="single" w:color="auto" w:sz="4" w:space="0"/>
              <w:right w:val="single" w:color="auto" w:sz="4" w:space="0"/>
            </w:tcBorders>
            <w:noWrap w:val="0"/>
            <w:vAlign w:val="center"/>
          </w:tcPr>
          <w:p w14:paraId="64E13B2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0E1EBD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C2351600</w:t>
            </w:r>
          </w:p>
        </w:tc>
      </w:tr>
      <w:tr w14:paraId="5EBF43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14:paraId="332A4D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624" w:type="dxa"/>
            <w:tcBorders>
              <w:top w:val="nil"/>
              <w:left w:val="nil"/>
              <w:bottom w:val="single" w:color="auto" w:sz="4" w:space="0"/>
              <w:right w:val="single" w:color="auto" w:sz="4" w:space="0"/>
            </w:tcBorders>
            <w:noWrap w:val="0"/>
            <w:vAlign w:val="center"/>
          </w:tcPr>
          <w:p w14:paraId="3CB6999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预拌混凝土生产单位未进行配合比设计或者未按照配合比通知单生产、使用未经检验或者检验不合格的原材料、供应未经验收或者验收不合格的预拌混凝土</w:t>
            </w:r>
          </w:p>
        </w:tc>
        <w:tc>
          <w:tcPr>
            <w:tcW w:w="2981" w:type="dxa"/>
            <w:tcBorders>
              <w:top w:val="nil"/>
              <w:left w:val="nil"/>
              <w:bottom w:val="single" w:color="auto" w:sz="4" w:space="0"/>
              <w:right w:val="single" w:color="auto" w:sz="4" w:space="0"/>
            </w:tcBorders>
            <w:noWrap w:val="0"/>
            <w:vAlign w:val="center"/>
          </w:tcPr>
          <w:p w14:paraId="627FEC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处罚条款：第七十九条，责令改正，处10万元以上20万元以下的罚款；情节严重的，责令停业整顿或者吊销资质证书。</w:t>
            </w:r>
          </w:p>
        </w:tc>
        <w:tc>
          <w:tcPr>
            <w:tcW w:w="851" w:type="dxa"/>
            <w:tcBorders>
              <w:top w:val="nil"/>
              <w:left w:val="nil"/>
              <w:bottom w:val="single" w:color="auto" w:sz="4" w:space="0"/>
              <w:right w:val="single" w:color="auto" w:sz="4" w:space="0"/>
            </w:tcBorders>
            <w:noWrap w:val="0"/>
            <w:vAlign w:val="center"/>
          </w:tcPr>
          <w:p w14:paraId="1603E4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5A5D02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1E04C601">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符合要求预拌混凝土1批次，系数为0；每增加1批次，系数加0.2；不符合要求预拌混凝土≥6批次，系数为1。2.存在重大质量问题或造成生产安全事故，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E2D61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7D2377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1F7EA5E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D5B0E56">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C2351700</w:t>
            </w:r>
          </w:p>
        </w:tc>
      </w:tr>
      <w:tr w14:paraId="11167DA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242C1CF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624" w:type="dxa"/>
            <w:tcBorders>
              <w:top w:val="nil"/>
              <w:left w:val="nil"/>
              <w:bottom w:val="single" w:color="auto" w:sz="4" w:space="0"/>
              <w:right w:val="single" w:color="auto" w:sz="4" w:space="0"/>
            </w:tcBorders>
            <w:noWrap w:val="0"/>
            <w:vAlign w:val="center"/>
          </w:tcPr>
          <w:p w14:paraId="5B2917F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合同双方订立背离备案合同实质性内容协议</w:t>
            </w:r>
          </w:p>
        </w:tc>
        <w:tc>
          <w:tcPr>
            <w:tcW w:w="2981" w:type="dxa"/>
            <w:tcBorders>
              <w:top w:val="nil"/>
              <w:left w:val="nil"/>
              <w:bottom w:val="single" w:color="auto" w:sz="4" w:space="0"/>
              <w:right w:val="single" w:color="auto" w:sz="4" w:space="0"/>
            </w:tcBorders>
            <w:noWrap w:val="0"/>
            <w:vAlign w:val="center"/>
          </w:tcPr>
          <w:p w14:paraId="34AC333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处罚条款：第九十八条，责令改正，可以处合同价款百分之零点五以上百分之一以下的罚款。</w:t>
            </w:r>
          </w:p>
        </w:tc>
        <w:tc>
          <w:tcPr>
            <w:tcW w:w="851" w:type="dxa"/>
            <w:tcBorders>
              <w:top w:val="nil"/>
              <w:left w:val="nil"/>
              <w:bottom w:val="single" w:color="auto" w:sz="4" w:space="0"/>
              <w:right w:val="single" w:color="auto" w:sz="4" w:space="0"/>
            </w:tcBorders>
            <w:noWrap w:val="0"/>
            <w:vAlign w:val="center"/>
          </w:tcPr>
          <w:p w14:paraId="565C901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合同价款×0.5%</w:t>
            </w:r>
          </w:p>
        </w:tc>
        <w:tc>
          <w:tcPr>
            <w:tcW w:w="840" w:type="dxa"/>
            <w:tcBorders>
              <w:top w:val="nil"/>
              <w:left w:val="nil"/>
              <w:bottom w:val="single" w:color="auto" w:sz="4" w:space="0"/>
              <w:right w:val="single" w:color="auto" w:sz="4" w:space="0"/>
            </w:tcBorders>
            <w:noWrap/>
            <w:vAlign w:val="center"/>
          </w:tcPr>
          <w:p w14:paraId="25C4214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6873916F">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签订合同价款＜1000万元，系数为0；2.1000万元≤签订合同价款＜3000万元，系数为0.25；3.3000万元≤签订合同价款＜5000万元，系数为0.5；4.5000万元≤签订合同价款＜7000万元，系数为0.75；5.7000万元≤签订合同价款或存在重大质量问题或造成生产安全事故，系数为1。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59BCDD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罚款金额=合同价款×0.5%×（1+情节系数）</w:t>
            </w:r>
          </w:p>
        </w:tc>
        <w:tc>
          <w:tcPr>
            <w:tcW w:w="2016" w:type="dxa"/>
            <w:tcBorders>
              <w:top w:val="nil"/>
              <w:left w:val="nil"/>
              <w:bottom w:val="single" w:color="auto" w:sz="4" w:space="0"/>
              <w:right w:val="single" w:color="auto" w:sz="4" w:space="0"/>
            </w:tcBorders>
            <w:noWrap w:val="0"/>
            <w:vAlign w:val="center"/>
          </w:tcPr>
          <w:p w14:paraId="39836F4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CF401F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DFE796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C2351800</w:t>
            </w:r>
          </w:p>
        </w:tc>
      </w:tr>
      <w:tr w14:paraId="4B3EE7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57D989F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624" w:type="dxa"/>
            <w:tcBorders>
              <w:top w:val="nil"/>
              <w:left w:val="nil"/>
              <w:bottom w:val="single" w:color="auto" w:sz="4" w:space="0"/>
              <w:right w:val="single" w:color="auto" w:sz="4" w:space="0"/>
            </w:tcBorders>
            <w:noWrap w:val="0"/>
            <w:vAlign w:val="center"/>
          </w:tcPr>
          <w:p w14:paraId="3E3663E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给予单位罚款处罚的，建设单位、勘察、设计、施工、监理单位直接负责的主管人员和其他直接责任人进行处罚</w:t>
            </w:r>
          </w:p>
        </w:tc>
        <w:tc>
          <w:tcPr>
            <w:tcW w:w="2981" w:type="dxa"/>
            <w:tcBorders>
              <w:top w:val="nil"/>
              <w:left w:val="nil"/>
              <w:bottom w:val="single" w:color="auto" w:sz="4" w:space="0"/>
              <w:right w:val="single" w:color="auto" w:sz="4" w:space="0"/>
            </w:tcBorders>
            <w:noWrap w:val="0"/>
            <w:vAlign w:val="center"/>
          </w:tcPr>
          <w:p w14:paraId="721150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违反条款：第一百零二条；</w:t>
            </w:r>
            <w:r>
              <w:rPr>
                <w:rFonts w:hint="eastAsia" w:ascii="宋体" w:hAnsi="宋体" w:cs="宋体"/>
                <w:color w:val="auto"/>
                <w:kern w:val="0"/>
                <w:sz w:val="15"/>
                <w:szCs w:val="15"/>
                <w:highlight w:val="none"/>
                <w:lang w:eastAsia="zh-CN"/>
              </w:rPr>
              <w:t>《建设工程质量管理条例》第七十三条；《水利工程建设监理规定》第四十一条；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处罚条款：第一百零二条，处单位罚款数额百分之五以上百分之十以下的罚款</w:t>
            </w:r>
            <w:r>
              <w:rPr>
                <w:rFonts w:hint="eastAsia" w:ascii="宋体" w:hAnsi="宋体" w:cs="宋体"/>
                <w:color w:val="auto"/>
                <w:kern w:val="0"/>
                <w:sz w:val="15"/>
                <w:szCs w:val="15"/>
                <w:highlight w:val="none"/>
                <w:lang w:eastAsia="zh-CN"/>
              </w:rPr>
              <w:t>；《建设工程质量管理条例》第七十三条，对单位直接负责的主管人员和其他直接责任人员处单位罚款数额5%以上10%以下的罚款；《水利工程建设监理规定》第四十一条，对单位直接负责的主管人员和其他直接责任人员处单位罚款数额5%以上10%以下的罚款。</w:t>
            </w:r>
          </w:p>
        </w:tc>
        <w:tc>
          <w:tcPr>
            <w:tcW w:w="851" w:type="dxa"/>
            <w:tcBorders>
              <w:top w:val="nil"/>
              <w:left w:val="nil"/>
              <w:bottom w:val="single" w:color="auto" w:sz="4" w:space="0"/>
              <w:right w:val="single" w:color="auto" w:sz="4" w:space="0"/>
            </w:tcBorders>
            <w:noWrap w:val="0"/>
            <w:vAlign w:val="center"/>
          </w:tcPr>
          <w:p w14:paraId="4E8DC19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单位罚款×5%</w:t>
            </w:r>
          </w:p>
        </w:tc>
        <w:tc>
          <w:tcPr>
            <w:tcW w:w="840" w:type="dxa"/>
            <w:tcBorders>
              <w:top w:val="nil"/>
              <w:left w:val="nil"/>
              <w:bottom w:val="single" w:color="auto" w:sz="4" w:space="0"/>
              <w:right w:val="single" w:color="auto" w:sz="4" w:space="0"/>
            </w:tcBorders>
            <w:noWrap/>
            <w:vAlign w:val="center"/>
          </w:tcPr>
          <w:p w14:paraId="6AD0F4E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0605900E">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被处罚单位为乙级或二级资质的，系数为0；2.被处罚单位为甲级或一级资质的，系数为0.5；3.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7CBCB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罚款金额=单位罚款×5%×（1+情节系数）</w:t>
            </w:r>
          </w:p>
        </w:tc>
        <w:tc>
          <w:tcPr>
            <w:tcW w:w="2016" w:type="dxa"/>
            <w:tcBorders>
              <w:top w:val="nil"/>
              <w:left w:val="nil"/>
              <w:bottom w:val="single" w:color="auto" w:sz="4" w:space="0"/>
              <w:right w:val="single" w:color="auto" w:sz="4" w:space="0"/>
            </w:tcBorders>
            <w:noWrap w:val="0"/>
            <w:vAlign w:val="center"/>
          </w:tcPr>
          <w:p w14:paraId="2775847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6EC995D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B9F534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C2354200</w:t>
            </w:r>
          </w:p>
        </w:tc>
      </w:tr>
      <w:tr w14:paraId="1B0E96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14:paraId="616C3148">
            <w:pPr>
              <w:widowControl/>
              <w:jc w:val="center"/>
              <w:outlineLvl w:val="0"/>
              <w:rPr>
                <w:rFonts w:ascii="Times New Roman" w:hAnsi="Times New Roman" w:eastAsia="宋体" w:cs="Times New Roman"/>
                <w:color w:val="auto"/>
                <w:kern w:val="0"/>
                <w:sz w:val="28"/>
                <w:szCs w:val="28"/>
                <w:highlight w:val="none"/>
              </w:rPr>
            </w:pPr>
            <w:bookmarkStart w:id="359" w:name="_Toc218468904"/>
            <w:bookmarkStart w:id="360" w:name="_Toc1157764916"/>
            <w:r>
              <w:rPr>
                <w:rFonts w:hint="eastAsia" w:ascii="黑体" w:hAnsi="黑体" w:eastAsia="黑体" w:cs="黑体"/>
                <w:color w:val="auto"/>
                <w:kern w:val="0"/>
                <w:sz w:val="28"/>
                <w:szCs w:val="28"/>
                <w:highlight w:val="none"/>
              </w:rPr>
              <w:t>水利建设工程安全生产管理方面</w:t>
            </w:r>
            <w:bookmarkEnd w:id="359"/>
            <w:bookmarkEnd w:id="360"/>
          </w:p>
        </w:tc>
        <w:tc>
          <w:tcPr>
            <w:tcW w:w="3173" w:type="dxa"/>
            <w:gridSpan w:val="3"/>
            <w:tcBorders>
              <w:top w:val="nil"/>
              <w:left w:val="single" w:color="auto" w:sz="4" w:space="0"/>
              <w:bottom w:val="single" w:color="auto" w:sz="4" w:space="0"/>
              <w:right w:val="single" w:color="auto" w:sz="4" w:space="0"/>
            </w:tcBorders>
            <w:noWrap/>
            <w:vAlign w:val="center"/>
          </w:tcPr>
          <w:p w14:paraId="145A28B4">
            <w:pPr>
              <w:widowControl/>
              <w:jc w:val="center"/>
              <w:outlineLvl w:val="0"/>
              <w:rPr>
                <w:rFonts w:hint="eastAsia" w:ascii="黑体" w:hAnsi="黑体" w:eastAsia="黑体" w:cs="黑体"/>
                <w:color w:val="auto"/>
                <w:kern w:val="0"/>
                <w:sz w:val="28"/>
                <w:szCs w:val="28"/>
                <w:highlight w:val="none"/>
              </w:rPr>
            </w:pPr>
          </w:p>
        </w:tc>
      </w:tr>
      <w:tr w14:paraId="2924A9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14:paraId="6D0F7485">
            <w:pPr>
              <w:widowControl/>
              <w:jc w:val="center"/>
              <w:outlineLvl w:val="1"/>
              <w:rPr>
                <w:rFonts w:ascii="Times New Roman" w:hAnsi="Times New Roman" w:eastAsia="宋体" w:cs="Times New Roman"/>
                <w:color w:val="auto"/>
                <w:kern w:val="0"/>
                <w:szCs w:val="21"/>
                <w:highlight w:val="none"/>
              </w:rPr>
            </w:pPr>
            <w:bookmarkStart w:id="361" w:name="_Toc218468905"/>
            <w:bookmarkStart w:id="362" w:name="_Toc1713395972"/>
            <w:r>
              <w:rPr>
                <w:rFonts w:ascii="Times New Roman" w:hAnsi="Times New Roman" w:eastAsia="宋体" w:cs="Times New Roman"/>
                <w:b/>
                <w:bCs/>
                <w:color w:val="auto"/>
                <w:kern w:val="0"/>
                <w:szCs w:val="21"/>
                <w:highlight w:val="none"/>
              </w:rPr>
              <w:t>《建设工程安全生产管理条例》《水利工程建设监理规定》案由28项</w:t>
            </w:r>
            <w:bookmarkEnd w:id="361"/>
            <w:bookmarkEnd w:id="362"/>
          </w:p>
        </w:tc>
        <w:tc>
          <w:tcPr>
            <w:tcW w:w="3173" w:type="dxa"/>
            <w:gridSpan w:val="3"/>
            <w:tcBorders>
              <w:top w:val="nil"/>
              <w:left w:val="single" w:color="auto" w:sz="4" w:space="0"/>
              <w:bottom w:val="single" w:color="auto" w:sz="4" w:space="0"/>
              <w:right w:val="single" w:color="auto" w:sz="4" w:space="0"/>
            </w:tcBorders>
            <w:noWrap/>
            <w:vAlign w:val="center"/>
          </w:tcPr>
          <w:p w14:paraId="72045877">
            <w:pPr>
              <w:widowControl/>
              <w:jc w:val="center"/>
              <w:outlineLvl w:val="1"/>
              <w:rPr>
                <w:rFonts w:ascii="Times New Roman" w:hAnsi="Times New Roman" w:eastAsia="宋体" w:cs="Times New Roman"/>
                <w:b/>
                <w:bCs/>
                <w:color w:val="auto"/>
                <w:kern w:val="0"/>
                <w:szCs w:val="21"/>
                <w:highlight w:val="none"/>
              </w:rPr>
            </w:pPr>
          </w:p>
        </w:tc>
      </w:tr>
      <w:tr w14:paraId="2D05DF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46306316">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14:paraId="688BF550">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水利工程建设监理单位未对施工组织设计中的安全技术措施或者专项施工方案进行审查</w:t>
            </w:r>
          </w:p>
        </w:tc>
        <w:tc>
          <w:tcPr>
            <w:tcW w:w="2981" w:type="dxa"/>
            <w:tcBorders>
              <w:top w:val="nil"/>
              <w:left w:val="nil"/>
              <w:bottom w:val="single" w:color="auto" w:sz="4" w:space="0"/>
              <w:right w:val="single" w:color="auto" w:sz="4" w:space="0"/>
            </w:tcBorders>
            <w:noWrap w:val="0"/>
            <w:vAlign w:val="center"/>
          </w:tcPr>
          <w:p w14:paraId="07AD119D">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违反条款：《条例》第十四条第一款 、《规定》</w:t>
            </w:r>
            <w:r>
              <w:rPr>
                <w:rFonts w:hint="eastAsia" w:ascii="Times New Roman" w:hAnsi="Times New Roman" w:eastAsia="宋体" w:cs="Times New Roman"/>
                <w:strike w:val="0"/>
                <w:dstrike w:val="0"/>
                <w:color w:val="000000"/>
                <w:kern w:val="0"/>
                <w:sz w:val="15"/>
                <w:szCs w:val="15"/>
                <w:highlight w:val="none"/>
                <w:lang w:eastAsia="zh-CN"/>
              </w:rPr>
              <w:t>第二十四条</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处罚条款：《条例》第五十七条第（一）项，责令限期改正；逾期未改正的，责令停业整顿，并处10万元以上30万元以下的罚款；情节严重的，降低资质等级，直至吊销资质证书。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14:paraId="5EF6CD57">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4D86FA85">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BD3B1BC">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BA5CB8C">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2CFC2523">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1900FD0C">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701B7DB">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C2327100</w:t>
            </w:r>
          </w:p>
        </w:tc>
      </w:tr>
      <w:tr w14:paraId="3A5073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30495D6E">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14:paraId="6C22871D">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水利工程建设监理单位发现安全事故隐患未及时要求施工单位整改或者暂时停止施工</w:t>
            </w:r>
          </w:p>
        </w:tc>
        <w:tc>
          <w:tcPr>
            <w:tcW w:w="2981" w:type="dxa"/>
            <w:tcBorders>
              <w:top w:val="nil"/>
              <w:left w:val="nil"/>
              <w:bottom w:val="single" w:color="auto" w:sz="4" w:space="0"/>
              <w:right w:val="single" w:color="auto" w:sz="4" w:space="0"/>
            </w:tcBorders>
            <w:noWrap w:val="0"/>
            <w:vAlign w:val="center"/>
          </w:tcPr>
          <w:p w14:paraId="71B7CBE9">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违反条款：《条例》第十四条第二款 、《规定》</w:t>
            </w:r>
            <w:r>
              <w:rPr>
                <w:rFonts w:hint="eastAsia" w:ascii="Times New Roman" w:hAnsi="Times New Roman" w:eastAsia="宋体" w:cs="Times New Roman"/>
                <w:color w:val="000000"/>
                <w:kern w:val="0"/>
                <w:sz w:val="15"/>
                <w:szCs w:val="15"/>
                <w:highlight w:val="none"/>
                <w:lang w:eastAsia="zh-CN"/>
              </w:rPr>
              <w:t>第二十五条第一款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处罚条款：《条例》第五十七条第（二）项，责令限期改正；逾期未改正的，责令停业整顿，并处10万元以上30万元以下的罚款；情节严重的，降低资质等级，直至吊销资质证书。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14:paraId="28F89654">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63D73CAF">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29C5FD7">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2AC806EB">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6F4397FE">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5554A2EB">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2CDF20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C2327200</w:t>
            </w:r>
          </w:p>
        </w:tc>
      </w:tr>
      <w:tr w14:paraId="578015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688DC443">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14:paraId="778D22AD">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水利工程建设监理单位发现施工单位拒不整改或者不停止施工，未及时报告</w:t>
            </w:r>
          </w:p>
        </w:tc>
        <w:tc>
          <w:tcPr>
            <w:tcW w:w="2981" w:type="dxa"/>
            <w:tcBorders>
              <w:top w:val="nil"/>
              <w:left w:val="nil"/>
              <w:bottom w:val="single" w:color="auto" w:sz="4" w:space="0"/>
              <w:right w:val="single" w:color="auto" w:sz="4" w:space="0"/>
            </w:tcBorders>
            <w:noWrap w:val="0"/>
            <w:vAlign w:val="center"/>
          </w:tcPr>
          <w:p w14:paraId="2EBC6D31">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违反条款：《条例》第十四条第二款 、《规定》</w:t>
            </w:r>
            <w:r>
              <w:rPr>
                <w:rFonts w:hint="eastAsia" w:ascii="Times New Roman" w:hAnsi="Times New Roman" w:eastAsia="宋体" w:cs="Times New Roman"/>
                <w:color w:val="000000"/>
                <w:kern w:val="0"/>
                <w:sz w:val="15"/>
                <w:szCs w:val="15"/>
                <w:highlight w:val="none"/>
                <w:lang w:eastAsia="zh-CN"/>
              </w:rPr>
              <w:t>第二十五条第</w:t>
            </w:r>
            <w:r>
              <w:rPr>
                <w:rFonts w:hint="eastAsia" w:ascii="Times New Roman" w:hAnsi="Times New Roman" w:cs="Times New Roman"/>
                <w:color w:val="000000"/>
                <w:kern w:val="0"/>
                <w:sz w:val="15"/>
                <w:szCs w:val="15"/>
                <w:highlight w:val="none"/>
                <w:lang w:eastAsia="zh-CN"/>
              </w:rPr>
              <w:t>二</w:t>
            </w:r>
            <w:r>
              <w:rPr>
                <w:rFonts w:hint="eastAsia" w:ascii="Times New Roman" w:hAnsi="Times New Roman" w:eastAsia="宋体" w:cs="Times New Roman"/>
                <w:color w:val="000000"/>
                <w:kern w:val="0"/>
                <w:sz w:val="15"/>
                <w:szCs w:val="15"/>
                <w:highlight w:val="none"/>
                <w:lang w:eastAsia="zh-CN"/>
              </w:rPr>
              <w:t>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处罚条款：《条例》第五十七条第（三）项，责令限期改正；逾期未改正的，责令停业整顿，并处10万元以上30万元以下的罚款；情节严重的，降低资质等级，直至吊销资质证书。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14:paraId="078B19D5">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4C08EC99">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BDBE612">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D09C0E7">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2FC66AFE">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2A4AC4FA">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7CD614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C2327300</w:t>
            </w:r>
          </w:p>
        </w:tc>
      </w:tr>
      <w:tr w14:paraId="2A1E33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6C160CD7">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14:paraId="44C8E315">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水利工程建设监理单位未依照法律、法规和工程建设强制性标准实施监理</w:t>
            </w:r>
          </w:p>
        </w:tc>
        <w:tc>
          <w:tcPr>
            <w:tcW w:w="2981" w:type="dxa"/>
            <w:tcBorders>
              <w:top w:val="nil"/>
              <w:left w:val="nil"/>
              <w:bottom w:val="single" w:color="auto" w:sz="4" w:space="0"/>
              <w:right w:val="single" w:color="auto" w:sz="4" w:space="0"/>
            </w:tcBorders>
            <w:noWrap w:val="0"/>
            <w:vAlign w:val="center"/>
          </w:tcPr>
          <w:p w14:paraId="28B008C4">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违反条款：《条例》第十四条第三款 、《规定》</w:t>
            </w:r>
            <w:r>
              <w:rPr>
                <w:rFonts w:hint="eastAsia" w:ascii="Times New Roman" w:hAnsi="Times New Roman" w:eastAsia="宋体" w:cs="Times New Roman"/>
                <w:color w:val="000000"/>
                <w:kern w:val="0"/>
                <w:sz w:val="15"/>
                <w:szCs w:val="15"/>
                <w:highlight w:val="none"/>
                <w:lang w:eastAsia="zh-CN"/>
              </w:rPr>
              <w:t>第六条</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处罚条款：《条例》第五十七条第（四）项，责令限期改正；逾期未改正的，责令停业整顿，并处10万元以上30万元以下的罚款；情节严重的，降低资质等级，直至吊销资质证书。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14:paraId="40EC6303">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0D088367">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6FCC3F8">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涉及1处法律法规条款或强制性条文，系数为0；2.涉及2处法律法规条款或强制性条文，系数为0.4；3.涉及3处法律法规条款或强制性条文，系数为0.8；4.涉及4处法律法规条款或强制性条文，系数为1.2；5.涉及5处法律法规条款或强制性条文，系数为1.6；6.涉及6处及以上法律法规条款或强制性条文，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7F34CEF">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00A6CFD8">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17692880">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ED66B1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C2327400</w:t>
            </w:r>
          </w:p>
        </w:tc>
      </w:tr>
      <w:tr w14:paraId="1949B4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14:paraId="3B58546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14:paraId="784044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建设单位未提供建设工程安全生产作业环境及安全施工措施所需费用且逾期未改正</w:t>
            </w:r>
          </w:p>
        </w:tc>
        <w:tc>
          <w:tcPr>
            <w:tcW w:w="2981" w:type="dxa"/>
            <w:tcBorders>
              <w:top w:val="nil"/>
              <w:left w:val="nil"/>
              <w:bottom w:val="single" w:color="auto" w:sz="4" w:space="0"/>
              <w:right w:val="single" w:color="auto" w:sz="4" w:space="0"/>
            </w:tcBorders>
            <w:noWrap w:val="0"/>
            <w:vAlign w:val="center"/>
          </w:tcPr>
          <w:p w14:paraId="48DD7B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处罚条款：《条例》第五十四条第一款，责令限期改正；逾期未改正的，责令该建设工程停止施工。</w:t>
            </w:r>
          </w:p>
        </w:tc>
        <w:tc>
          <w:tcPr>
            <w:tcW w:w="851" w:type="dxa"/>
            <w:tcBorders>
              <w:top w:val="nil"/>
              <w:left w:val="nil"/>
              <w:bottom w:val="single" w:color="auto" w:sz="4" w:space="0"/>
              <w:right w:val="single" w:color="auto" w:sz="4" w:space="0"/>
            </w:tcBorders>
            <w:noWrap w:val="0"/>
            <w:vAlign w:val="center"/>
          </w:tcPr>
          <w:p w14:paraId="4838F6F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4322370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7E98FC1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14:paraId="5B45635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741D3FE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69CF1D3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B5F28CA">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C2332400</w:t>
            </w:r>
          </w:p>
        </w:tc>
      </w:tr>
      <w:tr w14:paraId="7F75EF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474" w:hRule="atLeast"/>
        </w:trPr>
        <w:tc>
          <w:tcPr>
            <w:tcW w:w="716" w:type="dxa"/>
            <w:gridSpan w:val="2"/>
            <w:tcBorders>
              <w:top w:val="nil"/>
              <w:left w:val="single" w:color="auto" w:sz="4" w:space="0"/>
              <w:bottom w:val="single" w:color="auto" w:sz="4" w:space="0"/>
              <w:right w:val="single" w:color="auto" w:sz="4" w:space="0"/>
            </w:tcBorders>
            <w:noWrap/>
            <w:vAlign w:val="center"/>
          </w:tcPr>
          <w:p w14:paraId="101791F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14:paraId="5ED29C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建设单位对勘察、设计、施工、监理等单位提出不符合安全生产法律、法规和强制性标准规定的要求</w:t>
            </w:r>
          </w:p>
        </w:tc>
        <w:tc>
          <w:tcPr>
            <w:tcW w:w="2981" w:type="dxa"/>
            <w:tcBorders>
              <w:top w:val="nil"/>
              <w:left w:val="nil"/>
              <w:bottom w:val="single" w:color="auto" w:sz="4" w:space="0"/>
              <w:right w:val="single" w:color="auto" w:sz="4" w:space="0"/>
            </w:tcBorders>
            <w:noWrap w:val="0"/>
            <w:vAlign w:val="center"/>
          </w:tcPr>
          <w:p w14:paraId="64D10F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处罚条款：《条例》第五十五条第一款第（一）项，责令限期改正，处20万元以上50万元以下的罚款。</w:t>
            </w:r>
          </w:p>
        </w:tc>
        <w:tc>
          <w:tcPr>
            <w:tcW w:w="851" w:type="dxa"/>
            <w:tcBorders>
              <w:top w:val="nil"/>
              <w:left w:val="nil"/>
              <w:bottom w:val="single" w:color="auto" w:sz="4" w:space="0"/>
              <w:right w:val="single" w:color="auto" w:sz="4" w:space="0"/>
            </w:tcBorders>
            <w:noWrap w:val="0"/>
            <w:vAlign w:val="center"/>
          </w:tcPr>
          <w:p w14:paraId="4086ED0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200000 </w:t>
            </w:r>
          </w:p>
        </w:tc>
        <w:tc>
          <w:tcPr>
            <w:tcW w:w="840" w:type="dxa"/>
            <w:tcBorders>
              <w:top w:val="nil"/>
              <w:left w:val="nil"/>
              <w:bottom w:val="single" w:color="auto" w:sz="4" w:space="0"/>
              <w:right w:val="single" w:color="auto" w:sz="4" w:space="0"/>
            </w:tcBorders>
            <w:noWrap w:val="0"/>
            <w:vAlign w:val="center"/>
          </w:tcPr>
          <w:p w14:paraId="112BD1F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558C40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提出不符合相关规定要求的事项1个，系数为0；2.提出不符合相关规定要求的事项2个，系数为0.3；3.提出不符合相关规定要求的事项3个，系数为0.6；4.提出不符合相关规定要求的事项4个，系数为0.9；5.提出不符合相关规定要求的事项5个，系数为1.2；6.提出不符合相关规定要求的事项≥6个，系数为1.5；7.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F07A8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14:paraId="76C43E9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1754F26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25ACCDC">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C2325900</w:t>
            </w:r>
          </w:p>
        </w:tc>
      </w:tr>
      <w:tr w14:paraId="1FB3553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85" w:hRule="atLeast"/>
        </w:trPr>
        <w:tc>
          <w:tcPr>
            <w:tcW w:w="716" w:type="dxa"/>
            <w:gridSpan w:val="2"/>
            <w:tcBorders>
              <w:top w:val="nil"/>
              <w:left w:val="single" w:color="auto" w:sz="4" w:space="0"/>
              <w:bottom w:val="single" w:color="auto" w:sz="4" w:space="0"/>
              <w:right w:val="single" w:color="auto" w:sz="4" w:space="0"/>
            </w:tcBorders>
            <w:noWrap/>
            <w:vAlign w:val="center"/>
          </w:tcPr>
          <w:p w14:paraId="4D59554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14:paraId="6E49ED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建设单位要求施工单位压缩合同约定的工期</w:t>
            </w:r>
          </w:p>
        </w:tc>
        <w:tc>
          <w:tcPr>
            <w:tcW w:w="2981" w:type="dxa"/>
            <w:tcBorders>
              <w:top w:val="nil"/>
              <w:left w:val="nil"/>
              <w:bottom w:val="single" w:color="auto" w:sz="4" w:space="0"/>
              <w:right w:val="single" w:color="auto" w:sz="4" w:space="0"/>
            </w:tcBorders>
            <w:noWrap w:val="0"/>
            <w:vAlign w:val="center"/>
          </w:tcPr>
          <w:p w14:paraId="370DDD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处罚条款：《条例》第五十五条第一款第（二）项，责令限期改正，处20万元以上50万元以下的罚款。</w:t>
            </w:r>
          </w:p>
        </w:tc>
        <w:tc>
          <w:tcPr>
            <w:tcW w:w="851" w:type="dxa"/>
            <w:tcBorders>
              <w:top w:val="nil"/>
              <w:left w:val="nil"/>
              <w:bottom w:val="single" w:color="auto" w:sz="4" w:space="0"/>
              <w:right w:val="single" w:color="auto" w:sz="4" w:space="0"/>
            </w:tcBorders>
            <w:noWrap w:val="0"/>
            <w:vAlign w:val="center"/>
          </w:tcPr>
          <w:p w14:paraId="5D4702D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200000 </w:t>
            </w:r>
          </w:p>
        </w:tc>
        <w:tc>
          <w:tcPr>
            <w:tcW w:w="840" w:type="dxa"/>
            <w:tcBorders>
              <w:top w:val="nil"/>
              <w:left w:val="nil"/>
              <w:bottom w:val="single" w:color="auto" w:sz="4" w:space="0"/>
              <w:right w:val="single" w:color="auto" w:sz="4" w:space="0"/>
            </w:tcBorders>
            <w:noWrap w:val="0"/>
            <w:vAlign w:val="center"/>
          </w:tcPr>
          <w:p w14:paraId="4ACC095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6686A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工期＜10%，系数为0；2.10%≤压缩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工期＜15%，系数为0.3；3.15%≤压缩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工期＜20%，系数为0.6；4.20%≤压缩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工期＜25%，系数为0.9；5.25%≤压缩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工期＜30%，系数为1.2；6.30%≤压缩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工期，系数为 1.5；7.造成生产安全事故，系数为1.5。8.存在基准2.1.3规定情形的，系数按照相关规定确定（基准2.1.3.5不适用）。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DC4D9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14:paraId="7333A5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688D65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82C8FCD">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C2333100</w:t>
            </w:r>
          </w:p>
        </w:tc>
      </w:tr>
      <w:tr w14:paraId="2D58DA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2042F5B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14:paraId="5BDF38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采用新结构、新材料、新工艺的建设工程和特殊结构的建设工程，设计单位未在设计中提出保障施工作业人员安全和预防生产安全事故的措施建议</w:t>
            </w:r>
          </w:p>
        </w:tc>
        <w:tc>
          <w:tcPr>
            <w:tcW w:w="2981" w:type="dxa"/>
            <w:tcBorders>
              <w:top w:val="nil"/>
              <w:left w:val="nil"/>
              <w:bottom w:val="single" w:color="auto" w:sz="4" w:space="0"/>
              <w:right w:val="single" w:color="auto" w:sz="4" w:space="0"/>
            </w:tcBorders>
            <w:noWrap w:val="0"/>
            <w:vAlign w:val="center"/>
          </w:tcPr>
          <w:p w14:paraId="28D960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违反条款：《条例》第十三条第三款；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处罚条款：《条例》第五十六条第一款第（二）项，责令限期改正，处10万元以上30万元以下的罚款；情节严重的，责令停业整顿，降低资质等级，直至吊销资质证书。</w:t>
            </w:r>
          </w:p>
        </w:tc>
        <w:tc>
          <w:tcPr>
            <w:tcW w:w="851" w:type="dxa"/>
            <w:tcBorders>
              <w:top w:val="nil"/>
              <w:left w:val="nil"/>
              <w:bottom w:val="single" w:color="auto" w:sz="4" w:space="0"/>
              <w:right w:val="single" w:color="auto" w:sz="4" w:space="0"/>
            </w:tcBorders>
            <w:noWrap w:val="0"/>
            <w:vAlign w:val="center"/>
          </w:tcPr>
          <w:p w14:paraId="1E84EF9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24E0FDE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D0DDF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40C6A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44675C7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241EB24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CB26DA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C2333300</w:t>
            </w:r>
          </w:p>
        </w:tc>
      </w:tr>
      <w:tr w14:paraId="6FA236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54BC013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14:paraId="37CC4F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为建设工程提供机械设备和配件的单位，未按照安全施工的要求配备齐全有效的保险、限位等安全设施和装置</w:t>
            </w:r>
          </w:p>
        </w:tc>
        <w:tc>
          <w:tcPr>
            <w:tcW w:w="2981" w:type="dxa"/>
            <w:tcBorders>
              <w:top w:val="nil"/>
              <w:left w:val="nil"/>
              <w:bottom w:val="single" w:color="auto" w:sz="4" w:space="0"/>
              <w:right w:val="single" w:color="auto" w:sz="4" w:space="0"/>
            </w:tcBorders>
            <w:noWrap w:val="0"/>
            <w:vAlign w:val="center"/>
          </w:tcPr>
          <w:p w14:paraId="4419CB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处罚条款：《条例》第五十九条，责令限期改正，处合同价款1倍以上3倍以下的罚款。</w:t>
            </w:r>
          </w:p>
        </w:tc>
        <w:tc>
          <w:tcPr>
            <w:tcW w:w="851" w:type="dxa"/>
            <w:tcBorders>
              <w:top w:val="nil"/>
              <w:left w:val="nil"/>
              <w:bottom w:val="single" w:color="auto" w:sz="4" w:space="0"/>
              <w:right w:val="single" w:color="auto" w:sz="4" w:space="0"/>
            </w:tcBorders>
            <w:noWrap w:val="0"/>
            <w:vAlign w:val="center"/>
          </w:tcPr>
          <w:p w14:paraId="0705241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合同价款×1倍</w:t>
            </w:r>
          </w:p>
        </w:tc>
        <w:tc>
          <w:tcPr>
            <w:tcW w:w="840" w:type="dxa"/>
            <w:tcBorders>
              <w:top w:val="nil"/>
              <w:left w:val="nil"/>
              <w:bottom w:val="single" w:color="auto" w:sz="4" w:space="0"/>
              <w:right w:val="single" w:color="auto" w:sz="4" w:space="0"/>
            </w:tcBorders>
            <w:noWrap w:val="0"/>
            <w:vAlign w:val="center"/>
          </w:tcPr>
          <w:p w14:paraId="3D1162F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3213DA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1.不符合要求的安全设施或装备1个，系数为0；2.不符合要求的安全设施或装备2个，系数为1；3.不符合要求的安全设施或装备1个或造成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92D22C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罚款金额=合同价款×（1+情节系数）</w:t>
            </w:r>
          </w:p>
        </w:tc>
        <w:tc>
          <w:tcPr>
            <w:tcW w:w="2016" w:type="dxa"/>
            <w:tcBorders>
              <w:top w:val="nil"/>
              <w:left w:val="nil"/>
              <w:bottom w:val="single" w:color="auto" w:sz="4" w:space="0"/>
              <w:right w:val="single" w:color="auto" w:sz="4" w:space="0"/>
            </w:tcBorders>
            <w:noWrap w:val="0"/>
            <w:vAlign w:val="center"/>
          </w:tcPr>
          <w:p w14:paraId="7E9020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4B041B5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AB13CA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C2333400</w:t>
            </w:r>
          </w:p>
        </w:tc>
      </w:tr>
      <w:tr w14:paraId="73A289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38A4BED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14:paraId="6A390BC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参与水利工程建设活动的施工起重机械和整体提升脚手架、模板等自升式架设设施安装、拆卸单位未编制拆装方案、制定安全施工措施</w:t>
            </w:r>
          </w:p>
        </w:tc>
        <w:tc>
          <w:tcPr>
            <w:tcW w:w="2981" w:type="dxa"/>
            <w:tcBorders>
              <w:top w:val="nil"/>
              <w:left w:val="nil"/>
              <w:bottom w:val="single" w:color="auto" w:sz="4" w:space="0"/>
              <w:right w:val="single" w:color="auto" w:sz="4" w:space="0"/>
            </w:tcBorders>
            <w:noWrap w:val="0"/>
            <w:vAlign w:val="center"/>
          </w:tcPr>
          <w:p w14:paraId="16753C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处罚条款：《条例》第六十一条第一款第（一）项，责令限期改正，处5万元以上10万元以下的罚款；情节严重的，责令停业整顿，降低资质等级，直至吊销资质证书。</w:t>
            </w:r>
          </w:p>
        </w:tc>
        <w:tc>
          <w:tcPr>
            <w:tcW w:w="851" w:type="dxa"/>
            <w:tcBorders>
              <w:top w:val="nil"/>
              <w:left w:val="nil"/>
              <w:bottom w:val="single" w:color="auto" w:sz="4" w:space="0"/>
              <w:right w:val="single" w:color="auto" w:sz="4" w:space="0"/>
            </w:tcBorders>
            <w:noWrap w:val="0"/>
            <w:vAlign w:val="center"/>
          </w:tcPr>
          <w:p w14:paraId="7537C4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4335C76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4F327DC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7EA3B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1736424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4A33051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EB23B47">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C2333700</w:t>
            </w:r>
          </w:p>
        </w:tc>
      </w:tr>
      <w:tr w14:paraId="7CAF57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30BBB37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4" w:type="dxa"/>
            <w:tcBorders>
              <w:top w:val="nil"/>
              <w:left w:val="nil"/>
              <w:bottom w:val="single" w:color="auto" w:sz="4" w:space="0"/>
              <w:right w:val="single" w:color="auto" w:sz="4" w:space="0"/>
            </w:tcBorders>
            <w:noWrap w:val="0"/>
            <w:vAlign w:val="center"/>
          </w:tcPr>
          <w:p w14:paraId="7B7D84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参与水利工程建设活动的施工起重机械和整体提升脚手架、模板等自升式架设设施安装、拆卸单位未由专业技术人员现场监督</w:t>
            </w:r>
          </w:p>
        </w:tc>
        <w:tc>
          <w:tcPr>
            <w:tcW w:w="2981" w:type="dxa"/>
            <w:tcBorders>
              <w:top w:val="nil"/>
              <w:left w:val="nil"/>
              <w:bottom w:val="single" w:color="auto" w:sz="4" w:space="0"/>
              <w:right w:val="single" w:color="auto" w:sz="4" w:space="0"/>
            </w:tcBorders>
            <w:noWrap w:val="0"/>
            <w:vAlign w:val="center"/>
          </w:tcPr>
          <w:p w14:paraId="644C9A6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处罚条款：《条例》第六十一条第一款第（二）项，责令限期改正，处5万元以上10万元以下的罚款；情节严重的，责令停业整顿，降低资质等级，直至吊销资质证书。</w:t>
            </w:r>
          </w:p>
        </w:tc>
        <w:tc>
          <w:tcPr>
            <w:tcW w:w="851" w:type="dxa"/>
            <w:tcBorders>
              <w:top w:val="nil"/>
              <w:left w:val="nil"/>
              <w:bottom w:val="single" w:color="auto" w:sz="4" w:space="0"/>
              <w:right w:val="single" w:color="auto" w:sz="4" w:space="0"/>
            </w:tcBorders>
            <w:noWrap w:val="0"/>
            <w:vAlign w:val="center"/>
          </w:tcPr>
          <w:p w14:paraId="200CB82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0AF198B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79AF97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4CF2AF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10C332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74D5D0B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F382113">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C2333800</w:t>
            </w:r>
          </w:p>
        </w:tc>
      </w:tr>
      <w:tr w14:paraId="028FD9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09AB889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4" w:type="dxa"/>
            <w:tcBorders>
              <w:top w:val="nil"/>
              <w:left w:val="nil"/>
              <w:bottom w:val="single" w:color="auto" w:sz="4" w:space="0"/>
              <w:right w:val="single" w:color="auto" w:sz="4" w:space="0"/>
            </w:tcBorders>
            <w:noWrap w:val="0"/>
            <w:vAlign w:val="center"/>
          </w:tcPr>
          <w:p w14:paraId="294DE7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参与水利工程建设活动的施工起重机械和整体提升脚手架、模板等自升式架设设施安装、拆卸单位未出具自检合格证明或者出具虚假证明</w:t>
            </w:r>
          </w:p>
        </w:tc>
        <w:tc>
          <w:tcPr>
            <w:tcW w:w="2981" w:type="dxa"/>
            <w:tcBorders>
              <w:top w:val="nil"/>
              <w:left w:val="nil"/>
              <w:bottom w:val="single" w:color="auto" w:sz="4" w:space="0"/>
              <w:right w:val="single" w:color="auto" w:sz="4" w:space="0"/>
            </w:tcBorders>
            <w:noWrap w:val="0"/>
            <w:vAlign w:val="center"/>
          </w:tcPr>
          <w:p w14:paraId="773544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处罚条款：《条例》第六十一条第一款第（三）项，责令限期改正，处5万元以上10万元以下的罚款；情节严重的，责令停业整顿，降低资质等级，直至吊销资质证书。</w:t>
            </w:r>
          </w:p>
        </w:tc>
        <w:tc>
          <w:tcPr>
            <w:tcW w:w="851" w:type="dxa"/>
            <w:tcBorders>
              <w:top w:val="nil"/>
              <w:left w:val="nil"/>
              <w:bottom w:val="single" w:color="auto" w:sz="4" w:space="0"/>
              <w:right w:val="single" w:color="auto" w:sz="4" w:space="0"/>
            </w:tcBorders>
            <w:noWrap w:val="0"/>
            <w:vAlign w:val="center"/>
          </w:tcPr>
          <w:p w14:paraId="36AD339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13DA941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C6B55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AF4FA6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274BB31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6E10237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8F340FD">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C2333900</w:t>
            </w:r>
          </w:p>
        </w:tc>
      </w:tr>
      <w:tr w14:paraId="3C4BF1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2615EB6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4" w:type="dxa"/>
            <w:tcBorders>
              <w:top w:val="nil"/>
              <w:left w:val="nil"/>
              <w:bottom w:val="single" w:color="auto" w:sz="4" w:space="0"/>
              <w:right w:val="single" w:color="auto" w:sz="4" w:space="0"/>
            </w:tcBorders>
            <w:noWrap w:val="0"/>
            <w:vAlign w:val="center"/>
          </w:tcPr>
          <w:p w14:paraId="267B79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参与水利工程建设活动的施工起重机械和整体提升脚手架、模板等自升式架设设施安装、拆卸单位未向施工单位进行安全使用说明，办理移交手续</w:t>
            </w:r>
          </w:p>
        </w:tc>
        <w:tc>
          <w:tcPr>
            <w:tcW w:w="2981" w:type="dxa"/>
            <w:tcBorders>
              <w:top w:val="nil"/>
              <w:left w:val="nil"/>
              <w:bottom w:val="single" w:color="auto" w:sz="4" w:space="0"/>
              <w:right w:val="single" w:color="auto" w:sz="4" w:space="0"/>
            </w:tcBorders>
            <w:noWrap w:val="0"/>
            <w:vAlign w:val="center"/>
          </w:tcPr>
          <w:p w14:paraId="30ED62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处罚条款：《条例》第六十一条第一款第（四）项，责令限期改正，处5万元以上10万元以下的罚款；情节严重的，责令停业整顿，降低资质等级，直至吊销资质证书。</w:t>
            </w:r>
          </w:p>
        </w:tc>
        <w:tc>
          <w:tcPr>
            <w:tcW w:w="851" w:type="dxa"/>
            <w:tcBorders>
              <w:top w:val="nil"/>
              <w:left w:val="nil"/>
              <w:bottom w:val="single" w:color="auto" w:sz="4" w:space="0"/>
              <w:right w:val="single" w:color="auto" w:sz="4" w:space="0"/>
            </w:tcBorders>
            <w:noWrap w:val="0"/>
            <w:vAlign w:val="center"/>
          </w:tcPr>
          <w:p w14:paraId="47868C6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4A19C53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24C6B1B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0688F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287B5D2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1630309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5EB47C7E">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C2334000</w:t>
            </w:r>
          </w:p>
        </w:tc>
      </w:tr>
      <w:tr w14:paraId="30DE66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263" w:hRule="atLeast"/>
        </w:trPr>
        <w:tc>
          <w:tcPr>
            <w:tcW w:w="716" w:type="dxa"/>
            <w:gridSpan w:val="2"/>
            <w:tcBorders>
              <w:top w:val="nil"/>
              <w:left w:val="single" w:color="auto" w:sz="4" w:space="0"/>
              <w:bottom w:val="single" w:color="auto" w:sz="4" w:space="0"/>
              <w:right w:val="single" w:color="auto" w:sz="4" w:space="0"/>
            </w:tcBorders>
            <w:noWrap/>
            <w:vAlign w:val="center"/>
          </w:tcPr>
          <w:p w14:paraId="7704A0F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4" w:type="dxa"/>
            <w:tcBorders>
              <w:top w:val="nil"/>
              <w:left w:val="nil"/>
              <w:bottom w:val="single" w:color="auto" w:sz="4" w:space="0"/>
              <w:right w:val="single" w:color="auto" w:sz="4" w:space="0"/>
            </w:tcBorders>
            <w:noWrap w:val="0"/>
            <w:vAlign w:val="center"/>
          </w:tcPr>
          <w:p w14:paraId="51FCF9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施工单位未按照规定在施工起重机械和整体提升脚手架、模板等自升式架设设施验收合格后登记</w:t>
            </w:r>
          </w:p>
        </w:tc>
        <w:tc>
          <w:tcPr>
            <w:tcW w:w="2981" w:type="dxa"/>
            <w:tcBorders>
              <w:top w:val="nil"/>
              <w:left w:val="nil"/>
              <w:bottom w:val="single" w:color="auto" w:sz="4" w:space="0"/>
              <w:right w:val="single" w:color="auto" w:sz="4" w:space="0"/>
            </w:tcBorders>
            <w:noWrap w:val="0"/>
            <w:vAlign w:val="center"/>
          </w:tcPr>
          <w:p w14:paraId="52ECB0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 第六十二条第（五）项，责令限期改正；逾期未改正的，责令停业整顿，依照《中华人民共和国安全生产法》的有关规定处以罚款。</w:t>
            </w:r>
          </w:p>
        </w:tc>
        <w:tc>
          <w:tcPr>
            <w:tcW w:w="851" w:type="dxa"/>
            <w:tcBorders>
              <w:top w:val="nil"/>
              <w:left w:val="nil"/>
              <w:bottom w:val="single" w:color="auto" w:sz="4" w:space="0"/>
              <w:right w:val="single" w:color="auto" w:sz="4" w:space="0"/>
            </w:tcBorders>
            <w:noWrap w:val="0"/>
            <w:vAlign w:val="center"/>
          </w:tcPr>
          <w:p w14:paraId="259A166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588EACE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11C9F94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14:paraId="59D5BEB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5CA5A9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692E333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0A251E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C2334800</w:t>
            </w:r>
          </w:p>
        </w:tc>
      </w:tr>
      <w:tr w14:paraId="3A39CD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79FE931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4" w:type="dxa"/>
            <w:tcBorders>
              <w:top w:val="nil"/>
              <w:left w:val="nil"/>
              <w:bottom w:val="single" w:color="auto" w:sz="4" w:space="0"/>
              <w:right w:val="single" w:color="auto" w:sz="4" w:space="0"/>
            </w:tcBorders>
            <w:noWrap w:val="0"/>
            <w:vAlign w:val="center"/>
          </w:tcPr>
          <w:p w14:paraId="482703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施工单位挪用列入建设工程概算的安全生产作业环境及安全施工措施所需费用的</w:t>
            </w:r>
          </w:p>
        </w:tc>
        <w:tc>
          <w:tcPr>
            <w:tcW w:w="2981" w:type="dxa"/>
            <w:tcBorders>
              <w:top w:val="nil"/>
              <w:left w:val="nil"/>
              <w:bottom w:val="single" w:color="auto" w:sz="4" w:space="0"/>
              <w:right w:val="single" w:color="auto" w:sz="4" w:space="0"/>
            </w:tcBorders>
            <w:noWrap w:val="0"/>
            <w:vAlign w:val="center"/>
          </w:tcPr>
          <w:p w14:paraId="227A5C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处罚条款：《条例》第六十三条，责令限期改正，处挪用费用20%以上50%以下的罚款。</w:t>
            </w:r>
          </w:p>
        </w:tc>
        <w:tc>
          <w:tcPr>
            <w:tcW w:w="851" w:type="dxa"/>
            <w:tcBorders>
              <w:top w:val="nil"/>
              <w:left w:val="nil"/>
              <w:bottom w:val="single" w:color="auto" w:sz="4" w:space="0"/>
              <w:right w:val="single" w:color="auto" w:sz="4" w:space="0"/>
            </w:tcBorders>
            <w:noWrap w:val="0"/>
            <w:vAlign w:val="center"/>
          </w:tcPr>
          <w:p w14:paraId="4ED53D6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挪用费用×20%</w:t>
            </w:r>
          </w:p>
        </w:tc>
        <w:tc>
          <w:tcPr>
            <w:tcW w:w="840" w:type="dxa"/>
            <w:tcBorders>
              <w:top w:val="nil"/>
              <w:left w:val="nil"/>
              <w:bottom w:val="single" w:color="auto" w:sz="4" w:space="0"/>
              <w:right w:val="single" w:color="auto" w:sz="4" w:space="0"/>
            </w:tcBorders>
            <w:noWrap/>
            <w:vAlign w:val="center"/>
          </w:tcPr>
          <w:p w14:paraId="1353CC2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089C78B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1.挪用费用/安全生产总费用＜10%，系数为0;2.10%≤挪用费用/安全生产总费用＜30%，系数为0.5;3.30%≤挪用费用/安全生产总费用＜50%，系数为1;4.50%≤挪用费用/安全生产总费用或造成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恶劣影响，系数为1.5。5.存在基准2.1.3规定情形的，系数按照相关规定确定（基准2.1.3.5不适用）。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74417E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罚款金额=挪用费用20%×（1+情节系数）</w:t>
            </w:r>
          </w:p>
        </w:tc>
        <w:tc>
          <w:tcPr>
            <w:tcW w:w="2016" w:type="dxa"/>
            <w:tcBorders>
              <w:top w:val="nil"/>
              <w:left w:val="nil"/>
              <w:bottom w:val="single" w:color="auto" w:sz="4" w:space="0"/>
              <w:right w:val="single" w:color="auto" w:sz="4" w:space="0"/>
            </w:tcBorders>
            <w:noWrap w:val="0"/>
            <w:vAlign w:val="center"/>
          </w:tcPr>
          <w:p w14:paraId="22391C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14:paraId="7D823C7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192F8FA">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C2335000</w:t>
            </w:r>
          </w:p>
        </w:tc>
      </w:tr>
      <w:tr w14:paraId="27C0D5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1A7CD13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4" w:type="dxa"/>
            <w:tcBorders>
              <w:top w:val="nil"/>
              <w:left w:val="nil"/>
              <w:bottom w:val="single" w:color="auto" w:sz="4" w:space="0"/>
              <w:right w:val="single" w:color="auto" w:sz="4" w:space="0"/>
            </w:tcBorders>
            <w:noWrap w:val="0"/>
            <w:vAlign w:val="center"/>
          </w:tcPr>
          <w:p w14:paraId="7B82CFAD">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施工单位施工前未对有关安全施工的技术要求作出详细说明</w:t>
            </w:r>
          </w:p>
        </w:tc>
        <w:tc>
          <w:tcPr>
            <w:tcW w:w="2981" w:type="dxa"/>
            <w:tcBorders>
              <w:top w:val="nil"/>
              <w:left w:val="nil"/>
              <w:bottom w:val="single" w:color="auto" w:sz="4" w:space="0"/>
              <w:right w:val="single" w:color="auto" w:sz="4" w:space="0"/>
            </w:tcBorders>
            <w:noWrap w:val="0"/>
            <w:vAlign w:val="center"/>
          </w:tcPr>
          <w:p w14:paraId="03C707F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处罚条款：《条例》第六十四条第一款第（一）项，责令限期改正；逾期未改正的，责令停业整顿，并处5万元以上10万元以下的罚款。</w:t>
            </w:r>
          </w:p>
        </w:tc>
        <w:tc>
          <w:tcPr>
            <w:tcW w:w="851" w:type="dxa"/>
            <w:tcBorders>
              <w:top w:val="nil"/>
              <w:left w:val="nil"/>
              <w:bottom w:val="single" w:color="auto" w:sz="4" w:space="0"/>
              <w:right w:val="single" w:color="auto" w:sz="4" w:space="0"/>
            </w:tcBorders>
            <w:noWrap w:val="0"/>
            <w:vAlign w:val="center"/>
          </w:tcPr>
          <w:p w14:paraId="3EE03B1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485DD96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3CF114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3A85C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6C5F35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40C7C68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1C32DB6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C2335100</w:t>
            </w:r>
          </w:p>
        </w:tc>
      </w:tr>
      <w:tr w14:paraId="17DC69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7C2D01C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4" w:type="dxa"/>
            <w:tcBorders>
              <w:top w:val="nil"/>
              <w:left w:val="nil"/>
              <w:bottom w:val="single" w:color="auto" w:sz="4" w:space="0"/>
              <w:right w:val="single" w:color="auto" w:sz="4" w:space="0"/>
            </w:tcBorders>
            <w:noWrap w:val="0"/>
            <w:vAlign w:val="center"/>
          </w:tcPr>
          <w:p w14:paraId="7B3875DA">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施工单位在尚未竣工的建筑物内设置员工集体宿舍</w:t>
            </w:r>
          </w:p>
        </w:tc>
        <w:tc>
          <w:tcPr>
            <w:tcW w:w="2981" w:type="dxa"/>
            <w:tcBorders>
              <w:top w:val="nil"/>
              <w:left w:val="nil"/>
              <w:bottom w:val="single" w:color="auto" w:sz="4" w:space="0"/>
              <w:right w:val="single" w:color="auto" w:sz="4" w:space="0"/>
            </w:tcBorders>
            <w:noWrap w:val="0"/>
            <w:vAlign w:val="center"/>
          </w:tcPr>
          <w:p w14:paraId="22E956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处罚条款：《条例》第六十四条第一款第（三）项，责令限期改正；逾期未改正的，责令停业整顿，并处5万元以上10万元以下的罚款。</w:t>
            </w:r>
          </w:p>
        </w:tc>
        <w:tc>
          <w:tcPr>
            <w:tcW w:w="851" w:type="dxa"/>
            <w:tcBorders>
              <w:top w:val="nil"/>
              <w:left w:val="nil"/>
              <w:bottom w:val="single" w:color="auto" w:sz="4" w:space="0"/>
              <w:right w:val="single" w:color="auto" w:sz="4" w:space="0"/>
            </w:tcBorders>
            <w:noWrap w:val="0"/>
            <w:vAlign w:val="center"/>
          </w:tcPr>
          <w:p w14:paraId="07E773C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1B7E2A0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6641F31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11D89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57E0641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77C7E5D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3933A7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C2335400</w:t>
            </w:r>
          </w:p>
        </w:tc>
      </w:tr>
      <w:tr w14:paraId="28EC1C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0"/>
            <w:vAlign w:val="center"/>
          </w:tcPr>
          <w:p w14:paraId="45A6A23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4" w:type="dxa"/>
            <w:tcBorders>
              <w:top w:val="nil"/>
              <w:left w:val="nil"/>
              <w:bottom w:val="single" w:color="auto" w:sz="4" w:space="0"/>
              <w:right w:val="single" w:color="auto" w:sz="4" w:space="0"/>
            </w:tcBorders>
            <w:noWrap w:val="0"/>
            <w:vAlign w:val="center"/>
          </w:tcPr>
          <w:p w14:paraId="2508BAD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对施工单位未根据不同施工阶段和周围环境及季节、气候的变化，在施工现场采取相应的安全施工措施，或者在城市市区内的建设工程的施工现场未实行封闭围挡的</w:t>
            </w:r>
          </w:p>
        </w:tc>
        <w:tc>
          <w:tcPr>
            <w:tcW w:w="2981" w:type="dxa"/>
            <w:tcBorders>
              <w:top w:val="nil"/>
              <w:left w:val="nil"/>
              <w:bottom w:val="single" w:color="auto" w:sz="4" w:space="0"/>
              <w:right w:val="single" w:color="auto" w:sz="4" w:space="0"/>
            </w:tcBorders>
            <w:noWrap w:val="0"/>
            <w:vAlign w:val="center"/>
          </w:tcPr>
          <w:p w14:paraId="0D6D47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违反条款：《条例》第二十八条第二款、第三十条第三款；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处罚条款：《条例》第六十四条第一款第（二）项，责令限期改正；逾期未改正的，责令停业整顿，并处5万元以上10万元以下的罚款。</w:t>
            </w:r>
          </w:p>
        </w:tc>
        <w:tc>
          <w:tcPr>
            <w:tcW w:w="851" w:type="dxa"/>
            <w:tcBorders>
              <w:top w:val="nil"/>
              <w:left w:val="nil"/>
              <w:bottom w:val="single" w:color="auto" w:sz="4" w:space="0"/>
              <w:right w:val="single" w:color="auto" w:sz="4" w:space="0"/>
            </w:tcBorders>
            <w:noWrap/>
            <w:vAlign w:val="center"/>
          </w:tcPr>
          <w:p w14:paraId="75117DB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14:paraId="0604CDC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36CEC52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C1153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1DBB1A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3C33140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934A3D4">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C2353500</w:t>
            </w:r>
          </w:p>
        </w:tc>
      </w:tr>
      <w:tr w14:paraId="2D2420C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69FCD0D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624" w:type="dxa"/>
            <w:tcBorders>
              <w:top w:val="nil"/>
              <w:left w:val="nil"/>
              <w:bottom w:val="single" w:color="auto" w:sz="4" w:space="0"/>
              <w:right w:val="single" w:color="auto" w:sz="4" w:space="0"/>
            </w:tcBorders>
            <w:noWrap w:val="0"/>
            <w:vAlign w:val="center"/>
          </w:tcPr>
          <w:p w14:paraId="1A9211AB">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施工单位施工现场临时搭建的建筑物不符合安全使用要求</w:t>
            </w:r>
          </w:p>
        </w:tc>
        <w:tc>
          <w:tcPr>
            <w:tcW w:w="2981" w:type="dxa"/>
            <w:tcBorders>
              <w:top w:val="nil"/>
              <w:left w:val="nil"/>
              <w:bottom w:val="single" w:color="auto" w:sz="4" w:space="0"/>
              <w:right w:val="single" w:color="auto" w:sz="4" w:space="0"/>
            </w:tcBorders>
            <w:noWrap w:val="0"/>
            <w:vAlign w:val="center"/>
          </w:tcPr>
          <w:p w14:paraId="59696B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处罚条款：《条例》第六十四条第一款第（四）项，责令限期改正；逾期未改正的，责令停业整顿，并处5万元以上10万元以下的罚款。</w:t>
            </w:r>
          </w:p>
        </w:tc>
        <w:tc>
          <w:tcPr>
            <w:tcW w:w="851" w:type="dxa"/>
            <w:tcBorders>
              <w:top w:val="nil"/>
              <w:left w:val="nil"/>
              <w:bottom w:val="single" w:color="auto" w:sz="4" w:space="0"/>
              <w:right w:val="single" w:color="auto" w:sz="4" w:space="0"/>
            </w:tcBorders>
            <w:noWrap w:val="0"/>
            <w:vAlign w:val="center"/>
          </w:tcPr>
          <w:p w14:paraId="4605A86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1E6764D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53EF84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64AC67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35AA5F8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735A0A7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4CCAE0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C2335500</w:t>
            </w:r>
          </w:p>
        </w:tc>
      </w:tr>
      <w:tr w14:paraId="2A895A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588EA0B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624" w:type="dxa"/>
            <w:tcBorders>
              <w:top w:val="nil"/>
              <w:left w:val="nil"/>
              <w:bottom w:val="single" w:color="auto" w:sz="4" w:space="0"/>
              <w:right w:val="single" w:color="auto" w:sz="4" w:space="0"/>
            </w:tcBorders>
            <w:noWrap w:val="0"/>
            <w:vAlign w:val="center"/>
          </w:tcPr>
          <w:p w14:paraId="169174F6">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施工单位未对因建设工程施工可能造成损害的毗邻建筑物、构筑物和地下管线等采取专项防护措施的</w:t>
            </w:r>
          </w:p>
        </w:tc>
        <w:tc>
          <w:tcPr>
            <w:tcW w:w="2981" w:type="dxa"/>
            <w:tcBorders>
              <w:top w:val="nil"/>
              <w:left w:val="nil"/>
              <w:bottom w:val="single" w:color="auto" w:sz="4" w:space="0"/>
              <w:right w:val="single" w:color="auto" w:sz="4" w:space="0"/>
            </w:tcBorders>
            <w:noWrap w:val="0"/>
            <w:vAlign w:val="center"/>
          </w:tcPr>
          <w:p w14:paraId="33D7D31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处罚条款：《条例》第六十四条第一款第（五）项，责令限期改正；逾期未改正的，责令停业整顿，并处5万元以上10万元以下的罚款。</w:t>
            </w:r>
          </w:p>
        </w:tc>
        <w:tc>
          <w:tcPr>
            <w:tcW w:w="851" w:type="dxa"/>
            <w:tcBorders>
              <w:top w:val="nil"/>
              <w:left w:val="nil"/>
              <w:bottom w:val="single" w:color="auto" w:sz="4" w:space="0"/>
              <w:right w:val="single" w:color="auto" w:sz="4" w:space="0"/>
            </w:tcBorders>
            <w:noWrap w:val="0"/>
            <w:vAlign w:val="center"/>
          </w:tcPr>
          <w:p w14:paraId="00D9842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1F5E210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65BFF3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00E497E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656AC9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22F0672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23BE4D5">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C2335600</w:t>
            </w:r>
          </w:p>
        </w:tc>
      </w:tr>
      <w:tr w14:paraId="464B0E3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31B7885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624" w:type="dxa"/>
            <w:tcBorders>
              <w:top w:val="nil"/>
              <w:left w:val="nil"/>
              <w:bottom w:val="single" w:color="auto" w:sz="4" w:space="0"/>
              <w:right w:val="single" w:color="auto" w:sz="4" w:space="0"/>
            </w:tcBorders>
            <w:noWrap w:val="0"/>
            <w:vAlign w:val="center"/>
          </w:tcPr>
          <w:p w14:paraId="5328C225">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施工单位安全防护用具、机械设备、施工机具及配件在进入施工现场前未经查验或者查验不合格即投入使用的</w:t>
            </w:r>
          </w:p>
        </w:tc>
        <w:tc>
          <w:tcPr>
            <w:tcW w:w="2981" w:type="dxa"/>
            <w:tcBorders>
              <w:top w:val="nil"/>
              <w:left w:val="nil"/>
              <w:bottom w:val="single" w:color="auto" w:sz="4" w:space="0"/>
              <w:right w:val="single" w:color="auto" w:sz="4" w:space="0"/>
            </w:tcBorders>
            <w:noWrap w:val="0"/>
            <w:vAlign w:val="center"/>
          </w:tcPr>
          <w:p w14:paraId="1DE952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处罚条款：《条例》第六十五条第（一）项，责令限期改正；逾期未改正的，责令停业整顿，并处10万元以上30万元以下的罚款；情节严重的，降低资质等级，直至吊销资质证书。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14:paraId="145DFF2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14:paraId="31D8C9F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54925A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经查验或者查验不合格＜5件，系数为0；2.5件≤未经查验或查验不合格的件数＜7件，系数为0.4；3.7件≤未经查验或查验不合格的件数＜9件，系数为0.8；4.9件≤未经查验或查验不合格的件数＜11件，系数为1.2；5.11件≤未经查验或查验不合格的件数＜13件，系数为1.6；6.13件≤未经查验或查验不合格的件数，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841CB9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63701D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2E5970A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6830D6C2">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C2335700</w:t>
            </w:r>
          </w:p>
        </w:tc>
      </w:tr>
      <w:tr w14:paraId="79964F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3CFC849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624" w:type="dxa"/>
            <w:tcBorders>
              <w:top w:val="nil"/>
              <w:left w:val="nil"/>
              <w:bottom w:val="single" w:color="auto" w:sz="4" w:space="0"/>
              <w:right w:val="single" w:color="auto" w:sz="4" w:space="0"/>
            </w:tcBorders>
            <w:noWrap w:val="0"/>
            <w:vAlign w:val="center"/>
          </w:tcPr>
          <w:p w14:paraId="2ABF01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施工单位使用未经验收或者验收不合格的施工起重机械和整体提升脚手架、模板等自升式架设设施</w:t>
            </w:r>
          </w:p>
        </w:tc>
        <w:tc>
          <w:tcPr>
            <w:tcW w:w="2981" w:type="dxa"/>
            <w:tcBorders>
              <w:top w:val="nil"/>
              <w:left w:val="nil"/>
              <w:bottom w:val="single" w:color="auto" w:sz="4" w:space="0"/>
              <w:right w:val="single" w:color="auto" w:sz="4" w:space="0"/>
            </w:tcBorders>
            <w:noWrap w:val="0"/>
            <w:vAlign w:val="center"/>
          </w:tcPr>
          <w:p w14:paraId="2D0516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处罚条款：《条例》第六十五条第（二）项，责令限期改正；逾期未改正的，责令停业整顿，并处10万元以上30万元以下的罚款；情节严重的，降低资质等级，直至吊销资质证书。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14:paraId="7A29658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14:paraId="157A38A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5E768EC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1台（处），系数为0；2.使用2台（处），系数为0.4；3.使用3台（处），系数为0.8；4.使用4台（处），系数为1.2；5.使用5台（处），系数为1.6；6.使用6台（处）及以上，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6FBB8DD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06DAAA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25CEFDE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2EA7196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C2335800</w:t>
            </w:r>
          </w:p>
        </w:tc>
      </w:tr>
      <w:tr w14:paraId="2D7A3C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5F314F8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624" w:type="dxa"/>
            <w:tcBorders>
              <w:top w:val="nil"/>
              <w:left w:val="nil"/>
              <w:bottom w:val="single" w:color="auto" w:sz="4" w:space="0"/>
              <w:right w:val="single" w:color="auto" w:sz="4" w:space="0"/>
            </w:tcBorders>
            <w:noWrap w:val="0"/>
            <w:vAlign w:val="center"/>
          </w:tcPr>
          <w:p w14:paraId="6CE8F0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施工单位委托不具有相应资质的单位承担施工现场安装、拆卸施工起重机械和整体提升脚手架、模板等自升式架设设施</w:t>
            </w:r>
          </w:p>
        </w:tc>
        <w:tc>
          <w:tcPr>
            <w:tcW w:w="2981" w:type="dxa"/>
            <w:tcBorders>
              <w:top w:val="nil"/>
              <w:left w:val="nil"/>
              <w:bottom w:val="single" w:color="auto" w:sz="4" w:space="0"/>
              <w:right w:val="single" w:color="auto" w:sz="4" w:space="0"/>
            </w:tcBorders>
            <w:noWrap w:val="0"/>
            <w:vAlign w:val="center"/>
          </w:tcPr>
          <w:p w14:paraId="6B276B7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处罚条款：《条例》第六十五条第（三）项，责令限期改正；逾期未改正的，责令停业整顿，并处10万元以上30万元以下的罚款；情节严重的，降低资质等级，直至吊销资质证书。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14:paraId="3807C08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14:paraId="5946F66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4E3660E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安装或拆卸1台（处），系数为0；2.安装或拆卸2台（处），系数为0.4；3.安装或拆卸3台（处），系数为0.8；4.安装或拆卸4台（处），系数为1.2；5.安装或拆卸5台（处），系数为1.6；6.安装或拆卸6台（处）及以上，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3C27B65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07B771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0539689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34A0A6CF">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C2335900</w:t>
            </w:r>
          </w:p>
        </w:tc>
      </w:tr>
      <w:tr w14:paraId="3D75CB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1CA10D0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624" w:type="dxa"/>
            <w:tcBorders>
              <w:top w:val="nil"/>
              <w:left w:val="nil"/>
              <w:bottom w:val="single" w:color="auto" w:sz="4" w:space="0"/>
              <w:right w:val="single" w:color="auto" w:sz="4" w:space="0"/>
            </w:tcBorders>
            <w:noWrap w:val="0"/>
            <w:vAlign w:val="center"/>
          </w:tcPr>
          <w:p w14:paraId="1CF07B9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施工单位在施工组织设计中未编制安全技术措施、施工现场临时用电方案或者专项施工方案</w:t>
            </w:r>
          </w:p>
        </w:tc>
        <w:tc>
          <w:tcPr>
            <w:tcW w:w="2981" w:type="dxa"/>
            <w:tcBorders>
              <w:top w:val="nil"/>
              <w:left w:val="nil"/>
              <w:bottom w:val="single" w:color="auto" w:sz="4" w:space="0"/>
              <w:right w:val="single" w:color="auto" w:sz="4" w:space="0"/>
            </w:tcBorders>
            <w:noWrap w:val="0"/>
            <w:vAlign w:val="center"/>
          </w:tcPr>
          <w:p w14:paraId="4186987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处罚条款：《条例》第六十五条第（四）项，责令限期改正；逾期未改正的，责令停业整顿，并处10万元以上30万元以下的罚款；情节严重的，降低资质等级，直至吊销资质证书。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14:paraId="552BAA6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14:paraId="1EC2057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14:paraId="33154FA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涉及1类专项施工方案，系数为0；2.涉及2类专项施工方案，系数为0.4；3.涉及3类专项施工方案，系数为0.8；4.涉及4类专项施工方案，系数为1.2；5.涉及5类专项施工方案，系数为1.6；6.涉及6类及以上专项施工方案，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FD960D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14:paraId="721DB1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4D6169E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5EC224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C2336000</w:t>
            </w:r>
          </w:p>
        </w:tc>
      </w:tr>
      <w:tr w14:paraId="17C22FD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78813A0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624" w:type="dxa"/>
            <w:tcBorders>
              <w:top w:val="nil"/>
              <w:left w:val="nil"/>
              <w:bottom w:val="single" w:color="auto" w:sz="4" w:space="0"/>
              <w:right w:val="single" w:color="auto" w:sz="4" w:space="0"/>
            </w:tcBorders>
            <w:noWrap w:val="0"/>
            <w:vAlign w:val="center"/>
          </w:tcPr>
          <w:p w14:paraId="74DEAB44">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施工单位的主要负责人、项目负责人未履行安全生产管理职责，尚未构成犯罪</w:t>
            </w:r>
          </w:p>
        </w:tc>
        <w:tc>
          <w:tcPr>
            <w:tcW w:w="2981" w:type="dxa"/>
            <w:tcBorders>
              <w:top w:val="nil"/>
              <w:left w:val="nil"/>
              <w:bottom w:val="single" w:color="auto" w:sz="4" w:space="0"/>
              <w:right w:val="single" w:color="auto" w:sz="4" w:space="0"/>
            </w:tcBorders>
            <w:noWrap w:val="0"/>
            <w:vAlign w:val="center"/>
          </w:tcPr>
          <w:p w14:paraId="726D7C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处罚条款：《条例》第六十六条第一款，责令限期改正；逾期未改正的，责令施工单位停业整顿；第六十六条第三款，处2万元以上20万元以下的罚款。</w:t>
            </w:r>
          </w:p>
        </w:tc>
        <w:tc>
          <w:tcPr>
            <w:tcW w:w="851" w:type="dxa"/>
            <w:tcBorders>
              <w:top w:val="nil"/>
              <w:left w:val="nil"/>
              <w:bottom w:val="single" w:color="auto" w:sz="4" w:space="0"/>
              <w:right w:val="single" w:color="auto" w:sz="4" w:space="0"/>
            </w:tcBorders>
            <w:noWrap w:val="0"/>
            <w:vAlign w:val="center"/>
          </w:tcPr>
          <w:p w14:paraId="75F0E62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093FF5F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00FC18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履行1项安全生产管理职责，系数为0；每增加1项，系数加1；未履行安全生产管理职责≥10项，系数为9；2.造成生产安全事故，系数为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5288827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14:paraId="644993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45A3D3F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B63D911">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C2336100</w:t>
            </w:r>
          </w:p>
        </w:tc>
      </w:tr>
      <w:tr w14:paraId="575D24A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14:paraId="75A1576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624" w:type="dxa"/>
            <w:tcBorders>
              <w:top w:val="nil"/>
              <w:left w:val="nil"/>
              <w:bottom w:val="single" w:color="auto" w:sz="4" w:space="0"/>
              <w:right w:val="single" w:color="auto" w:sz="4" w:space="0"/>
            </w:tcBorders>
            <w:noWrap w:val="0"/>
            <w:vAlign w:val="center"/>
          </w:tcPr>
          <w:p w14:paraId="4AE6AC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施工单位取得资质证书后，降低安全生产条件，经整改仍未达到与其资质等级相适应的安全生产条件</w:t>
            </w:r>
          </w:p>
        </w:tc>
        <w:tc>
          <w:tcPr>
            <w:tcW w:w="2981" w:type="dxa"/>
            <w:tcBorders>
              <w:top w:val="nil"/>
              <w:left w:val="nil"/>
              <w:bottom w:val="single" w:color="auto" w:sz="4" w:space="0"/>
              <w:right w:val="single" w:color="auto" w:sz="4" w:space="0"/>
            </w:tcBorders>
            <w:noWrap w:val="0"/>
            <w:vAlign w:val="center"/>
          </w:tcPr>
          <w:p w14:paraId="469600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违反条款：《条例》第六十七条；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处罚条款：《条例》第六十七条，责令限期改正；经整改仍未达到与其资质等级相适应的安全生产条件的，责令停业整顿，降低其资质等级直至吊销资质证书。</w:t>
            </w:r>
          </w:p>
        </w:tc>
        <w:tc>
          <w:tcPr>
            <w:tcW w:w="851" w:type="dxa"/>
            <w:tcBorders>
              <w:top w:val="nil"/>
              <w:left w:val="nil"/>
              <w:bottom w:val="single" w:color="auto" w:sz="4" w:space="0"/>
              <w:right w:val="single" w:color="auto" w:sz="4" w:space="0"/>
            </w:tcBorders>
            <w:noWrap w:val="0"/>
            <w:vAlign w:val="center"/>
          </w:tcPr>
          <w:p w14:paraId="19AF62D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341DE78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063C17E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14:paraId="77D8210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0D49E1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0189497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7D7CB776">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C2336300</w:t>
            </w:r>
          </w:p>
        </w:tc>
      </w:tr>
      <w:tr w14:paraId="0EEDFC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14:paraId="1A0FF2E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624" w:type="dxa"/>
            <w:tcBorders>
              <w:top w:val="nil"/>
              <w:left w:val="nil"/>
              <w:bottom w:val="single" w:color="auto" w:sz="4" w:space="0"/>
              <w:right w:val="single" w:color="auto" w:sz="4" w:space="0"/>
            </w:tcBorders>
            <w:noWrap w:val="0"/>
            <w:vAlign w:val="center"/>
          </w:tcPr>
          <w:p w14:paraId="174FD3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建设单位未将保证安全施工的措施或者拆除工程的有关资料报送有关部门备案</w:t>
            </w:r>
          </w:p>
        </w:tc>
        <w:tc>
          <w:tcPr>
            <w:tcW w:w="2981" w:type="dxa"/>
            <w:tcBorders>
              <w:top w:val="nil"/>
              <w:left w:val="nil"/>
              <w:bottom w:val="single" w:color="auto" w:sz="4" w:space="0"/>
              <w:right w:val="single" w:color="auto" w:sz="4" w:space="0"/>
            </w:tcBorders>
            <w:noWrap w:val="0"/>
            <w:vAlign w:val="center"/>
          </w:tcPr>
          <w:p w14:paraId="205BF4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违反条款：《条例》第十条第二款、第十一条第二款第（一）项、第（二）项；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处罚条款：《条例》第五十四条第二款，责令限期改正，给予警告。</w:t>
            </w:r>
          </w:p>
        </w:tc>
        <w:tc>
          <w:tcPr>
            <w:tcW w:w="851" w:type="dxa"/>
            <w:tcBorders>
              <w:top w:val="nil"/>
              <w:left w:val="nil"/>
              <w:bottom w:val="single" w:color="auto" w:sz="4" w:space="0"/>
              <w:right w:val="single" w:color="auto" w:sz="4" w:space="0"/>
            </w:tcBorders>
            <w:noWrap w:val="0"/>
            <w:vAlign w:val="center"/>
          </w:tcPr>
          <w:p w14:paraId="6E50A88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 /</w:t>
            </w:r>
          </w:p>
        </w:tc>
        <w:tc>
          <w:tcPr>
            <w:tcW w:w="840" w:type="dxa"/>
            <w:tcBorders>
              <w:top w:val="nil"/>
              <w:left w:val="nil"/>
              <w:bottom w:val="single" w:color="auto" w:sz="4" w:space="0"/>
              <w:right w:val="single" w:color="auto" w:sz="4" w:space="0"/>
            </w:tcBorders>
            <w:noWrap w:val="0"/>
            <w:vAlign w:val="center"/>
          </w:tcPr>
          <w:p w14:paraId="33E2367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14:paraId="13389E2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14:paraId="733EBB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14:paraId="080964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14:paraId="6EFC5A8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08CBF230">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C2352100</w:t>
            </w:r>
          </w:p>
        </w:tc>
      </w:tr>
      <w:tr w14:paraId="619A2C3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14:paraId="732DE78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624" w:type="dxa"/>
            <w:tcBorders>
              <w:top w:val="nil"/>
              <w:left w:val="nil"/>
              <w:bottom w:val="single" w:color="auto" w:sz="4" w:space="0"/>
              <w:right w:val="single" w:color="auto" w:sz="4" w:space="0"/>
            </w:tcBorders>
            <w:noWrap w:val="0"/>
            <w:vAlign w:val="center"/>
          </w:tcPr>
          <w:p w14:paraId="19FFDF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出租单位出租未经安全性能检测或者经检测不合格的机械设备和施工机具及配件</w:t>
            </w:r>
          </w:p>
        </w:tc>
        <w:tc>
          <w:tcPr>
            <w:tcW w:w="2981" w:type="dxa"/>
            <w:tcBorders>
              <w:top w:val="nil"/>
              <w:left w:val="nil"/>
              <w:bottom w:val="single" w:color="auto" w:sz="4" w:space="0"/>
              <w:right w:val="single" w:color="auto" w:sz="4" w:space="0"/>
            </w:tcBorders>
            <w:noWrap w:val="0"/>
            <w:vAlign w:val="center"/>
          </w:tcPr>
          <w:p w14:paraId="3E3AAA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违反条款：《条例》第十六条第二款、第十六条第三款；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处罚条款：《条例》第六十条，责令停业整顿，并处5万元以上10万元以下的罚款。</w:t>
            </w:r>
          </w:p>
        </w:tc>
        <w:tc>
          <w:tcPr>
            <w:tcW w:w="851" w:type="dxa"/>
            <w:tcBorders>
              <w:top w:val="nil"/>
              <w:left w:val="nil"/>
              <w:bottom w:val="single" w:color="auto" w:sz="4" w:space="0"/>
              <w:right w:val="single" w:color="auto" w:sz="4" w:space="0"/>
            </w:tcBorders>
            <w:noWrap w:val="0"/>
            <w:vAlign w:val="center"/>
          </w:tcPr>
          <w:p w14:paraId="0E62CAD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337D190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14:paraId="170308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出租未经安全性能检测或者经检测不合格的机械设备和施工机具及配件数量＜2台（件），系数为0；2.2台（件）≤出租未经安全性能检测或者经检测不合格的机械设备和施工机具及配件数量＜5台（件），系数为0.5；3.5台（件）≤出租未经安全性能检测或者经检测不合格的机械设备和施工机具及配件数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14:paraId="10EE2A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14:paraId="2D8248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14:paraId="404D44B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14:paraId="422E0438">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C2352900</w:t>
            </w:r>
          </w:p>
        </w:tc>
      </w:tr>
    </w:tbl>
    <w:p w14:paraId="0BA428F9">
      <w:pPr>
        <w:pStyle w:val="8"/>
        <w:rPr>
          <w:color w:val="auto"/>
          <w:highlight w:val="none"/>
        </w:rPr>
      </w:pPr>
    </w:p>
    <w:p w14:paraId="274E96A4">
      <w:pPr>
        <w:pStyle w:val="22"/>
        <w:rPr>
          <w:color w:val="auto"/>
          <w:highlight w:val="none"/>
        </w:rPr>
      </w:pPr>
    </w:p>
    <w:sectPr>
      <w:footerReference r:id="rId4" w:type="default"/>
      <w:pgSz w:w="16838" w:h="11906" w:orient="landscape"/>
      <w:pgMar w:top="1134" w:right="907" w:bottom="1134" w:left="907" w:header="851" w:footer="624" w:gutter="0"/>
      <w:pgNumType w:fmt="decimal" w:start="1"/>
      <w:cols w:space="72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roman"/>
    <w:pitch w:val="default"/>
    <w:sig w:usb0="B00002AF" w:usb1="69D77CFB" w:usb2="00000030" w:usb3="00000000" w:csb0="4008009F" w:csb1="DFD70000"/>
  </w:font>
  <w:font w:name="Microsoft JhengHei">
    <w:panose1 w:val="020B0604030504040204"/>
    <w:charset w:val="88"/>
    <w:family w:val="swiss"/>
    <w:pitch w:val="default"/>
    <w:sig w:usb0="000002A7" w:usb1="28CF4400" w:usb2="00000016" w:usb3="00000000" w:csb0="00100009"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BD1B8">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493278">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5493278">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97875">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28A3B8">
                          <w:pPr>
                            <w:pStyle w:val="15"/>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528A3B8">
                    <w:pPr>
                      <w:pStyle w:val="15"/>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DEF8A"/>
    <w:multiLevelType w:val="multilevel"/>
    <w:tmpl w:val="85DDEF8A"/>
    <w:lvl w:ilvl="0" w:tentative="0">
      <w:start w:val="1"/>
      <w:numFmt w:val="decimal"/>
      <w:suff w:val="space"/>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
    <w:nsid w:val="A974AF0F"/>
    <w:multiLevelType w:val="singleLevel"/>
    <w:tmpl w:val="A974AF0F"/>
    <w:lvl w:ilvl="0" w:tentative="0">
      <w:start w:val="1"/>
      <w:numFmt w:val="chineseCounting"/>
      <w:suff w:val="nothing"/>
      <w:lvlText w:val="（%1）"/>
      <w:lvlJc w:val="left"/>
      <w:rPr>
        <w:rFonts w:hint="eastAsia"/>
      </w:rPr>
    </w:lvl>
  </w:abstractNum>
  <w:abstractNum w:abstractNumId="2">
    <w:nsid w:val="B7F5427C"/>
    <w:multiLevelType w:val="singleLevel"/>
    <w:tmpl w:val="B7F5427C"/>
    <w:lvl w:ilvl="0" w:tentative="0">
      <w:start w:val="1"/>
      <w:numFmt w:val="decimal"/>
      <w:suff w:val="space"/>
      <w:lvlText w:val="%1."/>
      <w:lvlJc w:val="left"/>
    </w:lvl>
  </w:abstractNum>
  <w:abstractNum w:abstractNumId="3">
    <w:nsid w:val="BF0754D2"/>
    <w:multiLevelType w:val="singleLevel"/>
    <w:tmpl w:val="BF0754D2"/>
    <w:lvl w:ilvl="0" w:tentative="0">
      <w:start w:val="1"/>
      <w:numFmt w:val="decimal"/>
      <w:suff w:val="space"/>
      <w:lvlText w:val="%1."/>
      <w:lvlJc w:val="left"/>
    </w:lvl>
  </w:abstractNum>
  <w:abstractNum w:abstractNumId="4">
    <w:nsid w:val="BFE2BC99"/>
    <w:multiLevelType w:val="singleLevel"/>
    <w:tmpl w:val="BFE2BC99"/>
    <w:lvl w:ilvl="0" w:tentative="0">
      <w:start w:val="1"/>
      <w:numFmt w:val="chineseCounting"/>
      <w:suff w:val="nothing"/>
      <w:lvlText w:val="（%1）"/>
      <w:lvlJc w:val="left"/>
      <w:rPr>
        <w:rFonts w:hint="eastAsia"/>
      </w:rPr>
    </w:lvl>
  </w:abstractNum>
  <w:abstractNum w:abstractNumId="5">
    <w:nsid w:val="DFDE10FF"/>
    <w:multiLevelType w:val="singleLevel"/>
    <w:tmpl w:val="DFDE10FF"/>
    <w:lvl w:ilvl="0" w:tentative="0">
      <w:start w:val="1"/>
      <w:numFmt w:val="decimal"/>
      <w:suff w:val="space"/>
      <w:lvlText w:val="%1."/>
      <w:lvlJc w:val="left"/>
    </w:lvl>
  </w:abstractNum>
  <w:abstractNum w:abstractNumId="6">
    <w:nsid w:val="EFFE277D"/>
    <w:multiLevelType w:val="singleLevel"/>
    <w:tmpl w:val="EFFE277D"/>
    <w:lvl w:ilvl="0" w:tentative="0">
      <w:start w:val="1"/>
      <w:numFmt w:val="decimal"/>
      <w:suff w:val="space"/>
      <w:lvlText w:val="%1."/>
      <w:lvlJc w:val="left"/>
    </w:lvl>
  </w:abstractNum>
  <w:abstractNum w:abstractNumId="7">
    <w:nsid w:val="FEDAE7DC"/>
    <w:multiLevelType w:val="singleLevel"/>
    <w:tmpl w:val="FEDAE7DC"/>
    <w:lvl w:ilvl="0" w:tentative="0">
      <w:start w:val="1"/>
      <w:numFmt w:val="decimal"/>
      <w:suff w:val="space"/>
      <w:lvlText w:val="%1."/>
      <w:lvlJc w:val="left"/>
    </w:lvl>
  </w:abstractNum>
  <w:abstractNum w:abstractNumId="8">
    <w:nsid w:val="FEEDE682"/>
    <w:multiLevelType w:val="singleLevel"/>
    <w:tmpl w:val="FEEDE682"/>
    <w:lvl w:ilvl="0" w:tentative="0">
      <w:start w:val="1"/>
      <w:numFmt w:val="chineseCounting"/>
      <w:suff w:val="nothing"/>
      <w:lvlText w:val="（%1）"/>
      <w:lvlJc w:val="left"/>
      <w:rPr>
        <w:rFonts w:hint="eastAsia"/>
      </w:rPr>
    </w:lvl>
  </w:abstractNum>
  <w:abstractNum w:abstractNumId="9">
    <w:nsid w:val="FEFE7387"/>
    <w:multiLevelType w:val="singleLevel"/>
    <w:tmpl w:val="FEFE7387"/>
    <w:lvl w:ilvl="0" w:tentative="0">
      <w:start w:val="1"/>
      <w:numFmt w:val="chineseCounting"/>
      <w:suff w:val="nothing"/>
      <w:lvlText w:val="（%1）"/>
      <w:lvlJc w:val="left"/>
      <w:rPr>
        <w:rFonts w:hint="eastAsia"/>
      </w:rPr>
    </w:lvl>
  </w:abstractNum>
  <w:abstractNum w:abstractNumId="10">
    <w:nsid w:val="FFD1728C"/>
    <w:multiLevelType w:val="singleLevel"/>
    <w:tmpl w:val="FFD1728C"/>
    <w:lvl w:ilvl="0" w:tentative="0">
      <w:start w:val="1"/>
      <w:numFmt w:val="chineseCounting"/>
      <w:suff w:val="nothing"/>
      <w:lvlText w:val="（%1）"/>
      <w:lvlJc w:val="left"/>
      <w:rPr>
        <w:rFonts w:hint="eastAsia"/>
      </w:rPr>
    </w:lvl>
  </w:abstractNum>
  <w:abstractNum w:abstractNumId="11">
    <w:nsid w:val="5FDEA46E"/>
    <w:multiLevelType w:val="singleLevel"/>
    <w:tmpl w:val="5FDEA46E"/>
    <w:lvl w:ilvl="0" w:tentative="0">
      <w:start w:val="1"/>
      <w:numFmt w:val="chineseCounting"/>
      <w:suff w:val="nothing"/>
      <w:lvlText w:val="（%1）"/>
      <w:lvlJc w:val="left"/>
      <w:rPr>
        <w:rFonts w:hint="eastAsia"/>
      </w:rPr>
    </w:lvl>
  </w:abstractNum>
  <w:abstractNum w:abstractNumId="12">
    <w:nsid w:val="6BEE3C38"/>
    <w:multiLevelType w:val="singleLevel"/>
    <w:tmpl w:val="6BEE3C38"/>
    <w:lvl w:ilvl="0" w:tentative="0">
      <w:start w:val="1"/>
      <w:numFmt w:val="decimal"/>
      <w:suff w:val="space"/>
      <w:lvlText w:val="%1."/>
      <w:lvlJc w:val="left"/>
    </w:lvl>
  </w:abstractNum>
  <w:num w:numId="1">
    <w:abstractNumId w:val="5"/>
  </w:num>
  <w:num w:numId="2">
    <w:abstractNumId w:val="6"/>
  </w:num>
  <w:num w:numId="3">
    <w:abstractNumId w:val="7"/>
  </w:num>
  <w:num w:numId="4">
    <w:abstractNumId w:val="12"/>
  </w:num>
  <w:num w:numId="5">
    <w:abstractNumId w:val="3"/>
  </w:num>
  <w:num w:numId="6">
    <w:abstractNumId w:val="2"/>
  </w:num>
  <w:num w:numId="7">
    <w:abstractNumId w:val="0"/>
  </w:num>
  <w:num w:numId="8">
    <w:abstractNumId w:val="1"/>
  </w:num>
  <w:num w:numId="9">
    <w:abstractNumId w:val="11"/>
  </w:num>
  <w:num w:numId="10">
    <w:abstractNumId w:val="9"/>
  </w:num>
  <w:num w:numId="11">
    <w:abstractNumId w:val="1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7634CC"/>
    <w:rsid w:val="06AD4AD5"/>
    <w:rsid w:val="06E5FA60"/>
    <w:rsid w:val="0977C5B6"/>
    <w:rsid w:val="09F64F97"/>
    <w:rsid w:val="0A0D460E"/>
    <w:rsid w:val="0AEF46DA"/>
    <w:rsid w:val="0B9F92F6"/>
    <w:rsid w:val="0BB55F0B"/>
    <w:rsid w:val="0BF216FD"/>
    <w:rsid w:val="0BFBDC50"/>
    <w:rsid w:val="0C14055E"/>
    <w:rsid w:val="0D7E46F1"/>
    <w:rsid w:val="0DB203EF"/>
    <w:rsid w:val="0E2E8A56"/>
    <w:rsid w:val="0EA6FEA5"/>
    <w:rsid w:val="0EC7610D"/>
    <w:rsid w:val="0EEE2A65"/>
    <w:rsid w:val="0EFBC5A6"/>
    <w:rsid w:val="0F260DF9"/>
    <w:rsid w:val="0F50D8B6"/>
    <w:rsid w:val="0FAD61F6"/>
    <w:rsid w:val="0FBF9ED6"/>
    <w:rsid w:val="0FBFF7C9"/>
    <w:rsid w:val="0FC138D0"/>
    <w:rsid w:val="0FD550EB"/>
    <w:rsid w:val="0FDE9848"/>
    <w:rsid w:val="0FEFC186"/>
    <w:rsid w:val="1126007C"/>
    <w:rsid w:val="11443462"/>
    <w:rsid w:val="11AE7893"/>
    <w:rsid w:val="11BB0CCA"/>
    <w:rsid w:val="12EF1C78"/>
    <w:rsid w:val="12EFAA03"/>
    <w:rsid w:val="13391315"/>
    <w:rsid w:val="139C4A79"/>
    <w:rsid w:val="139F60FB"/>
    <w:rsid w:val="13EE4AF4"/>
    <w:rsid w:val="142313E0"/>
    <w:rsid w:val="15BBDD74"/>
    <w:rsid w:val="15BFBDD0"/>
    <w:rsid w:val="15D74C1C"/>
    <w:rsid w:val="15F589D8"/>
    <w:rsid w:val="15FBD6F7"/>
    <w:rsid w:val="15FEFF7A"/>
    <w:rsid w:val="15FF6BF6"/>
    <w:rsid w:val="16AFC733"/>
    <w:rsid w:val="16BC7E7D"/>
    <w:rsid w:val="17515270"/>
    <w:rsid w:val="17746151"/>
    <w:rsid w:val="17893B6A"/>
    <w:rsid w:val="178B26DA"/>
    <w:rsid w:val="17CEEBA9"/>
    <w:rsid w:val="17D3217B"/>
    <w:rsid w:val="17F5BC6F"/>
    <w:rsid w:val="17FEE426"/>
    <w:rsid w:val="17FFDA05"/>
    <w:rsid w:val="18747E96"/>
    <w:rsid w:val="19376D81"/>
    <w:rsid w:val="197B3252"/>
    <w:rsid w:val="1ADCBA5F"/>
    <w:rsid w:val="1AEE8DC9"/>
    <w:rsid w:val="1AFF4782"/>
    <w:rsid w:val="1B0BDA71"/>
    <w:rsid w:val="1B644773"/>
    <w:rsid w:val="1B7D324B"/>
    <w:rsid w:val="1BEF7657"/>
    <w:rsid w:val="1BF35E59"/>
    <w:rsid w:val="1BFE9E91"/>
    <w:rsid w:val="1C0F2D2D"/>
    <w:rsid w:val="1C4C4F36"/>
    <w:rsid w:val="1CD3427C"/>
    <w:rsid w:val="1CDEA6F5"/>
    <w:rsid w:val="1CEDBEA8"/>
    <w:rsid w:val="1CFF3E80"/>
    <w:rsid w:val="1D1A2043"/>
    <w:rsid w:val="1D56F24F"/>
    <w:rsid w:val="1D916302"/>
    <w:rsid w:val="1DF7C2DA"/>
    <w:rsid w:val="1E3C30A0"/>
    <w:rsid w:val="1E3DAADE"/>
    <w:rsid w:val="1E3F8C2A"/>
    <w:rsid w:val="1E3F93AF"/>
    <w:rsid w:val="1E3FCBC3"/>
    <w:rsid w:val="1E7236B6"/>
    <w:rsid w:val="1E9BF98F"/>
    <w:rsid w:val="1EB6DD12"/>
    <w:rsid w:val="1EC60A0F"/>
    <w:rsid w:val="1EC77D42"/>
    <w:rsid w:val="1ECB3ED3"/>
    <w:rsid w:val="1ECEB824"/>
    <w:rsid w:val="1ED33082"/>
    <w:rsid w:val="1EDF49BD"/>
    <w:rsid w:val="1EFD25F9"/>
    <w:rsid w:val="1F56FFA1"/>
    <w:rsid w:val="1F7E0EE0"/>
    <w:rsid w:val="1FA61EEB"/>
    <w:rsid w:val="1FAF9374"/>
    <w:rsid w:val="1FBD9899"/>
    <w:rsid w:val="1FBE10CE"/>
    <w:rsid w:val="1FBFF6EA"/>
    <w:rsid w:val="1FCF59C0"/>
    <w:rsid w:val="1FCF9E2A"/>
    <w:rsid w:val="1FD9E9C8"/>
    <w:rsid w:val="1FDF0654"/>
    <w:rsid w:val="1FE716A2"/>
    <w:rsid w:val="1FEC0A29"/>
    <w:rsid w:val="1FEF8B73"/>
    <w:rsid w:val="1FF061BE"/>
    <w:rsid w:val="1FFFD3DA"/>
    <w:rsid w:val="22C62F3A"/>
    <w:rsid w:val="23415B68"/>
    <w:rsid w:val="23F10D53"/>
    <w:rsid w:val="23F6AEF3"/>
    <w:rsid w:val="23FF2E7D"/>
    <w:rsid w:val="23FFEB2E"/>
    <w:rsid w:val="245E2EB0"/>
    <w:rsid w:val="24AA73A6"/>
    <w:rsid w:val="24D3A756"/>
    <w:rsid w:val="24E81237"/>
    <w:rsid w:val="24FEEDB8"/>
    <w:rsid w:val="261563B9"/>
    <w:rsid w:val="26D7DD6E"/>
    <w:rsid w:val="26E75257"/>
    <w:rsid w:val="271E9C29"/>
    <w:rsid w:val="272E548B"/>
    <w:rsid w:val="273F7E17"/>
    <w:rsid w:val="27532774"/>
    <w:rsid w:val="27720C4C"/>
    <w:rsid w:val="27AB7D28"/>
    <w:rsid w:val="27B6DF63"/>
    <w:rsid w:val="27C70235"/>
    <w:rsid w:val="27D30408"/>
    <w:rsid w:val="27DEC9A5"/>
    <w:rsid w:val="27EE77CF"/>
    <w:rsid w:val="27FAFE75"/>
    <w:rsid w:val="284B6909"/>
    <w:rsid w:val="286379F8"/>
    <w:rsid w:val="287496AD"/>
    <w:rsid w:val="2959155B"/>
    <w:rsid w:val="298FF876"/>
    <w:rsid w:val="29CE0AFE"/>
    <w:rsid w:val="29FF3BF0"/>
    <w:rsid w:val="29FF8590"/>
    <w:rsid w:val="2A050A46"/>
    <w:rsid w:val="2A6D712E"/>
    <w:rsid w:val="2A9BAECF"/>
    <w:rsid w:val="2AA74037"/>
    <w:rsid w:val="2AAF34D9"/>
    <w:rsid w:val="2AFDAF60"/>
    <w:rsid w:val="2B3E47BC"/>
    <w:rsid w:val="2B9EE5ED"/>
    <w:rsid w:val="2BD27518"/>
    <w:rsid w:val="2BEBCF87"/>
    <w:rsid w:val="2BF7CC53"/>
    <w:rsid w:val="2BFA0AF0"/>
    <w:rsid w:val="2BFD14DB"/>
    <w:rsid w:val="2BFE9CF9"/>
    <w:rsid w:val="2BFEB9B3"/>
    <w:rsid w:val="2BFFA8A5"/>
    <w:rsid w:val="2C1DD162"/>
    <w:rsid w:val="2C555706"/>
    <w:rsid w:val="2C7DBA9F"/>
    <w:rsid w:val="2D7CE878"/>
    <w:rsid w:val="2D860E5E"/>
    <w:rsid w:val="2D88708D"/>
    <w:rsid w:val="2D9E7B63"/>
    <w:rsid w:val="2DA489B3"/>
    <w:rsid w:val="2DB91642"/>
    <w:rsid w:val="2DBF8C46"/>
    <w:rsid w:val="2DDBB70C"/>
    <w:rsid w:val="2DDF4F06"/>
    <w:rsid w:val="2DE79E48"/>
    <w:rsid w:val="2DF1864B"/>
    <w:rsid w:val="2DF77DAF"/>
    <w:rsid w:val="2DF8EFDA"/>
    <w:rsid w:val="2E04154E"/>
    <w:rsid w:val="2E39630E"/>
    <w:rsid w:val="2E6DCBCF"/>
    <w:rsid w:val="2E6F47F6"/>
    <w:rsid w:val="2E6FD447"/>
    <w:rsid w:val="2E9B49AF"/>
    <w:rsid w:val="2EB70BE4"/>
    <w:rsid w:val="2EBF45EA"/>
    <w:rsid w:val="2EE7FC7C"/>
    <w:rsid w:val="2EEE6647"/>
    <w:rsid w:val="2EEFBA21"/>
    <w:rsid w:val="2EF515A8"/>
    <w:rsid w:val="2EFB4327"/>
    <w:rsid w:val="2F54530E"/>
    <w:rsid w:val="2F776DEB"/>
    <w:rsid w:val="2F7C97FE"/>
    <w:rsid w:val="2F8215FD"/>
    <w:rsid w:val="2F8D0557"/>
    <w:rsid w:val="2F9FED17"/>
    <w:rsid w:val="2FB7E173"/>
    <w:rsid w:val="2FBD08A7"/>
    <w:rsid w:val="2FBD937F"/>
    <w:rsid w:val="2FBF4E4B"/>
    <w:rsid w:val="2FBF6FB8"/>
    <w:rsid w:val="2FD88657"/>
    <w:rsid w:val="2FDF2FBB"/>
    <w:rsid w:val="2FE1EA2D"/>
    <w:rsid w:val="2FF78CBA"/>
    <w:rsid w:val="2FF85BCB"/>
    <w:rsid w:val="2FFD0B9D"/>
    <w:rsid w:val="2FFD1DA2"/>
    <w:rsid w:val="2FFF840B"/>
    <w:rsid w:val="2FFFEFB4"/>
    <w:rsid w:val="30921B85"/>
    <w:rsid w:val="32D103B5"/>
    <w:rsid w:val="335F5F1A"/>
    <w:rsid w:val="335FA238"/>
    <w:rsid w:val="3377848B"/>
    <w:rsid w:val="337F4580"/>
    <w:rsid w:val="337FEAF9"/>
    <w:rsid w:val="33AD165B"/>
    <w:rsid w:val="33BE9CD5"/>
    <w:rsid w:val="33C02300"/>
    <w:rsid w:val="33E7DEB3"/>
    <w:rsid w:val="33EFA73C"/>
    <w:rsid w:val="33F5E36A"/>
    <w:rsid w:val="33F8A646"/>
    <w:rsid w:val="33FF701F"/>
    <w:rsid w:val="3475285E"/>
    <w:rsid w:val="34790FFC"/>
    <w:rsid w:val="34D74A74"/>
    <w:rsid w:val="34DFCC51"/>
    <w:rsid w:val="34FAB00F"/>
    <w:rsid w:val="353F41D3"/>
    <w:rsid w:val="356FBF8A"/>
    <w:rsid w:val="357513AA"/>
    <w:rsid w:val="357DCF0A"/>
    <w:rsid w:val="357F2124"/>
    <w:rsid w:val="35913FBB"/>
    <w:rsid w:val="35B768EC"/>
    <w:rsid w:val="35DF3AB2"/>
    <w:rsid w:val="35EBEF8A"/>
    <w:rsid w:val="35EFA8B9"/>
    <w:rsid w:val="362B56C3"/>
    <w:rsid w:val="363FA653"/>
    <w:rsid w:val="3643A6B7"/>
    <w:rsid w:val="36BA8AD2"/>
    <w:rsid w:val="36DCBF6A"/>
    <w:rsid w:val="36DF74C0"/>
    <w:rsid w:val="36EDADB4"/>
    <w:rsid w:val="36FF9DF1"/>
    <w:rsid w:val="371B2A98"/>
    <w:rsid w:val="372FEB04"/>
    <w:rsid w:val="373F77D0"/>
    <w:rsid w:val="375EA094"/>
    <w:rsid w:val="3777F3BA"/>
    <w:rsid w:val="377F7695"/>
    <w:rsid w:val="379234A4"/>
    <w:rsid w:val="379E6A40"/>
    <w:rsid w:val="37BEE8F8"/>
    <w:rsid w:val="37BFE79D"/>
    <w:rsid w:val="37CC04CE"/>
    <w:rsid w:val="37DF2DD6"/>
    <w:rsid w:val="37DF700B"/>
    <w:rsid w:val="37EE409E"/>
    <w:rsid w:val="37EF6C2E"/>
    <w:rsid w:val="37F2F170"/>
    <w:rsid w:val="37F31E21"/>
    <w:rsid w:val="37F46EF3"/>
    <w:rsid w:val="37FB87C7"/>
    <w:rsid w:val="386F4749"/>
    <w:rsid w:val="38F3C42B"/>
    <w:rsid w:val="38FBB1AF"/>
    <w:rsid w:val="394BDD70"/>
    <w:rsid w:val="39A91B73"/>
    <w:rsid w:val="39B23F7D"/>
    <w:rsid w:val="39B345ED"/>
    <w:rsid w:val="39D7FC96"/>
    <w:rsid w:val="39F37BB0"/>
    <w:rsid w:val="39F9FF79"/>
    <w:rsid w:val="39FF8104"/>
    <w:rsid w:val="3AB7A37F"/>
    <w:rsid w:val="3AB89792"/>
    <w:rsid w:val="3AEDF30C"/>
    <w:rsid w:val="3AEF7D57"/>
    <w:rsid w:val="3AF2A20F"/>
    <w:rsid w:val="3AFB607E"/>
    <w:rsid w:val="3AFF2AC7"/>
    <w:rsid w:val="3AFFE5F0"/>
    <w:rsid w:val="3B2F6A62"/>
    <w:rsid w:val="3B2FF963"/>
    <w:rsid w:val="3B4448CF"/>
    <w:rsid w:val="3B4CE5B0"/>
    <w:rsid w:val="3B5FDE51"/>
    <w:rsid w:val="3B75BF38"/>
    <w:rsid w:val="3B76AC7B"/>
    <w:rsid w:val="3B7B2E0D"/>
    <w:rsid w:val="3B7F89B9"/>
    <w:rsid w:val="3B8A0DC3"/>
    <w:rsid w:val="3BA443B8"/>
    <w:rsid w:val="3BB1D3AC"/>
    <w:rsid w:val="3BB9F82F"/>
    <w:rsid w:val="3BC8C79A"/>
    <w:rsid w:val="3BCF19F8"/>
    <w:rsid w:val="3BD35445"/>
    <w:rsid w:val="3BD3A284"/>
    <w:rsid w:val="3BDF39C1"/>
    <w:rsid w:val="3BDF8995"/>
    <w:rsid w:val="3BE7BB5B"/>
    <w:rsid w:val="3BE9ECFC"/>
    <w:rsid w:val="3BEC33D1"/>
    <w:rsid w:val="3BEEE266"/>
    <w:rsid w:val="3BEFA896"/>
    <w:rsid w:val="3BF1F4CB"/>
    <w:rsid w:val="3BF96EE7"/>
    <w:rsid w:val="3BFA26FF"/>
    <w:rsid w:val="3BFB275E"/>
    <w:rsid w:val="3BFBF558"/>
    <w:rsid w:val="3BFCF615"/>
    <w:rsid w:val="3BFD2A30"/>
    <w:rsid w:val="3BFE3B7E"/>
    <w:rsid w:val="3BFF34DA"/>
    <w:rsid w:val="3BFF979F"/>
    <w:rsid w:val="3BFFE858"/>
    <w:rsid w:val="3C5C7252"/>
    <w:rsid w:val="3C5D639A"/>
    <w:rsid w:val="3C6E3153"/>
    <w:rsid w:val="3C9EB686"/>
    <w:rsid w:val="3CBF46D4"/>
    <w:rsid w:val="3CDE5245"/>
    <w:rsid w:val="3CEDDB4E"/>
    <w:rsid w:val="3CEF330A"/>
    <w:rsid w:val="3CEF88A6"/>
    <w:rsid w:val="3CF3F10D"/>
    <w:rsid w:val="3D1D3248"/>
    <w:rsid w:val="3D323C74"/>
    <w:rsid w:val="3D3531B2"/>
    <w:rsid w:val="3D6D1F84"/>
    <w:rsid w:val="3D7E3DA3"/>
    <w:rsid w:val="3D7F81D5"/>
    <w:rsid w:val="3DBB99B1"/>
    <w:rsid w:val="3DBF1DAB"/>
    <w:rsid w:val="3DBF7AC8"/>
    <w:rsid w:val="3DDF7D69"/>
    <w:rsid w:val="3DE75B65"/>
    <w:rsid w:val="3DED0E18"/>
    <w:rsid w:val="3DEF54A2"/>
    <w:rsid w:val="3DEFACC2"/>
    <w:rsid w:val="3DF9444F"/>
    <w:rsid w:val="3DFC7DDF"/>
    <w:rsid w:val="3E1FAF72"/>
    <w:rsid w:val="3E457745"/>
    <w:rsid w:val="3E4A84CF"/>
    <w:rsid w:val="3E6B0E7A"/>
    <w:rsid w:val="3E6C5DD9"/>
    <w:rsid w:val="3E7CD3F2"/>
    <w:rsid w:val="3E7F1755"/>
    <w:rsid w:val="3E7F36FF"/>
    <w:rsid w:val="3E8A5C33"/>
    <w:rsid w:val="3E8B2C4E"/>
    <w:rsid w:val="3E8F2131"/>
    <w:rsid w:val="3EAE9719"/>
    <w:rsid w:val="3EAF6F38"/>
    <w:rsid w:val="3EB0A816"/>
    <w:rsid w:val="3EB542D6"/>
    <w:rsid w:val="3EBF469E"/>
    <w:rsid w:val="3ED22BCD"/>
    <w:rsid w:val="3ED728FC"/>
    <w:rsid w:val="3ED75668"/>
    <w:rsid w:val="3EE37829"/>
    <w:rsid w:val="3EE7B157"/>
    <w:rsid w:val="3EEA43EE"/>
    <w:rsid w:val="3EEB4BED"/>
    <w:rsid w:val="3EEC4AB3"/>
    <w:rsid w:val="3EEF5A40"/>
    <w:rsid w:val="3EF11695"/>
    <w:rsid w:val="3EF30518"/>
    <w:rsid w:val="3EF36D14"/>
    <w:rsid w:val="3EF7BD61"/>
    <w:rsid w:val="3EF968EE"/>
    <w:rsid w:val="3EFC0F1E"/>
    <w:rsid w:val="3EFDF973"/>
    <w:rsid w:val="3EFF20E1"/>
    <w:rsid w:val="3EFFC066"/>
    <w:rsid w:val="3EFFD3E1"/>
    <w:rsid w:val="3F1EA5F2"/>
    <w:rsid w:val="3F2500B3"/>
    <w:rsid w:val="3F31F3A1"/>
    <w:rsid w:val="3F36279F"/>
    <w:rsid w:val="3F4626B8"/>
    <w:rsid w:val="3F4F4430"/>
    <w:rsid w:val="3F4F5A12"/>
    <w:rsid w:val="3F571877"/>
    <w:rsid w:val="3F5EABBF"/>
    <w:rsid w:val="3F65688F"/>
    <w:rsid w:val="3F7492D0"/>
    <w:rsid w:val="3F769E93"/>
    <w:rsid w:val="3F7751FA"/>
    <w:rsid w:val="3F7B1D7D"/>
    <w:rsid w:val="3F7BD41F"/>
    <w:rsid w:val="3F7CE98C"/>
    <w:rsid w:val="3F7E694B"/>
    <w:rsid w:val="3F7F326C"/>
    <w:rsid w:val="3F7F419D"/>
    <w:rsid w:val="3F7F7C26"/>
    <w:rsid w:val="3F7F7E61"/>
    <w:rsid w:val="3F7FA6F9"/>
    <w:rsid w:val="3F7FF3A7"/>
    <w:rsid w:val="3F800E58"/>
    <w:rsid w:val="3F8CBFBD"/>
    <w:rsid w:val="3F9BE200"/>
    <w:rsid w:val="3F9F7977"/>
    <w:rsid w:val="3F9FBC91"/>
    <w:rsid w:val="3FACCEBB"/>
    <w:rsid w:val="3FAD292E"/>
    <w:rsid w:val="3FB640C1"/>
    <w:rsid w:val="3FBB5827"/>
    <w:rsid w:val="3FBBDC6F"/>
    <w:rsid w:val="3FBF5D2C"/>
    <w:rsid w:val="3FBF99BE"/>
    <w:rsid w:val="3FCFEBC1"/>
    <w:rsid w:val="3FD391DE"/>
    <w:rsid w:val="3FDA01DD"/>
    <w:rsid w:val="3FDD87DF"/>
    <w:rsid w:val="3FDDEA02"/>
    <w:rsid w:val="3FDEF8A2"/>
    <w:rsid w:val="3FDF16C2"/>
    <w:rsid w:val="3FDF830E"/>
    <w:rsid w:val="3FDFAE19"/>
    <w:rsid w:val="3FDFBFB3"/>
    <w:rsid w:val="3FE3037B"/>
    <w:rsid w:val="3FE64F5F"/>
    <w:rsid w:val="3FE9E51A"/>
    <w:rsid w:val="3FEA575E"/>
    <w:rsid w:val="3FEB33DD"/>
    <w:rsid w:val="3FECCE45"/>
    <w:rsid w:val="3FEDCF59"/>
    <w:rsid w:val="3FEF1047"/>
    <w:rsid w:val="3FEF1726"/>
    <w:rsid w:val="3FEF2682"/>
    <w:rsid w:val="3FEF3A59"/>
    <w:rsid w:val="3FEF617D"/>
    <w:rsid w:val="3FF200B2"/>
    <w:rsid w:val="3FF7092F"/>
    <w:rsid w:val="3FF7EFEB"/>
    <w:rsid w:val="3FF7FB14"/>
    <w:rsid w:val="3FF91D4E"/>
    <w:rsid w:val="3FFABA1D"/>
    <w:rsid w:val="3FFAE55B"/>
    <w:rsid w:val="3FFC03D3"/>
    <w:rsid w:val="3FFC8C28"/>
    <w:rsid w:val="3FFCE4AE"/>
    <w:rsid w:val="3FFE6B5A"/>
    <w:rsid w:val="3FFF0C2A"/>
    <w:rsid w:val="3FFF1AD8"/>
    <w:rsid w:val="3FFF4B18"/>
    <w:rsid w:val="3FFF55D8"/>
    <w:rsid w:val="3FFFA0C9"/>
    <w:rsid w:val="3FFFC148"/>
    <w:rsid w:val="3FFFF1B8"/>
    <w:rsid w:val="3FFFFFF3"/>
    <w:rsid w:val="40286339"/>
    <w:rsid w:val="40A34EF9"/>
    <w:rsid w:val="41094798"/>
    <w:rsid w:val="42B2E90B"/>
    <w:rsid w:val="42FE9FB5"/>
    <w:rsid w:val="437B6009"/>
    <w:rsid w:val="43EFAB43"/>
    <w:rsid w:val="43FE609C"/>
    <w:rsid w:val="44DC6497"/>
    <w:rsid w:val="44DE5A4E"/>
    <w:rsid w:val="452403A5"/>
    <w:rsid w:val="454D2DE0"/>
    <w:rsid w:val="45D16686"/>
    <w:rsid w:val="45EE5E1E"/>
    <w:rsid w:val="462F5951"/>
    <w:rsid w:val="467392AD"/>
    <w:rsid w:val="4697B0EC"/>
    <w:rsid w:val="46A5E501"/>
    <w:rsid w:val="46FF9209"/>
    <w:rsid w:val="472F45DE"/>
    <w:rsid w:val="479F083A"/>
    <w:rsid w:val="47BA6DDE"/>
    <w:rsid w:val="47BE0AB6"/>
    <w:rsid w:val="47E5BD3C"/>
    <w:rsid w:val="47FEB713"/>
    <w:rsid w:val="47FEEA0C"/>
    <w:rsid w:val="47FFB319"/>
    <w:rsid w:val="48DFBCE1"/>
    <w:rsid w:val="49FF1354"/>
    <w:rsid w:val="4A0B2A82"/>
    <w:rsid w:val="4AD50DA1"/>
    <w:rsid w:val="4B240373"/>
    <w:rsid w:val="4B5C669F"/>
    <w:rsid w:val="4B5FD1C2"/>
    <w:rsid w:val="4B7E4857"/>
    <w:rsid w:val="4BBFB59F"/>
    <w:rsid w:val="4BD95C3D"/>
    <w:rsid w:val="4BF9659A"/>
    <w:rsid w:val="4BFF0375"/>
    <w:rsid w:val="4BFF6F01"/>
    <w:rsid w:val="4BFF78E6"/>
    <w:rsid w:val="4C9630E6"/>
    <w:rsid w:val="4CF7683F"/>
    <w:rsid w:val="4D77249F"/>
    <w:rsid w:val="4D796D4B"/>
    <w:rsid w:val="4DA78014"/>
    <w:rsid w:val="4DD29871"/>
    <w:rsid w:val="4DEF0CAE"/>
    <w:rsid w:val="4DEFFB07"/>
    <w:rsid w:val="4DFF8FC6"/>
    <w:rsid w:val="4DFF9C1C"/>
    <w:rsid w:val="4E7FD645"/>
    <w:rsid w:val="4E9D1594"/>
    <w:rsid w:val="4EBF4AED"/>
    <w:rsid w:val="4ED5FB2D"/>
    <w:rsid w:val="4EE40807"/>
    <w:rsid w:val="4EF11EDC"/>
    <w:rsid w:val="4EFEE3CF"/>
    <w:rsid w:val="4EFFCC04"/>
    <w:rsid w:val="4EFFD058"/>
    <w:rsid w:val="4F4DC02C"/>
    <w:rsid w:val="4F4E3BCE"/>
    <w:rsid w:val="4F4F56C9"/>
    <w:rsid w:val="4F6715EE"/>
    <w:rsid w:val="4F7FAC37"/>
    <w:rsid w:val="4F7FBF76"/>
    <w:rsid w:val="4F9F3EAC"/>
    <w:rsid w:val="4FA32AE8"/>
    <w:rsid w:val="4FA6572E"/>
    <w:rsid w:val="4FAB1773"/>
    <w:rsid w:val="4FAC032D"/>
    <w:rsid w:val="4FB77DE6"/>
    <w:rsid w:val="4FBBE42B"/>
    <w:rsid w:val="4FBD579C"/>
    <w:rsid w:val="4FBF8279"/>
    <w:rsid w:val="4FEF7BC4"/>
    <w:rsid w:val="4FFB8451"/>
    <w:rsid w:val="4FFB8E16"/>
    <w:rsid w:val="4FFF3983"/>
    <w:rsid w:val="4FFFB35D"/>
    <w:rsid w:val="50450572"/>
    <w:rsid w:val="51624E8A"/>
    <w:rsid w:val="51DF7224"/>
    <w:rsid w:val="521F3E4B"/>
    <w:rsid w:val="523FA006"/>
    <w:rsid w:val="52EFBDB1"/>
    <w:rsid w:val="52F6FAD5"/>
    <w:rsid w:val="53BD7D95"/>
    <w:rsid w:val="53DE26C8"/>
    <w:rsid w:val="53E7DABE"/>
    <w:rsid w:val="53EE158E"/>
    <w:rsid w:val="53FBEAC5"/>
    <w:rsid w:val="53FDFCAE"/>
    <w:rsid w:val="547CA8D3"/>
    <w:rsid w:val="548B2661"/>
    <w:rsid w:val="54F115E0"/>
    <w:rsid w:val="55447A06"/>
    <w:rsid w:val="555BA0AF"/>
    <w:rsid w:val="557F36C1"/>
    <w:rsid w:val="55DD5B30"/>
    <w:rsid w:val="55DF30E4"/>
    <w:rsid w:val="55FA15B7"/>
    <w:rsid w:val="562D8241"/>
    <w:rsid w:val="567F357A"/>
    <w:rsid w:val="567F53D9"/>
    <w:rsid w:val="56B5692E"/>
    <w:rsid w:val="56BEE398"/>
    <w:rsid w:val="56FD9F13"/>
    <w:rsid w:val="57014352"/>
    <w:rsid w:val="5739D327"/>
    <w:rsid w:val="573D63DA"/>
    <w:rsid w:val="576DAE12"/>
    <w:rsid w:val="576E940A"/>
    <w:rsid w:val="576EEF97"/>
    <w:rsid w:val="57AFC138"/>
    <w:rsid w:val="57BD67C8"/>
    <w:rsid w:val="57BFE285"/>
    <w:rsid w:val="57D5B179"/>
    <w:rsid w:val="57DBE7AC"/>
    <w:rsid w:val="57DD41C0"/>
    <w:rsid w:val="57DFF4BD"/>
    <w:rsid w:val="57E54B7E"/>
    <w:rsid w:val="57E70F57"/>
    <w:rsid w:val="57EBFCD7"/>
    <w:rsid w:val="57EF46D5"/>
    <w:rsid w:val="57EFA361"/>
    <w:rsid w:val="57F5FB92"/>
    <w:rsid w:val="57FBCD8A"/>
    <w:rsid w:val="57FDC686"/>
    <w:rsid w:val="57FFE8DD"/>
    <w:rsid w:val="582A60AC"/>
    <w:rsid w:val="58841836"/>
    <w:rsid w:val="58BFC293"/>
    <w:rsid w:val="58D96099"/>
    <w:rsid w:val="594F9F96"/>
    <w:rsid w:val="597E1BC4"/>
    <w:rsid w:val="598F29B3"/>
    <w:rsid w:val="599FD232"/>
    <w:rsid w:val="59CB7A5C"/>
    <w:rsid w:val="59CD9A52"/>
    <w:rsid w:val="59EF0511"/>
    <w:rsid w:val="59FF62C8"/>
    <w:rsid w:val="5A7F463C"/>
    <w:rsid w:val="5AAE34DB"/>
    <w:rsid w:val="5ABBDF2B"/>
    <w:rsid w:val="5AEC2D3D"/>
    <w:rsid w:val="5AF956D6"/>
    <w:rsid w:val="5AFF5C9C"/>
    <w:rsid w:val="5B075C16"/>
    <w:rsid w:val="5B2ECBFB"/>
    <w:rsid w:val="5B3336B2"/>
    <w:rsid w:val="5B3E2C04"/>
    <w:rsid w:val="5B5642E6"/>
    <w:rsid w:val="5B6F5E56"/>
    <w:rsid w:val="5B778FB8"/>
    <w:rsid w:val="5B7E9F71"/>
    <w:rsid w:val="5B9467C0"/>
    <w:rsid w:val="5B9A48BE"/>
    <w:rsid w:val="5BAFF1B8"/>
    <w:rsid w:val="5BBBAF0A"/>
    <w:rsid w:val="5BD7D220"/>
    <w:rsid w:val="5BDDF1F8"/>
    <w:rsid w:val="5BEE8154"/>
    <w:rsid w:val="5BEF28C6"/>
    <w:rsid w:val="5BF3A74E"/>
    <w:rsid w:val="5BF68CF6"/>
    <w:rsid w:val="5BF8AA04"/>
    <w:rsid w:val="5BFC5027"/>
    <w:rsid w:val="5BFD1224"/>
    <w:rsid w:val="5BFD3CB7"/>
    <w:rsid w:val="5BFDB7EC"/>
    <w:rsid w:val="5BFF0AD2"/>
    <w:rsid w:val="5BFF147D"/>
    <w:rsid w:val="5C6FBA19"/>
    <w:rsid w:val="5C7EB9DA"/>
    <w:rsid w:val="5C9B734C"/>
    <w:rsid w:val="5CD78333"/>
    <w:rsid w:val="5CEBCAD6"/>
    <w:rsid w:val="5CF1226C"/>
    <w:rsid w:val="5CF3E376"/>
    <w:rsid w:val="5CFF2307"/>
    <w:rsid w:val="5D177A7A"/>
    <w:rsid w:val="5D74A023"/>
    <w:rsid w:val="5D7F530F"/>
    <w:rsid w:val="5D8CAEE6"/>
    <w:rsid w:val="5D953CD4"/>
    <w:rsid w:val="5DB3473A"/>
    <w:rsid w:val="5DBF23B5"/>
    <w:rsid w:val="5DC67B8B"/>
    <w:rsid w:val="5DC89EF4"/>
    <w:rsid w:val="5DCD2524"/>
    <w:rsid w:val="5DCF3F99"/>
    <w:rsid w:val="5DDB479A"/>
    <w:rsid w:val="5DDD4563"/>
    <w:rsid w:val="5DDD5F91"/>
    <w:rsid w:val="5DED387C"/>
    <w:rsid w:val="5DEF0F72"/>
    <w:rsid w:val="5DEF5EB0"/>
    <w:rsid w:val="5DF5385C"/>
    <w:rsid w:val="5DF7A785"/>
    <w:rsid w:val="5DFDEB58"/>
    <w:rsid w:val="5DFE02C1"/>
    <w:rsid w:val="5DFFBE50"/>
    <w:rsid w:val="5DFFD3FE"/>
    <w:rsid w:val="5DFFFB1A"/>
    <w:rsid w:val="5DFFFDD5"/>
    <w:rsid w:val="5E2FF403"/>
    <w:rsid w:val="5E336754"/>
    <w:rsid w:val="5E3B697E"/>
    <w:rsid w:val="5E60746C"/>
    <w:rsid w:val="5E7594B2"/>
    <w:rsid w:val="5E937489"/>
    <w:rsid w:val="5E9A23A3"/>
    <w:rsid w:val="5EBDBC12"/>
    <w:rsid w:val="5EBE7485"/>
    <w:rsid w:val="5EBFB65F"/>
    <w:rsid w:val="5ECB379A"/>
    <w:rsid w:val="5ECD2796"/>
    <w:rsid w:val="5ED152C2"/>
    <w:rsid w:val="5ED2EC84"/>
    <w:rsid w:val="5EDFDB47"/>
    <w:rsid w:val="5EE3D9C1"/>
    <w:rsid w:val="5EF31FF9"/>
    <w:rsid w:val="5EF7A60A"/>
    <w:rsid w:val="5EFAFDD7"/>
    <w:rsid w:val="5EFD6151"/>
    <w:rsid w:val="5EFD709E"/>
    <w:rsid w:val="5EFDA5E9"/>
    <w:rsid w:val="5EFEADE1"/>
    <w:rsid w:val="5EFFC456"/>
    <w:rsid w:val="5EFFE663"/>
    <w:rsid w:val="5F0D1954"/>
    <w:rsid w:val="5F0D925A"/>
    <w:rsid w:val="5F1F1CEB"/>
    <w:rsid w:val="5F1F70DF"/>
    <w:rsid w:val="5F3EB388"/>
    <w:rsid w:val="5F3F32A1"/>
    <w:rsid w:val="5F3F4069"/>
    <w:rsid w:val="5F3FD55E"/>
    <w:rsid w:val="5F585F83"/>
    <w:rsid w:val="5F5E768E"/>
    <w:rsid w:val="5F5F1521"/>
    <w:rsid w:val="5F5FA850"/>
    <w:rsid w:val="5F75CF8A"/>
    <w:rsid w:val="5F771048"/>
    <w:rsid w:val="5F777236"/>
    <w:rsid w:val="5F7D9EDD"/>
    <w:rsid w:val="5F7DEAFC"/>
    <w:rsid w:val="5F7E2721"/>
    <w:rsid w:val="5F7E5599"/>
    <w:rsid w:val="5F7E7540"/>
    <w:rsid w:val="5F7EDD90"/>
    <w:rsid w:val="5F7F9418"/>
    <w:rsid w:val="5F910447"/>
    <w:rsid w:val="5F97E0A9"/>
    <w:rsid w:val="5F9D7187"/>
    <w:rsid w:val="5FAA78F5"/>
    <w:rsid w:val="5FAEC1A2"/>
    <w:rsid w:val="5FB621AB"/>
    <w:rsid w:val="5FB78A2E"/>
    <w:rsid w:val="5FB9847B"/>
    <w:rsid w:val="5FBE19CA"/>
    <w:rsid w:val="5FBF2C41"/>
    <w:rsid w:val="5FBF686B"/>
    <w:rsid w:val="5FCD8FE7"/>
    <w:rsid w:val="5FCE052C"/>
    <w:rsid w:val="5FD5BB1B"/>
    <w:rsid w:val="5FD7279F"/>
    <w:rsid w:val="5FD77564"/>
    <w:rsid w:val="5FD9895F"/>
    <w:rsid w:val="5FDB01DB"/>
    <w:rsid w:val="5FDC4B56"/>
    <w:rsid w:val="5FDD8133"/>
    <w:rsid w:val="5FDF4DD1"/>
    <w:rsid w:val="5FE744AA"/>
    <w:rsid w:val="5FEA9E8D"/>
    <w:rsid w:val="5FEB83AD"/>
    <w:rsid w:val="5FEDD748"/>
    <w:rsid w:val="5FEE3BB2"/>
    <w:rsid w:val="5FEEFD8E"/>
    <w:rsid w:val="5FEF519A"/>
    <w:rsid w:val="5FEF96F0"/>
    <w:rsid w:val="5FEF9FC6"/>
    <w:rsid w:val="5FEFD330"/>
    <w:rsid w:val="5FF33712"/>
    <w:rsid w:val="5FF4AEA5"/>
    <w:rsid w:val="5FF58A5E"/>
    <w:rsid w:val="5FF67FED"/>
    <w:rsid w:val="5FF728E5"/>
    <w:rsid w:val="5FF79CF0"/>
    <w:rsid w:val="5FF980EC"/>
    <w:rsid w:val="5FF98146"/>
    <w:rsid w:val="5FF999D4"/>
    <w:rsid w:val="5FFA2044"/>
    <w:rsid w:val="5FFA3473"/>
    <w:rsid w:val="5FFA7003"/>
    <w:rsid w:val="5FFB2E47"/>
    <w:rsid w:val="5FFBE073"/>
    <w:rsid w:val="5FFC2FA4"/>
    <w:rsid w:val="5FFD8E6B"/>
    <w:rsid w:val="5FFDD2DA"/>
    <w:rsid w:val="5FFDEB2B"/>
    <w:rsid w:val="5FFE4EE5"/>
    <w:rsid w:val="5FFF5029"/>
    <w:rsid w:val="5FFF8A47"/>
    <w:rsid w:val="5FFFCE94"/>
    <w:rsid w:val="5FFFFC6E"/>
    <w:rsid w:val="617D4A6A"/>
    <w:rsid w:val="61B31169"/>
    <w:rsid w:val="61D35B82"/>
    <w:rsid w:val="61FD6A42"/>
    <w:rsid w:val="62C73DF1"/>
    <w:rsid w:val="62CF0EFF"/>
    <w:rsid w:val="62FFDDCB"/>
    <w:rsid w:val="6336CD9B"/>
    <w:rsid w:val="638377A8"/>
    <w:rsid w:val="63B73D49"/>
    <w:rsid w:val="63BEF7C9"/>
    <w:rsid w:val="63DB1246"/>
    <w:rsid w:val="63EB71E8"/>
    <w:rsid w:val="63EBA89B"/>
    <w:rsid w:val="63FC607C"/>
    <w:rsid w:val="63FF7A03"/>
    <w:rsid w:val="6417516A"/>
    <w:rsid w:val="641F4EE6"/>
    <w:rsid w:val="645D6ED9"/>
    <w:rsid w:val="648835C7"/>
    <w:rsid w:val="653B7765"/>
    <w:rsid w:val="65477572"/>
    <w:rsid w:val="655B3FD7"/>
    <w:rsid w:val="657FC189"/>
    <w:rsid w:val="65C37738"/>
    <w:rsid w:val="65CDD796"/>
    <w:rsid w:val="65DE580D"/>
    <w:rsid w:val="65E46921"/>
    <w:rsid w:val="65F83F2F"/>
    <w:rsid w:val="6632E133"/>
    <w:rsid w:val="665F83AD"/>
    <w:rsid w:val="6689555B"/>
    <w:rsid w:val="66AFC1A1"/>
    <w:rsid w:val="66DF7671"/>
    <w:rsid w:val="66F7AB21"/>
    <w:rsid w:val="66F997ED"/>
    <w:rsid w:val="670C1F82"/>
    <w:rsid w:val="671E9133"/>
    <w:rsid w:val="67755F3D"/>
    <w:rsid w:val="677DC604"/>
    <w:rsid w:val="677DF9AF"/>
    <w:rsid w:val="677FE90B"/>
    <w:rsid w:val="678E41F3"/>
    <w:rsid w:val="67AFF102"/>
    <w:rsid w:val="67B5A5C7"/>
    <w:rsid w:val="67B7B560"/>
    <w:rsid w:val="67BF44E4"/>
    <w:rsid w:val="67BF6383"/>
    <w:rsid w:val="67CE9F02"/>
    <w:rsid w:val="67D28279"/>
    <w:rsid w:val="67D3E0DC"/>
    <w:rsid w:val="67DD8961"/>
    <w:rsid w:val="67DE850A"/>
    <w:rsid w:val="67E45B61"/>
    <w:rsid w:val="67EAE887"/>
    <w:rsid w:val="67EDA0B6"/>
    <w:rsid w:val="67EF26A7"/>
    <w:rsid w:val="67F31207"/>
    <w:rsid w:val="67FB8170"/>
    <w:rsid w:val="67FDC720"/>
    <w:rsid w:val="687A614C"/>
    <w:rsid w:val="694D1DDC"/>
    <w:rsid w:val="69774823"/>
    <w:rsid w:val="697E3C46"/>
    <w:rsid w:val="697EDE9E"/>
    <w:rsid w:val="69BC06BD"/>
    <w:rsid w:val="69F6C613"/>
    <w:rsid w:val="69F98929"/>
    <w:rsid w:val="69FE0A5F"/>
    <w:rsid w:val="6A3D2095"/>
    <w:rsid w:val="6A4515FF"/>
    <w:rsid w:val="6A723F09"/>
    <w:rsid w:val="6A7D6FBC"/>
    <w:rsid w:val="6A860352"/>
    <w:rsid w:val="6A8B0F56"/>
    <w:rsid w:val="6ABF683F"/>
    <w:rsid w:val="6ABFCBE9"/>
    <w:rsid w:val="6AE784D6"/>
    <w:rsid w:val="6AEC4A2D"/>
    <w:rsid w:val="6AF57D44"/>
    <w:rsid w:val="6AFB2921"/>
    <w:rsid w:val="6AFDA55A"/>
    <w:rsid w:val="6B0DAC1E"/>
    <w:rsid w:val="6B574B82"/>
    <w:rsid w:val="6B77957B"/>
    <w:rsid w:val="6B7BBC6F"/>
    <w:rsid w:val="6B9F2A24"/>
    <w:rsid w:val="6BBE8DC3"/>
    <w:rsid w:val="6BCF1E9A"/>
    <w:rsid w:val="6BDB9361"/>
    <w:rsid w:val="6BDC5CA0"/>
    <w:rsid w:val="6BDCF144"/>
    <w:rsid w:val="6BDE3CD0"/>
    <w:rsid w:val="6BDF8226"/>
    <w:rsid w:val="6BDFF9FD"/>
    <w:rsid w:val="6BE73003"/>
    <w:rsid w:val="6BEE4A2F"/>
    <w:rsid w:val="6BEF9CDD"/>
    <w:rsid w:val="6BEFAF24"/>
    <w:rsid w:val="6BEFFBC2"/>
    <w:rsid w:val="6BF3BB87"/>
    <w:rsid w:val="6BF73D79"/>
    <w:rsid w:val="6BFD7552"/>
    <w:rsid w:val="6BFE00A3"/>
    <w:rsid w:val="6BFF6CCC"/>
    <w:rsid w:val="6CBB95F6"/>
    <w:rsid w:val="6CBCFB11"/>
    <w:rsid w:val="6CDFFCE1"/>
    <w:rsid w:val="6CED3A7E"/>
    <w:rsid w:val="6CF491E6"/>
    <w:rsid w:val="6CF6358A"/>
    <w:rsid w:val="6CF6948C"/>
    <w:rsid w:val="6CF7D0E3"/>
    <w:rsid w:val="6CFDDF9A"/>
    <w:rsid w:val="6CFEDE13"/>
    <w:rsid w:val="6CFFEDFD"/>
    <w:rsid w:val="6D35C0B8"/>
    <w:rsid w:val="6D3FBD47"/>
    <w:rsid w:val="6D4ED2B5"/>
    <w:rsid w:val="6D57DC9A"/>
    <w:rsid w:val="6D5D17A2"/>
    <w:rsid w:val="6D6B4986"/>
    <w:rsid w:val="6D6E17C5"/>
    <w:rsid w:val="6D7FA425"/>
    <w:rsid w:val="6DABFEB6"/>
    <w:rsid w:val="6DB17249"/>
    <w:rsid w:val="6DD73512"/>
    <w:rsid w:val="6DEF69F8"/>
    <w:rsid w:val="6DFAEC05"/>
    <w:rsid w:val="6DFB684D"/>
    <w:rsid w:val="6DFCE492"/>
    <w:rsid w:val="6DFD965B"/>
    <w:rsid w:val="6DFF3DA8"/>
    <w:rsid w:val="6DFF8FE4"/>
    <w:rsid w:val="6DFF93EE"/>
    <w:rsid w:val="6DFFFF41"/>
    <w:rsid w:val="6E182A45"/>
    <w:rsid w:val="6E34AC6A"/>
    <w:rsid w:val="6E4E3658"/>
    <w:rsid w:val="6E5969EA"/>
    <w:rsid w:val="6E65A335"/>
    <w:rsid w:val="6E72127E"/>
    <w:rsid w:val="6E77D2C4"/>
    <w:rsid w:val="6E7F4E06"/>
    <w:rsid w:val="6E8EB219"/>
    <w:rsid w:val="6EAB7BCC"/>
    <w:rsid w:val="6EB56785"/>
    <w:rsid w:val="6EBBEFC4"/>
    <w:rsid w:val="6EDF3A8D"/>
    <w:rsid w:val="6EEEA5EE"/>
    <w:rsid w:val="6EEF3DBB"/>
    <w:rsid w:val="6EEF5774"/>
    <w:rsid w:val="6EEFD9AE"/>
    <w:rsid w:val="6EF1815E"/>
    <w:rsid w:val="6EF7596F"/>
    <w:rsid w:val="6EF789A8"/>
    <w:rsid w:val="6EF7BA2F"/>
    <w:rsid w:val="6EFEF699"/>
    <w:rsid w:val="6F070AEF"/>
    <w:rsid w:val="6F2F60A1"/>
    <w:rsid w:val="6F5BAD55"/>
    <w:rsid w:val="6F5E201F"/>
    <w:rsid w:val="6F5ECC87"/>
    <w:rsid w:val="6F6B7400"/>
    <w:rsid w:val="6F7723CE"/>
    <w:rsid w:val="6F7797FD"/>
    <w:rsid w:val="6F7D2977"/>
    <w:rsid w:val="6F7DEA2B"/>
    <w:rsid w:val="6F7E0090"/>
    <w:rsid w:val="6F7F9C15"/>
    <w:rsid w:val="6F7FF651"/>
    <w:rsid w:val="6F85C0E4"/>
    <w:rsid w:val="6F9A6F50"/>
    <w:rsid w:val="6F9B5ADC"/>
    <w:rsid w:val="6F9BDB6C"/>
    <w:rsid w:val="6F9D25AC"/>
    <w:rsid w:val="6F9FCFB9"/>
    <w:rsid w:val="6FA58BCC"/>
    <w:rsid w:val="6FADA4E5"/>
    <w:rsid w:val="6FADF877"/>
    <w:rsid w:val="6FAF19E1"/>
    <w:rsid w:val="6FAFF182"/>
    <w:rsid w:val="6FB9C0B3"/>
    <w:rsid w:val="6FBD5D44"/>
    <w:rsid w:val="6FBF08AF"/>
    <w:rsid w:val="6FBF8E07"/>
    <w:rsid w:val="6FBF955A"/>
    <w:rsid w:val="6FC7935B"/>
    <w:rsid w:val="6FCF9412"/>
    <w:rsid w:val="6FD38FD8"/>
    <w:rsid w:val="6FD788F5"/>
    <w:rsid w:val="6FDBE1F6"/>
    <w:rsid w:val="6FDCC4E3"/>
    <w:rsid w:val="6FDD09C5"/>
    <w:rsid w:val="6FDD26D2"/>
    <w:rsid w:val="6FDEFEF9"/>
    <w:rsid w:val="6FDF767E"/>
    <w:rsid w:val="6FE644E1"/>
    <w:rsid w:val="6FEB6673"/>
    <w:rsid w:val="6FEB7021"/>
    <w:rsid w:val="6FEB91EC"/>
    <w:rsid w:val="6FF1418F"/>
    <w:rsid w:val="6FF4CBE6"/>
    <w:rsid w:val="6FF5597F"/>
    <w:rsid w:val="6FF76FE9"/>
    <w:rsid w:val="6FFB0603"/>
    <w:rsid w:val="6FFB67C7"/>
    <w:rsid w:val="6FFDC0A3"/>
    <w:rsid w:val="6FFED52C"/>
    <w:rsid w:val="6FFF3CE2"/>
    <w:rsid w:val="6FFFC918"/>
    <w:rsid w:val="6FFFF469"/>
    <w:rsid w:val="706536E9"/>
    <w:rsid w:val="7077A43F"/>
    <w:rsid w:val="707F5F26"/>
    <w:rsid w:val="708B3515"/>
    <w:rsid w:val="70DE537D"/>
    <w:rsid w:val="70F7E6E5"/>
    <w:rsid w:val="70F9B025"/>
    <w:rsid w:val="70FBCB2C"/>
    <w:rsid w:val="712B3822"/>
    <w:rsid w:val="715FC76C"/>
    <w:rsid w:val="71692C8E"/>
    <w:rsid w:val="717DD7B3"/>
    <w:rsid w:val="71844044"/>
    <w:rsid w:val="71884B08"/>
    <w:rsid w:val="719DC92F"/>
    <w:rsid w:val="71BF9D7B"/>
    <w:rsid w:val="71CF8CC8"/>
    <w:rsid w:val="71EF1ABB"/>
    <w:rsid w:val="71F07391"/>
    <w:rsid w:val="71FB4449"/>
    <w:rsid w:val="726F04F5"/>
    <w:rsid w:val="7273247D"/>
    <w:rsid w:val="72C07827"/>
    <w:rsid w:val="72DFCA67"/>
    <w:rsid w:val="72F87E26"/>
    <w:rsid w:val="72FD5C9A"/>
    <w:rsid w:val="72FEEB10"/>
    <w:rsid w:val="72FFC369"/>
    <w:rsid w:val="72FFCBAB"/>
    <w:rsid w:val="72FFCF7B"/>
    <w:rsid w:val="7362B53C"/>
    <w:rsid w:val="73774FB1"/>
    <w:rsid w:val="737B0ED8"/>
    <w:rsid w:val="737EE920"/>
    <w:rsid w:val="73A7572A"/>
    <w:rsid w:val="73AB40F7"/>
    <w:rsid w:val="73B51EF9"/>
    <w:rsid w:val="73BB12E0"/>
    <w:rsid w:val="73BF3439"/>
    <w:rsid w:val="73C3ABAF"/>
    <w:rsid w:val="73D3A7D2"/>
    <w:rsid w:val="73D68846"/>
    <w:rsid w:val="73D71F7F"/>
    <w:rsid w:val="73DB7784"/>
    <w:rsid w:val="73ED6581"/>
    <w:rsid w:val="73EFF68F"/>
    <w:rsid w:val="73F31CE6"/>
    <w:rsid w:val="73F67713"/>
    <w:rsid w:val="73FB821A"/>
    <w:rsid w:val="73FEF627"/>
    <w:rsid w:val="73FF54A1"/>
    <w:rsid w:val="73FFA17D"/>
    <w:rsid w:val="73FFEA90"/>
    <w:rsid w:val="7474F750"/>
    <w:rsid w:val="7495FE01"/>
    <w:rsid w:val="74D487E0"/>
    <w:rsid w:val="75150BCE"/>
    <w:rsid w:val="754D1B9A"/>
    <w:rsid w:val="757D7A13"/>
    <w:rsid w:val="757DC1AF"/>
    <w:rsid w:val="757F6864"/>
    <w:rsid w:val="758BCED1"/>
    <w:rsid w:val="75AC1E99"/>
    <w:rsid w:val="75B784BA"/>
    <w:rsid w:val="75BBBC97"/>
    <w:rsid w:val="75BE7A05"/>
    <w:rsid w:val="75BFA760"/>
    <w:rsid w:val="75C441C0"/>
    <w:rsid w:val="75E33E31"/>
    <w:rsid w:val="75E74A0A"/>
    <w:rsid w:val="75ED8881"/>
    <w:rsid w:val="75F16A70"/>
    <w:rsid w:val="75F6C1F4"/>
    <w:rsid w:val="75FAB8AE"/>
    <w:rsid w:val="75FD3F67"/>
    <w:rsid w:val="75FE53C8"/>
    <w:rsid w:val="75FF384B"/>
    <w:rsid w:val="76175556"/>
    <w:rsid w:val="76206228"/>
    <w:rsid w:val="7639CDBB"/>
    <w:rsid w:val="763C6BA9"/>
    <w:rsid w:val="767D9B7C"/>
    <w:rsid w:val="767E4401"/>
    <w:rsid w:val="767FD516"/>
    <w:rsid w:val="76BB9CA5"/>
    <w:rsid w:val="76BF2308"/>
    <w:rsid w:val="76CB8259"/>
    <w:rsid w:val="76EBB770"/>
    <w:rsid w:val="76EEBDD0"/>
    <w:rsid w:val="76EFB9C9"/>
    <w:rsid w:val="76FBD766"/>
    <w:rsid w:val="76FDA80E"/>
    <w:rsid w:val="76FEFD5E"/>
    <w:rsid w:val="76FF2F91"/>
    <w:rsid w:val="76FF4FE1"/>
    <w:rsid w:val="76FF95AE"/>
    <w:rsid w:val="76FFE499"/>
    <w:rsid w:val="7729B9CA"/>
    <w:rsid w:val="775DBD54"/>
    <w:rsid w:val="775F8ADC"/>
    <w:rsid w:val="776B273C"/>
    <w:rsid w:val="776D9425"/>
    <w:rsid w:val="776EFD4D"/>
    <w:rsid w:val="776FDA2F"/>
    <w:rsid w:val="7773C87E"/>
    <w:rsid w:val="777DB22F"/>
    <w:rsid w:val="777E5D5D"/>
    <w:rsid w:val="777ED7C6"/>
    <w:rsid w:val="777F8A55"/>
    <w:rsid w:val="7789629F"/>
    <w:rsid w:val="778BA3BB"/>
    <w:rsid w:val="7797CA11"/>
    <w:rsid w:val="779C1564"/>
    <w:rsid w:val="779F6AA7"/>
    <w:rsid w:val="77B2FF19"/>
    <w:rsid w:val="77BE5ECA"/>
    <w:rsid w:val="77BF26A7"/>
    <w:rsid w:val="77BF375E"/>
    <w:rsid w:val="77BFD44F"/>
    <w:rsid w:val="77C7E874"/>
    <w:rsid w:val="77CB89BE"/>
    <w:rsid w:val="77CE719C"/>
    <w:rsid w:val="77CF7D19"/>
    <w:rsid w:val="77D0BF8E"/>
    <w:rsid w:val="77D72C19"/>
    <w:rsid w:val="77DB3ADC"/>
    <w:rsid w:val="77DB4BD1"/>
    <w:rsid w:val="77DDC3A0"/>
    <w:rsid w:val="77DE42AA"/>
    <w:rsid w:val="77DE9A0D"/>
    <w:rsid w:val="77DEEFAB"/>
    <w:rsid w:val="77DFA61D"/>
    <w:rsid w:val="77ECB373"/>
    <w:rsid w:val="77EDB1F1"/>
    <w:rsid w:val="77F26746"/>
    <w:rsid w:val="77F58A90"/>
    <w:rsid w:val="77F75A6E"/>
    <w:rsid w:val="77F775FB"/>
    <w:rsid w:val="77F7AFA9"/>
    <w:rsid w:val="77F7F1BE"/>
    <w:rsid w:val="77F95BD2"/>
    <w:rsid w:val="77FB0BBC"/>
    <w:rsid w:val="77FB3E98"/>
    <w:rsid w:val="77FBE5FA"/>
    <w:rsid w:val="77FBF5DF"/>
    <w:rsid w:val="77FCA16E"/>
    <w:rsid w:val="77FCAE37"/>
    <w:rsid w:val="77FDBB8B"/>
    <w:rsid w:val="77FE7B4F"/>
    <w:rsid w:val="77FF077B"/>
    <w:rsid w:val="77FF0D06"/>
    <w:rsid w:val="77FF5B7A"/>
    <w:rsid w:val="77FF7AB8"/>
    <w:rsid w:val="77FFCE46"/>
    <w:rsid w:val="77FFD6B2"/>
    <w:rsid w:val="77FFDFF9"/>
    <w:rsid w:val="782B57A7"/>
    <w:rsid w:val="786C74ED"/>
    <w:rsid w:val="78AA05C8"/>
    <w:rsid w:val="78BFC3B0"/>
    <w:rsid w:val="78DF136F"/>
    <w:rsid w:val="78F74BF5"/>
    <w:rsid w:val="78FB78D2"/>
    <w:rsid w:val="78FBA2ED"/>
    <w:rsid w:val="78FD27C7"/>
    <w:rsid w:val="78FE5A63"/>
    <w:rsid w:val="791668EE"/>
    <w:rsid w:val="79516EBF"/>
    <w:rsid w:val="795E73C9"/>
    <w:rsid w:val="795E8D68"/>
    <w:rsid w:val="795F75BD"/>
    <w:rsid w:val="7965877D"/>
    <w:rsid w:val="797DB99E"/>
    <w:rsid w:val="798FDD30"/>
    <w:rsid w:val="79AD4284"/>
    <w:rsid w:val="79BB5570"/>
    <w:rsid w:val="79BB5D66"/>
    <w:rsid w:val="79BE15F1"/>
    <w:rsid w:val="79CF6152"/>
    <w:rsid w:val="79D516B2"/>
    <w:rsid w:val="79D945A5"/>
    <w:rsid w:val="79DD9490"/>
    <w:rsid w:val="79DE3FF5"/>
    <w:rsid w:val="79DF37F9"/>
    <w:rsid w:val="79E99839"/>
    <w:rsid w:val="79EBD908"/>
    <w:rsid w:val="79EDDEA1"/>
    <w:rsid w:val="79F11DD0"/>
    <w:rsid w:val="79F346E7"/>
    <w:rsid w:val="79FB7DB6"/>
    <w:rsid w:val="79FBE1F7"/>
    <w:rsid w:val="79FE11AF"/>
    <w:rsid w:val="79FF269B"/>
    <w:rsid w:val="79FF3494"/>
    <w:rsid w:val="79FFF4D1"/>
    <w:rsid w:val="7A41D3E7"/>
    <w:rsid w:val="7A69D201"/>
    <w:rsid w:val="7A7F267E"/>
    <w:rsid w:val="7A9F2409"/>
    <w:rsid w:val="7AB7FBA4"/>
    <w:rsid w:val="7ABD431C"/>
    <w:rsid w:val="7AC92DCB"/>
    <w:rsid w:val="7ACFF7E7"/>
    <w:rsid w:val="7ADF8D06"/>
    <w:rsid w:val="7AF1E608"/>
    <w:rsid w:val="7AF49052"/>
    <w:rsid w:val="7AF5429E"/>
    <w:rsid w:val="7AF6C64A"/>
    <w:rsid w:val="7AF719A5"/>
    <w:rsid w:val="7AF79BB8"/>
    <w:rsid w:val="7AFA1354"/>
    <w:rsid w:val="7AFB8CA3"/>
    <w:rsid w:val="7AFD9E1F"/>
    <w:rsid w:val="7AFE99B2"/>
    <w:rsid w:val="7AFF82D2"/>
    <w:rsid w:val="7B15E767"/>
    <w:rsid w:val="7B1E9879"/>
    <w:rsid w:val="7B27FE01"/>
    <w:rsid w:val="7B3BAE17"/>
    <w:rsid w:val="7B3FD99F"/>
    <w:rsid w:val="7B473DF7"/>
    <w:rsid w:val="7B5705CC"/>
    <w:rsid w:val="7B57E2D4"/>
    <w:rsid w:val="7B583579"/>
    <w:rsid w:val="7B5E6D67"/>
    <w:rsid w:val="7B757168"/>
    <w:rsid w:val="7B75AA39"/>
    <w:rsid w:val="7B771657"/>
    <w:rsid w:val="7B7753B9"/>
    <w:rsid w:val="7B776EEE"/>
    <w:rsid w:val="7B7966EE"/>
    <w:rsid w:val="7B7B0273"/>
    <w:rsid w:val="7B7CC2A8"/>
    <w:rsid w:val="7B7D0951"/>
    <w:rsid w:val="7B7D4325"/>
    <w:rsid w:val="7B7F93E2"/>
    <w:rsid w:val="7B7FBFEB"/>
    <w:rsid w:val="7B8751BD"/>
    <w:rsid w:val="7BB22958"/>
    <w:rsid w:val="7BB411C3"/>
    <w:rsid w:val="7BB59F4D"/>
    <w:rsid w:val="7BB793CE"/>
    <w:rsid w:val="7BBA1DF7"/>
    <w:rsid w:val="7BBB13C9"/>
    <w:rsid w:val="7BBB924A"/>
    <w:rsid w:val="7BBE0C6B"/>
    <w:rsid w:val="7BBF08EE"/>
    <w:rsid w:val="7BBF1625"/>
    <w:rsid w:val="7BBFB027"/>
    <w:rsid w:val="7BBFFAA8"/>
    <w:rsid w:val="7BC3E1CB"/>
    <w:rsid w:val="7BCF2D92"/>
    <w:rsid w:val="7BCFC438"/>
    <w:rsid w:val="7BD734A3"/>
    <w:rsid w:val="7BDBB7EF"/>
    <w:rsid w:val="7BDD7B37"/>
    <w:rsid w:val="7BDDA73C"/>
    <w:rsid w:val="7BE3C2A5"/>
    <w:rsid w:val="7BE44CF8"/>
    <w:rsid w:val="7BEA6A05"/>
    <w:rsid w:val="7BEB247B"/>
    <w:rsid w:val="7BED58E8"/>
    <w:rsid w:val="7BEE472A"/>
    <w:rsid w:val="7BEFBD16"/>
    <w:rsid w:val="7BEFE6DA"/>
    <w:rsid w:val="7BF3BF39"/>
    <w:rsid w:val="7BF5B9F7"/>
    <w:rsid w:val="7BF70AB0"/>
    <w:rsid w:val="7BF767AD"/>
    <w:rsid w:val="7BF9739C"/>
    <w:rsid w:val="7BFA25E7"/>
    <w:rsid w:val="7BFA4229"/>
    <w:rsid w:val="7BFC3C65"/>
    <w:rsid w:val="7BFD167E"/>
    <w:rsid w:val="7BFD296D"/>
    <w:rsid w:val="7BFD75AE"/>
    <w:rsid w:val="7BFDFC56"/>
    <w:rsid w:val="7BFE72B7"/>
    <w:rsid w:val="7BFEEFEC"/>
    <w:rsid w:val="7BFEF280"/>
    <w:rsid w:val="7BFF41CF"/>
    <w:rsid w:val="7BFF8793"/>
    <w:rsid w:val="7BFFD076"/>
    <w:rsid w:val="7C1FED41"/>
    <w:rsid w:val="7C3F2759"/>
    <w:rsid w:val="7C67BD8A"/>
    <w:rsid w:val="7C7F6893"/>
    <w:rsid w:val="7C8D80B5"/>
    <w:rsid w:val="7C9E0C08"/>
    <w:rsid w:val="7CA3D42B"/>
    <w:rsid w:val="7CCD5516"/>
    <w:rsid w:val="7CD098CE"/>
    <w:rsid w:val="7CD9AB98"/>
    <w:rsid w:val="7CDFF093"/>
    <w:rsid w:val="7CE42760"/>
    <w:rsid w:val="7CE61CFE"/>
    <w:rsid w:val="7CF55430"/>
    <w:rsid w:val="7CF5A78E"/>
    <w:rsid w:val="7CFEE297"/>
    <w:rsid w:val="7CFF5F62"/>
    <w:rsid w:val="7CFFB96F"/>
    <w:rsid w:val="7D1F3A6B"/>
    <w:rsid w:val="7D2F8632"/>
    <w:rsid w:val="7D3275AD"/>
    <w:rsid w:val="7D37C614"/>
    <w:rsid w:val="7D3B2FB6"/>
    <w:rsid w:val="7D3E12FF"/>
    <w:rsid w:val="7D3F5EFA"/>
    <w:rsid w:val="7D57E2C2"/>
    <w:rsid w:val="7D63146B"/>
    <w:rsid w:val="7D6B8EE6"/>
    <w:rsid w:val="7D6FC3E5"/>
    <w:rsid w:val="7D75143C"/>
    <w:rsid w:val="7D76FDE5"/>
    <w:rsid w:val="7D7B8096"/>
    <w:rsid w:val="7D7C255C"/>
    <w:rsid w:val="7D7DC75A"/>
    <w:rsid w:val="7D7F0B43"/>
    <w:rsid w:val="7D7F7F4D"/>
    <w:rsid w:val="7D8EEBFD"/>
    <w:rsid w:val="7D9E65B5"/>
    <w:rsid w:val="7DA39A1C"/>
    <w:rsid w:val="7DAF3E8B"/>
    <w:rsid w:val="7DBBB1D2"/>
    <w:rsid w:val="7DBD57AF"/>
    <w:rsid w:val="7DBDC376"/>
    <w:rsid w:val="7DBF5AA7"/>
    <w:rsid w:val="7DBFBEF4"/>
    <w:rsid w:val="7DC79FBA"/>
    <w:rsid w:val="7DCCA112"/>
    <w:rsid w:val="7DDD376A"/>
    <w:rsid w:val="7DDD9B08"/>
    <w:rsid w:val="7DDF62EE"/>
    <w:rsid w:val="7DDF7960"/>
    <w:rsid w:val="7DDF9BC5"/>
    <w:rsid w:val="7DDFF113"/>
    <w:rsid w:val="7DE4991A"/>
    <w:rsid w:val="7DE5B451"/>
    <w:rsid w:val="7DEB9A91"/>
    <w:rsid w:val="7DEC4B5B"/>
    <w:rsid w:val="7DEF78AE"/>
    <w:rsid w:val="7DF34974"/>
    <w:rsid w:val="7DF4A9F5"/>
    <w:rsid w:val="7DF5F05D"/>
    <w:rsid w:val="7DF74725"/>
    <w:rsid w:val="7DF790F9"/>
    <w:rsid w:val="7DF84455"/>
    <w:rsid w:val="7DF9B896"/>
    <w:rsid w:val="7DFA3791"/>
    <w:rsid w:val="7DFA7BD2"/>
    <w:rsid w:val="7DFB0C88"/>
    <w:rsid w:val="7DFB4881"/>
    <w:rsid w:val="7DFB6503"/>
    <w:rsid w:val="7DFB7837"/>
    <w:rsid w:val="7DFB9ECD"/>
    <w:rsid w:val="7DFD1395"/>
    <w:rsid w:val="7DFDF357"/>
    <w:rsid w:val="7DFE5EBD"/>
    <w:rsid w:val="7DFEA849"/>
    <w:rsid w:val="7DFF289B"/>
    <w:rsid w:val="7DFF3F9C"/>
    <w:rsid w:val="7DFF5F42"/>
    <w:rsid w:val="7DFF8CEA"/>
    <w:rsid w:val="7DFFB292"/>
    <w:rsid w:val="7DFFB7A9"/>
    <w:rsid w:val="7DFFE009"/>
    <w:rsid w:val="7DFFE626"/>
    <w:rsid w:val="7DFFEF6C"/>
    <w:rsid w:val="7E07355D"/>
    <w:rsid w:val="7E131720"/>
    <w:rsid w:val="7E5D48AA"/>
    <w:rsid w:val="7E5F4FAD"/>
    <w:rsid w:val="7E5F86EE"/>
    <w:rsid w:val="7E5FDE9C"/>
    <w:rsid w:val="7E5FE693"/>
    <w:rsid w:val="7E652F5C"/>
    <w:rsid w:val="7E6DB550"/>
    <w:rsid w:val="7E6F514E"/>
    <w:rsid w:val="7E73B2F5"/>
    <w:rsid w:val="7E7949F8"/>
    <w:rsid w:val="7E7B84EB"/>
    <w:rsid w:val="7E7BA5F5"/>
    <w:rsid w:val="7E884CE2"/>
    <w:rsid w:val="7E88EDCB"/>
    <w:rsid w:val="7E8F5D39"/>
    <w:rsid w:val="7E8F6586"/>
    <w:rsid w:val="7E9EF0E1"/>
    <w:rsid w:val="7EAB4CBA"/>
    <w:rsid w:val="7EAD171A"/>
    <w:rsid w:val="7EB9FE92"/>
    <w:rsid w:val="7EBA6A5F"/>
    <w:rsid w:val="7EBD3167"/>
    <w:rsid w:val="7EC7E795"/>
    <w:rsid w:val="7ECF2C7D"/>
    <w:rsid w:val="7ECF8344"/>
    <w:rsid w:val="7ED0A37D"/>
    <w:rsid w:val="7ED6FB3E"/>
    <w:rsid w:val="7ED91C06"/>
    <w:rsid w:val="7EDB602D"/>
    <w:rsid w:val="7EDF0B49"/>
    <w:rsid w:val="7EDFEC24"/>
    <w:rsid w:val="7EE9AFF2"/>
    <w:rsid w:val="7EEA44C7"/>
    <w:rsid w:val="7EED2D5B"/>
    <w:rsid w:val="7EEDC4AF"/>
    <w:rsid w:val="7EEE9E16"/>
    <w:rsid w:val="7EEFD3B8"/>
    <w:rsid w:val="7EF2E440"/>
    <w:rsid w:val="7EF34A6F"/>
    <w:rsid w:val="7EF5BD95"/>
    <w:rsid w:val="7EF721A7"/>
    <w:rsid w:val="7EF7E87F"/>
    <w:rsid w:val="7EF7FB43"/>
    <w:rsid w:val="7EFB0A9E"/>
    <w:rsid w:val="7EFB70CE"/>
    <w:rsid w:val="7EFB765D"/>
    <w:rsid w:val="7EFBDC7D"/>
    <w:rsid w:val="7EFD14C4"/>
    <w:rsid w:val="7EFD15E8"/>
    <w:rsid w:val="7EFDB6A1"/>
    <w:rsid w:val="7EFDE50D"/>
    <w:rsid w:val="7EFE2D74"/>
    <w:rsid w:val="7EFE5105"/>
    <w:rsid w:val="7EFF1433"/>
    <w:rsid w:val="7EFF16F6"/>
    <w:rsid w:val="7EFF213A"/>
    <w:rsid w:val="7EFF4143"/>
    <w:rsid w:val="7EFF4A0D"/>
    <w:rsid w:val="7EFF5EBE"/>
    <w:rsid w:val="7EFF7889"/>
    <w:rsid w:val="7EFF8A06"/>
    <w:rsid w:val="7EFFCE13"/>
    <w:rsid w:val="7F1FDF33"/>
    <w:rsid w:val="7F26DC41"/>
    <w:rsid w:val="7F2B508F"/>
    <w:rsid w:val="7F2C2F13"/>
    <w:rsid w:val="7F2DF10F"/>
    <w:rsid w:val="7F2E0F84"/>
    <w:rsid w:val="7F2E263F"/>
    <w:rsid w:val="7F339A18"/>
    <w:rsid w:val="7F37D14E"/>
    <w:rsid w:val="7F3BB3B8"/>
    <w:rsid w:val="7F3D126C"/>
    <w:rsid w:val="7F3E124F"/>
    <w:rsid w:val="7F3E61DB"/>
    <w:rsid w:val="7F3FBDFD"/>
    <w:rsid w:val="7F3FD4AB"/>
    <w:rsid w:val="7F3FD6CF"/>
    <w:rsid w:val="7F4E71ED"/>
    <w:rsid w:val="7F4E9C05"/>
    <w:rsid w:val="7F532DA4"/>
    <w:rsid w:val="7F57203B"/>
    <w:rsid w:val="7F59FBAD"/>
    <w:rsid w:val="7F5A1869"/>
    <w:rsid w:val="7F5D4CA1"/>
    <w:rsid w:val="7F5DCCCD"/>
    <w:rsid w:val="7F62A758"/>
    <w:rsid w:val="7F651B6B"/>
    <w:rsid w:val="7F66564B"/>
    <w:rsid w:val="7F6ECA34"/>
    <w:rsid w:val="7F736BB3"/>
    <w:rsid w:val="7F752089"/>
    <w:rsid w:val="7F759B80"/>
    <w:rsid w:val="7F76299C"/>
    <w:rsid w:val="7F7701EF"/>
    <w:rsid w:val="7F770235"/>
    <w:rsid w:val="7F77CE45"/>
    <w:rsid w:val="7F77E786"/>
    <w:rsid w:val="7F7A0D5A"/>
    <w:rsid w:val="7F7B097D"/>
    <w:rsid w:val="7F7D6F11"/>
    <w:rsid w:val="7F7D72E0"/>
    <w:rsid w:val="7F7E62FE"/>
    <w:rsid w:val="7F7EF43B"/>
    <w:rsid w:val="7F7F4081"/>
    <w:rsid w:val="7F7F52BD"/>
    <w:rsid w:val="7F7F8BA7"/>
    <w:rsid w:val="7F7F9830"/>
    <w:rsid w:val="7F7FD706"/>
    <w:rsid w:val="7F7FE757"/>
    <w:rsid w:val="7F7FEA65"/>
    <w:rsid w:val="7F8DE414"/>
    <w:rsid w:val="7F9509F6"/>
    <w:rsid w:val="7F979FD3"/>
    <w:rsid w:val="7F9A9519"/>
    <w:rsid w:val="7F9BBFCF"/>
    <w:rsid w:val="7F9D8983"/>
    <w:rsid w:val="7F9F12B9"/>
    <w:rsid w:val="7FA6B99E"/>
    <w:rsid w:val="7FA73241"/>
    <w:rsid w:val="7FA7E5AA"/>
    <w:rsid w:val="7FA8E9A8"/>
    <w:rsid w:val="7FA906A8"/>
    <w:rsid w:val="7FAD262F"/>
    <w:rsid w:val="7FAD3E44"/>
    <w:rsid w:val="7FADB99B"/>
    <w:rsid w:val="7FAF0973"/>
    <w:rsid w:val="7FAF69F6"/>
    <w:rsid w:val="7FAF8336"/>
    <w:rsid w:val="7FB12E61"/>
    <w:rsid w:val="7FB7CA20"/>
    <w:rsid w:val="7FB7CDB4"/>
    <w:rsid w:val="7FB7DD35"/>
    <w:rsid w:val="7FBC285B"/>
    <w:rsid w:val="7FBDFD35"/>
    <w:rsid w:val="7FBE3F1A"/>
    <w:rsid w:val="7FBEAC2A"/>
    <w:rsid w:val="7FBEBEB0"/>
    <w:rsid w:val="7FBF0F57"/>
    <w:rsid w:val="7FBF1CE7"/>
    <w:rsid w:val="7FBF505F"/>
    <w:rsid w:val="7FBF919F"/>
    <w:rsid w:val="7FBFB947"/>
    <w:rsid w:val="7FBFE2FD"/>
    <w:rsid w:val="7FC4BB3F"/>
    <w:rsid w:val="7FCB313B"/>
    <w:rsid w:val="7FCBA216"/>
    <w:rsid w:val="7FCD55B3"/>
    <w:rsid w:val="7FCF1763"/>
    <w:rsid w:val="7FD0EDE2"/>
    <w:rsid w:val="7FD232CF"/>
    <w:rsid w:val="7FD39406"/>
    <w:rsid w:val="7FD500EF"/>
    <w:rsid w:val="7FD5DB77"/>
    <w:rsid w:val="7FD5F6B2"/>
    <w:rsid w:val="7FD71EF4"/>
    <w:rsid w:val="7FD76ED5"/>
    <w:rsid w:val="7FD7DCD4"/>
    <w:rsid w:val="7FD9A709"/>
    <w:rsid w:val="7FDA9C1E"/>
    <w:rsid w:val="7FDB5414"/>
    <w:rsid w:val="7FDD2849"/>
    <w:rsid w:val="7FDD30B5"/>
    <w:rsid w:val="7FDDDA05"/>
    <w:rsid w:val="7FDE0154"/>
    <w:rsid w:val="7FDE2D03"/>
    <w:rsid w:val="7FDE67C1"/>
    <w:rsid w:val="7FDF0374"/>
    <w:rsid w:val="7FDF4554"/>
    <w:rsid w:val="7FDF6165"/>
    <w:rsid w:val="7FDF62F6"/>
    <w:rsid w:val="7FDF6EEC"/>
    <w:rsid w:val="7FDF8AD9"/>
    <w:rsid w:val="7FDF9878"/>
    <w:rsid w:val="7FDFE65D"/>
    <w:rsid w:val="7FDFF71C"/>
    <w:rsid w:val="7FE1423F"/>
    <w:rsid w:val="7FE318D3"/>
    <w:rsid w:val="7FE5EE83"/>
    <w:rsid w:val="7FE75C02"/>
    <w:rsid w:val="7FE7A13B"/>
    <w:rsid w:val="7FE7D156"/>
    <w:rsid w:val="7FE81F85"/>
    <w:rsid w:val="7FEA437C"/>
    <w:rsid w:val="7FEAB617"/>
    <w:rsid w:val="7FEAE63C"/>
    <w:rsid w:val="7FEB981D"/>
    <w:rsid w:val="7FEB9FD7"/>
    <w:rsid w:val="7FEBC153"/>
    <w:rsid w:val="7FECD89D"/>
    <w:rsid w:val="7FED05D8"/>
    <w:rsid w:val="7FED2FE7"/>
    <w:rsid w:val="7FEE5EC0"/>
    <w:rsid w:val="7FEEA687"/>
    <w:rsid w:val="7FEEA765"/>
    <w:rsid w:val="7FEF3DB7"/>
    <w:rsid w:val="7FEF4DB0"/>
    <w:rsid w:val="7FEF5E61"/>
    <w:rsid w:val="7FEF779A"/>
    <w:rsid w:val="7FEF77A8"/>
    <w:rsid w:val="7FEF8320"/>
    <w:rsid w:val="7FEFE316"/>
    <w:rsid w:val="7FEFF3CE"/>
    <w:rsid w:val="7FEFF988"/>
    <w:rsid w:val="7FF3054E"/>
    <w:rsid w:val="7FF3C790"/>
    <w:rsid w:val="7FF3D4B4"/>
    <w:rsid w:val="7FF3E7A3"/>
    <w:rsid w:val="7FF49BA0"/>
    <w:rsid w:val="7FF57E64"/>
    <w:rsid w:val="7FF59EF7"/>
    <w:rsid w:val="7FF6014E"/>
    <w:rsid w:val="7FF68415"/>
    <w:rsid w:val="7FF693B1"/>
    <w:rsid w:val="7FF70A8D"/>
    <w:rsid w:val="7FF730F4"/>
    <w:rsid w:val="7FF73B2D"/>
    <w:rsid w:val="7FF7841C"/>
    <w:rsid w:val="7FF79A2F"/>
    <w:rsid w:val="7FF79E0F"/>
    <w:rsid w:val="7FF7AD73"/>
    <w:rsid w:val="7FF7AE27"/>
    <w:rsid w:val="7FF7E546"/>
    <w:rsid w:val="7FF934C7"/>
    <w:rsid w:val="7FF95C95"/>
    <w:rsid w:val="7FF9E5DC"/>
    <w:rsid w:val="7FFADCB3"/>
    <w:rsid w:val="7FFB0B36"/>
    <w:rsid w:val="7FFB406F"/>
    <w:rsid w:val="7FFBB955"/>
    <w:rsid w:val="7FFBC8F2"/>
    <w:rsid w:val="7FFBE6EF"/>
    <w:rsid w:val="7FFBECDA"/>
    <w:rsid w:val="7FFC3703"/>
    <w:rsid w:val="7FFC5E41"/>
    <w:rsid w:val="7FFD0285"/>
    <w:rsid w:val="7FFD15EA"/>
    <w:rsid w:val="7FFD647B"/>
    <w:rsid w:val="7FFE0B86"/>
    <w:rsid w:val="7FFE0EB7"/>
    <w:rsid w:val="7FFE2D43"/>
    <w:rsid w:val="7FFE3F1F"/>
    <w:rsid w:val="7FFE6059"/>
    <w:rsid w:val="7FFE6B32"/>
    <w:rsid w:val="7FFE90E5"/>
    <w:rsid w:val="7FFEABF9"/>
    <w:rsid w:val="7FFEADFE"/>
    <w:rsid w:val="7FFEDEBC"/>
    <w:rsid w:val="7FFEE11D"/>
    <w:rsid w:val="7FFF1C95"/>
    <w:rsid w:val="7FFF2D38"/>
    <w:rsid w:val="7FFF38E2"/>
    <w:rsid w:val="7FFF4344"/>
    <w:rsid w:val="7FFF4553"/>
    <w:rsid w:val="7FFF7D41"/>
    <w:rsid w:val="7FFF950B"/>
    <w:rsid w:val="7FFFB338"/>
    <w:rsid w:val="7FFFB69F"/>
    <w:rsid w:val="7FFFE0A9"/>
    <w:rsid w:val="7FFFE917"/>
    <w:rsid w:val="7FFFEF51"/>
    <w:rsid w:val="856769F1"/>
    <w:rsid w:val="878BBF5A"/>
    <w:rsid w:val="87BEE4E0"/>
    <w:rsid w:val="886741FE"/>
    <w:rsid w:val="89CF1D98"/>
    <w:rsid w:val="8BBF9311"/>
    <w:rsid w:val="8BDE3ED4"/>
    <w:rsid w:val="8BFF1311"/>
    <w:rsid w:val="8DFBC842"/>
    <w:rsid w:val="8ED7C19A"/>
    <w:rsid w:val="8EEEF1E8"/>
    <w:rsid w:val="8F5527E8"/>
    <w:rsid w:val="8F5FFE66"/>
    <w:rsid w:val="8F738877"/>
    <w:rsid w:val="8F7D2374"/>
    <w:rsid w:val="8F7E7D85"/>
    <w:rsid w:val="8FA26637"/>
    <w:rsid w:val="8FCFEC67"/>
    <w:rsid w:val="8FDD82D1"/>
    <w:rsid w:val="8FEE87D7"/>
    <w:rsid w:val="8FF79314"/>
    <w:rsid w:val="8FFB6887"/>
    <w:rsid w:val="8FFF4C6F"/>
    <w:rsid w:val="8FFF5A4D"/>
    <w:rsid w:val="8FFFEB91"/>
    <w:rsid w:val="91731447"/>
    <w:rsid w:val="92DEA558"/>
    <w:rsid w:val="92FDB425"/>
    <w:rsid w:val="9379CC95"/>
    <w:rsid w:val="93B96D56"/>
    <w:rsid w:val="93DE452D"/>
    <w:rsid w:val="95B9AA5C"/>
    <w:rsid w:val="96DF0BAC"/>
    <w:rsid w:val="972F6CFF"/>
    <w:rsid w:val="974F0F37"/>
    <w:rsid w:val="97BBDB9E"/>
    <w:rsid w:val="97E51B79"/>
    <w:rsid w:val="97E5F67E"/>
    <w:rsid w:val="97FDE061"/>
    <w:rsid w:val="99B9F37C"/>
    <w:rsid w:val="99E67E59"/>
    <w:rsid w:val="9AB07F86"/>
    <w:rsid w:val="9B2BF831"/>
    <w:rsid w:val="9B6A78A1"/>
    <w:rsid w:val="9B7F74AA"/>
    <w:rsid w:val="9B7FA5B5"/>
    <w:rsid w:val="9B9ECE6A"/>
    <w:rsid w:val="9BCF3212"/>
    <w:rsid w:val="9BD700FA"/>
    <w:rsid w:val="9BD717A6"/>
    <w:rsid w:val="9BDAE751"/>
    <w:rsid w:val="9BFA4877"/>
    <w:rsid w:val="9BFDA9B9"/>
    <w:rsid w:val="9BFFCE5E"/>
    <w:rsid w:val="9CDD68BD"/>
    <w:rsid w:val="9CEF906F"/>
    <w:rsid w:val="9CF258E2"/>
    <w:rsid w:val="9CFDB1E6"/>
    <w:rsid w:val="9D1D3CE9"/>
    <w:rsid w:val="9D7F3F3C"/>
    <w:rsid w:val="9DBE0C4A"/>
    <w:rsid w:val="9DED8F43"/>
    <w:rsid w:val="9DEF4AD5"/>
    <w:rsid w:val="9DF53166"/>
    <w:rsid w:val="9DF9C5D1"/>
    <w:rsid w:val="9DFBB23B"/>
    <w:rsid w:val="9E993BF0"/>
    <w:rsid w:val="9ECCC3CE"/>
    <w:rsid w:val="9EEBC2FA"/>
    <w:rsid w:val="9EECD5E1"/>
    <w:rsid w:val="9EED0E5E"/>
    <w:rsid w:val="9EFF4992"/>
    <w:rsid w:val="9EFF63D0"/>
    <w:rsid w:val="9F33322C"/>
    <w:rsid w:val="9F370502"/>
    <w:rsid w:val="9F5BFDD6"/>
    <w:rsid w:val="9F7DC8E1"/>
    <w:rsid w:val="9F9D467E"/>
    <w:rsid w:val="9FBF67C6"/>
    <w:rsid w:val="9FD5BB96"/>
    <w:rsid w:val="9FD7768C"/>
    <w:rsid w:val="9FE36AE0"/>
    <w:rsid w:val="9FEF9D75"/>
    <w:rsid w:val="9FF7D87B"/>
    <w:rsid w:val="9FF7F80E"/>
    <w:rsid w:val="9FFD6819"/>
    <w:rsid w:val="9FFF9EED"/>
    <w:rsid w:val="A38E863A"/>
    <w:rsid w:val="A3DFCF16"/>
    <w:rsid w:val="A575634D"/>
    <w:rsid w:val="A57EDA5E"/>
    <w:rsid w:val="A5ADD129"/>
    <w:rsid w:val="A5FBDC4E"/>
    <w:rsid w:val="A5FF95BE"/>
    <w:rsid w:val="A6FF6566"/>
    <w:rsid w:val="A75C611E"/>
    <w:rsid w:val="A7974C99"/>
    <w:rsid w:val="A7ED053A"/>
    <w:rsid w:val="A7F7032C"/>
    <w:rsid w:val="A7FF35F6"/>
    <w:rsid w:val="A7FF913D"/>
    <w:rsid w:val="A9BD1F60"/>
    <w:rsid w:val="A9DBD770"/>
    <w:rsid w:val="A9F63E89"/>
    <w:rsid w:val="AAD7EF30"/>
    <w:rsid w:val="AAFD4DA8"/>
    <w:rsid w:val="AB1F4437"/>
    <w:rsid w:val="AB2B1776"/>
    <w:rsid w:val="AB4FFB16"/>
    <w:rsid w:val="AB8B1C07"/>
    <w:rsid w:val="AB9F2C54"/>
    <w:rsid w:val="ABBFA497"/>
    <w:rsid w:val="ABC79617"/>
    <w:rsid w:val="ABD4DC6C"/>
    <w:rsid w:val="ABE31758"/>
    <w:rsid w:val="ABF73216"/>
    <w:rsid w:val="ABFE4843"/>
    <w:rsid w:val="ABFF44BA"/>
    <w:rsid w:val="ACDB6D13"/>
    <w:rsid w:val="ACDD5308"/>
    <w:rsid w:val="ACDF8080"/>
    <w:rsid w:val="AD5AFB30"/>
    <w:rsid w:val="AD7DD8B5"/>
    <w:rsid w:val="AD7F38A2"/>
    <w:rsid w:val="AD7FBA59"/>
    <w:rsid w:val="AD970582"/>
    <w:rsid w:val="ADBAAAD5"/>
    <w:rsid w:val="ADBB73F3"/>
    <w:rsid w:val="ADC358B8"/>
    <w:rsid w:val="ADFA229E"/>
    <w:rsid w:val="ADFBC9D7"/>
    <w:rsid w:val="ADFFBFB8"/>
    <w:rsid w:val="AE066B85"/>
    <w:rsid w:val="AE752BEC"/>
    <w:rsid w:val="AEEFC857"/>
    <w:rsid w:val="AEF50F84"/>
    <w:rsid w:val="AEFA1BCF"/>
    <w:rsid w:val="AF67274E"/>
    <w:rsid w:val="AF6CC4AE"/>
    <w:rsid w:val="AF6F6C5F"/>
    <w:rsid w:val="AF79B496"/>
    <w:rsid w:val="AF7F4095"/>
    <w:rsid w:val="AFAFBBDE"/>
    <w:rsid w:val="AFD7123F"/>
    <w:rsid w:val="AFDF88B5"/>
    <w:rsid w:val="AFEA9A4C"/>
    <w:rsid w:val="AFEFFB0A"/>
    <w:rsid w:val="AFFB00C9"/>
    <w:rsid w:val="AFFB2892"/>
    <w:rsid w:val="AFFD34CA"/>
    <w:rsid w:val="AFFD6E8F"/>
    <w:rsid w:val="AFFD6EFB"/>
    <w:rsid w:val="AFFED56E"/>
    <w:rsid w:val="AFFF8A59"/>
    <w:rsid w:val="AFFFD2AB"/>
    <w:rsid w:val="AFFFED7B"/>
    <w:rsid w:val="B1FA728C"/>
    <w:rsid w:val="B2DF8DD8"/>
    <w:rsid w:val="B2F47022"/>
    <w:rsid w:val="B33C0D29"/>
    <w:rsid w:val="B3C458EF"/>
    <w:rsid w:val="B3DB2B0B"/>
    <w:rsid w:val="B3DB5C2A"/>
    <w:rsid w:val="B3E984D7"/>
    <w:rsid w:val="B3EFAFEC"/>
    <w:rsid w:val="B3F148B5"/>
    <w:rsid w:val="B3FE2263"/>
    <w:rsid w:val="B3FFC48B"/>
    <w:rsid w:val="B4FF9ACA"/>
    <w:rsid w:val="B5AEFC9C"/>
    <w:rsid w:val="B5B576AC"/>
    <w:rsid w:val="B5E4FC9D"/>
    <w:rsid w:val="B63E8ACA"/>
    <w:rsid w:val="B69BA5DD"/>
    <w:rsid w:val="B6F7CE56"/>
    <w:rsid w:val="B6F7EEC1"/>
    <w:rsid w:val="B6FEDD84"/>
    <w:rsid w:val="B721D075"/>
    <w:rsid w:val="B733BC76"/>
    <w:rsid w:val="B747879A"/>
    <w:rsid w:val="B763EBBC"/>
    <w:rsid w:val="B76E694E"/>
    <w:rsid w:val="B76EFA11"/>
    <w:rsid w:val="B77ABF78"/>
    <w:rsid w:val="B77C182C"/>
    <w:rsid w:val="B77FC831"/>
    <w:rsid w:val="B78F7E39"/>
    <w:rsid w:val="B797D9A9"/>
    <w:rsid w:val="B79CE169"/>
    <w:rsid w:val="B79FF465"/>
    <w:rsid w:val="B7BF01C4"/>
    <w:rsid w:val="B7DFD8DF"/>
    <w:rsid w:val="B7EA6D67"/>
    <w:rsid w:val="B7EAB405"/>
    <w:rsid w:val="B7EDC966"/>
    <w:rsid w:val="B7F386E3"/>
    <w:rsid w:val="B7F95E58"/>
    <w:rsid w:val="B7FB4C34"/>
    <w:rsid w:val="B7FC70DB"/>
    <w:rsid w:val="B7FED911"/>
    <w:rsid w:val="B7FF314F"/>
    <w:rsid w:val="B7FFB16E"/>
    <w:rsid w:val="B7FFD648"/>
    <w:rsid w:val="B86A15C6"/>
    <w:rsid w:val="B8E7C6C0"/>
    <w:rsid w:val="B96E1748"/>
    <w:rsid w:val="B97FDCA6"/>
    <w:rsid w:val="B99F06C0"/>
    <w:rsid w:val="B9BEC646"/>
    <w:rsid w:val="B9C342E2"/>
    <w:rsid w:val="B9DE29B9"/>
    <w:rsid w:val="B9FA9178"/>
    <w:rsid w:val="B9FCE0B5"/>
    <w:rsid w:val="B9FF7F8E"/>
    <w:rsid w:val="B9FFB879"/>
    <w:rsid w:val="BA791E88"/>
    <w:rsid w:val="BAD603D9"/>
    <w:rsid w:val="BAEE8A21"/>
    <w:rsid w:val="BAEF907E"/>
    <w:rsid w:val="BAF9BF7C"/>
    <w:rsid w:val="BAFD707E"/>
    <w:rsid w:val="BB5D2838"/>
    <w:rsid w:val="BB79D90E"/>
    <w:rsid w:val="BB7BF0F9"/>
    <w:rsid w:val="BB7D94EC"/>
    <w:rsid w:val="BB9F79A6"/>
    <w:rsid w:val="BBAB8536"/>
    <w:rsid w:val="BBBC522F"/>
    <w:rsid w:val="BBBF8519"/>
    <w:rsid w:val="BBDA4C2A"/>
    <w:rsid w:val="BBDE722F"/>
    <w:rsid w:val="BBE69964"/>
    <w:rsid w:val="BBEF346B"/>
    <w:rsid w:val="BBEFF16C"/>
    <w:rsid w:val="BBF74192"/>
    <w:rsid w:val="BBF7A5D2"/>
    <w:rsid w:val="BBFF0FF5"/>
    <w:rsid w:val="BBFFD251"/>
    <w:rsid w:val="BBFFE190"/>
    <w:rsid w:val="BC7F820E"/>
    <w:rsid w:val="BCB96F65"/>
    <w:rsid w:val="BCE60CD6"/>
    <w:rsid w:val="BCEF1F60"/>
    <w:rsid w:val="BCF70CED"/>
    <w:rsid w:val="BCF786A8"/>
    <w:rsid w:val="BCFB0CB8"/>
    <w:rsid w:val="BCFFFB96"/>
    <w:rsid w:val="BD3710E7"/>
    <w:rsid w:val="BD3F42D7"/>
    <w:rsid w:val="BD4F02D5"/>
    <w:rsid w:val="BD54B771"/>
    <w:rsid w:val="BD5DDE85"/>
    <w:rsid w:val="BD7F915C"/>
    <w:rsid w:val="BD86246C"/>
    <w:rsid w:val="BDB98D7B"/>
    <w:rsid w:val="BDBD2207"/>
    <w:rsid w:val="BDBE8913"/>
    <w:rsid w:val="BDBF922D"/>
    <w:rsid w:val="BDBFD108"/>
    <w:rsid w:val="BDD09CDB"/>
    <w:rsid w:val="BDD3C732"/>
    <w:rsid w:val="BDDB8DED"/>
    <w:rsid w:val="BDE8D0C8"/>
    <w:rsid w:val="BDED2E20"/>
    <w:rsid w:val="BDF278CE"/>
    <w:rsid w:val="BDF62023"/>
    <w:rsid w:val="BDF78910"/>
    <w:rsid w:val="BDFBC3F4"/>
    <w:rsid w:val="BDFF2B13"/>
    <w:rsid w:val="BDFFAC50"/>
    <w:rsid w:val="BE0F68B4"/>
    <w:rsid w:val="BE16CC4E"/>
    <w:rsid w:val="BE1F12A8"/>
    <w:rsid w:val="BE3BE464"/>
    <w:rsid w:val="BE5F612F"/>
    <w:rsid w:val="BE5FDFDF"/>
    <w:rsid w:val="BE6F8172"/>
    <w:rsid w:val="BE6FD314"/>
    <w:rsid w:val="BE7DAEDD"/>
    <w:rsid w:val="BE7F5975"/>
    <w:rsid w:val="BE963ED3"/>
    <w:rsid w:val="BE9A7990"/>
    <w:rsid w:val="BEB746B8"/>
    <w:rsid w:val="BEBB3B93"/>
    <w:rsid w:val="BEC63099"/>
    <w:rsid w:val="BEDCFFDE"/>
    <w:rsid w:val="BEDDB722"/>
    <w:rsid w:val="BEDE62FB"/>
    <w:rsid w:val="BEED22AE"/>
    <w:rsid w:val="BEEFA20C"/>
    <w:rsid w:val="BEEFB08B"/>
    <w:rsid w:val="BEEFD233"/>
    <w:rsid w:val="BEF89F54"/>
    <w:rsid w:val="BEFD56AD"/>
    <w:rsid w:val="BEFD774F"/>
    <w:rsid w:val="BEFD8481"/>
    <w:rsid w:val="BF192104"/>
    <w:rsid w:val="BF1AA928"/>
    <w:rsid w:val="BF3BCDCD"/>
    <w:rsid w:val="BF3D3E1D"/>
    <w:rsid w:val="BF3F0BF6"/>
    <w:rsid w:val="BF53C632"/>
    <w:rsid w:val="BF5F2B48"/>
    <w:rsid w:val="BF675C6D"/>
    <w:rsid w:val="BF757860"/>
    <w:rsid w:val="BF765913"/>
    <w:rsid w:val="BF76CF20"/>
    <w:rsid w:val="BF79BC79"/>
    <w:rsid w:val="BF7B8B12"/>
    <w:rsid w:val="BF7F3043"/>
    <w:rsid w:val="BF7FA0D8"/>
    <w:rsid w:val="BF8B6E62"/>
    <w:rsid w:val="BF8F42E7"/>
    <w:rsid w:val="BFADFC67"/>
    <w:rsid w:val="BFAF6BEA"/>
    <w:rsid w:val="BFB3220D"/>
    <w:rsid w:val="BFB71D93"/>
    <w:rsid w:val="BFB7BE07"/>
    <w:rsid w:val="BFBBE20F"/>
    <w:rsid w:val="BFBE9210"/>
    <w:rsid w:val="BFBE9B55"/>
    <w:rsid w:val="BFBED6FD"/>
    <w:rsid w:val="BFBFC2B5"/>
    <w:rsid w:val="BFC5A207"/>
    <w:rsid w:val="BFC70874"/>
    <w:rsid w:val="BFD373DF"/>
    <w:rsid w:val="BFD64240"/>
    <w:rsid w:val="BFD7BDF1"/>
    <w:rsid w:val="BFD7EC7E"/>
    <w:rsid w:val="BFD99681"/>
    <w:rsid w:val="BFDBAB17"/>
    <w:rsid w:val="BFDF9CC1"/>
    <w:rsid w:val="BFECA597"/>
    <w:rsid w:val="BFED66DB"/>
    <w:rsid w:val="BFEF1CF0"/>
    <w:rsid w:val="BFEFCAFA"/>
    <w:rsid w:val="BFF211F5"/>
    <w:rsid w:val="BFF2FED5"/>
    <w:rsid w:val="BFF6098A"/>
    <w:rsid w:val="BFF6ABA0"/>
    <w:rsid w:val="BFF708FD"/>
    <w:rsid w:val="BFF79ED1"/>
    <w:rsid w:val="BFF7F2DC"/>
    <w:rsid w:val="BFFA9525"/>
    <w:rsid w:val="BFFABA5D"/>
    <w:rsid w:val="BFFBC0B7"/>
    <w:rsid w:val="BFFDB49D"/>
    <w:rsid w:val="BFFDBA62"/>
    <w:rsid w:val="BFFDD965"/>
    <w:rsid w:val="BFFE86F1"/>
    <w:rsid w:val="BFFE9173"/>
    <w:rsid w:val="BFFF05AA"/>
    <w:rsid w:val="BFFF2794"/>
    <w:rsid w:val="BFFF28EC"/>
    <w:rsid w:val="BFFF2E6D"/>
    <w:rsid w:val="BFFFD7C6"/>
    <w:rsid w:val="BFFFDD6C"/>
    <w:rsid w:val="C175FC02"/>
    <w:rsid w:val="C22D1432"/>
    <w:rsid w:val="C377D33E"/>
    <w:rsid w:val="C3817AF8"/>
    <w:rsid w:val="C45F861A"/>
    <w:rsid w:val="C57F61B2"/>
    <w:rsid w:val="C6BF8044"/>
    <w:rsid w:val="C6F79AA3"/>
    <w:rsid w:val="C6FF5552"/>
    <w:rsid w:val="C74F1025"/>
    <w:rsid w:val="C7A6E0C6"/>
    <w:rsid w:val="C7D5E229"/>
    <w:rsid w:val="C7DF748C"/>
    <w:rsid w:val="C7FDBEA4"/>
    <w:rsid w:val="C8DC7459"/>
    <w:rsid w:val="C9269BA7"/>
    <w:rsid w:val="C97B931B"/>
    <w:rsid w:val="C9F79D00"/>
    <w:rsid w:val="C9FD15E4"/>
    <w:rsid w:val="CADC6933"/>
    <w:rsid w:val="CADFB2B8"/>
    <w:rsid w:val="CAFAA37E"/>
    <w:rsid w:val="CAFF248B"/>
    <w:rsid w:val="CB3F4CF6"/>
    <w:rsid w:val="CB75B92C"/>
    <w:rsid w:val="CBB7F621"/>
    <w:rsid w:val="CBD7FC94"/>
    <w:rsid w:val="CBDFF44C"/>
    <w:rsid w:val="CBE5AA89"/>
    <w:rsid w:val="CC4EC24D"/>
    <w:rsid w:val="CCDEA039"/>
    <w:rsid w:val="CD2F8F6B"/>
    <w:rsid w:val="CD3FEDD1"/>
    <w:rsid w:val="CD43FCA8"/>
    <w:rsid w:val="CD912C2B"/>
    <w:rsid w:val="CDB6A013"/>
    <w:rsid w:val="CDD794E5"/>
    <w:rsid w:val="CDE3ACC7"/>
    <w:rsid w:val="CDEF313F"/>
    <w:rsid w:val="CE59865A"/>
    <w:rsid w:val="CEDE9857"/>
    <w:rsid w:val="CEE3C93B"/>
    <w:rsid w:val="CEEF2283"/>
    <w:rsid w:val="CEEF9173"/>
    <w:rsid w:val="CEF962AC"/>
    <w:rsid w:val="CF3D4C14"/>
    <w:rsid w:val="CF6FEB97"/>
    <w:rsid w:val="CF7ACD1D"/>
    <w:rsid w:val="CF7BCA57"/>
    <w:rsid w:val="CF9FE00B"/>
    <w:rsid w:val="CFB3E3C7"/>
    <w:rsid w:val="CFB439D7"/>
    <w:rsid w:val="CFB62C4F"/>
    <w:rsid w:val="CFB765EE"/>
    <w:rsid w:val="CFBAFA4F"/>
    <w:rsid w:val="CFBF2737"/>
    <w:rsid w:val="CFCF5FAD"/>
    <w:rsid w:val="CFD4E29C"/>
    <w:rsid w:val="CFD744CA"/>
    <w:rsid w:val="CFF25A75"/>
    <w:rsid w:val="CFF71F21"/>
    <w:rsid w:val="CFFB8D17"/>
    <w:rsid w:val="CFFD05AF"/>
    <w:rsid w:val="CFFE936F"/>
    <w:rsid w:val="CFFF309A"/>
    <w:rsid w:val="CFFF87B9"/>
    <w:rsid w:val="CFFF9A12"/>
    <w:rsid w:val="CFFFD98E"/>
    <w:rsid w:val="D0F8E025"/>
    <w:rsid w:val="D1576F5C"/>
    <w:rsid w:val="D1AC3D17"/>
    <w:rsid w:val="D1F2D687"/>
    <w:rsid w:val="D26ECD79"/>
    <w:rsid w:val="D2E7FAF9"/>
    <w:rsid w:val="D34E06D9"/>
    <w:rsid w:val="D36F8E10"/>
    <w:rsid w:val="D39E6F56"/>
    <w:rsid w:val="D3AF74CA"/>
    <w:rsid w:val="D3B189C1"/>
    <w:rsid w:val="D3BB345C"/>
    <w:rsid w:val="D3F1EEC3"/>
    <w:rsid w:val="D3F76A6F"/>
    <w:rsid w:val="D3FE3563"/>
    <w:rsid w:val="D427A4B1"/>
    <w:rsid w:val="D4BF6AC9"/>
    <w:rsid w:val="D4CF2FB2"/>
    <w:rsid w:val="D5080E33"/>
    <w:rsid w:val="D57A9E7B"/>
    <w:rsid w:val="D5B74913"/>
    <w:rsid w:val="D5E8B31C"/>
    <w:rsid w:val="D5E8D377"/>
    <w:rsid w:val="D5FB38B5"/>
    <w:rsid w:val="D5FE677E"/>
    <w:rsid w:val="D657661F"/>
    <w:rsid w:val="D67F4E7E"/>
    <w:rsid w:val="D6DF4AEF"/>
    <w:rsid w:val="D6EB6563"/>
    <w:rsid w:val="D73E3470"/>
    <w:rsid w:val="D75F352F"/>
    <w:rsid w:val="D75FED38"/>
    <w:rsid w:val="D76B9FBD"/>
    <w:rsid w:val="D775751C"/>
    <w:rsid w:val="D7762C20"/>
    <w:rsid w:val="D77B3430"/>
    <w:rsid w:val="D77D4576"/>
    <w:rsid w:val="D77F3E03"/>
    <w:rsid w:val="D787430D"/>
    <w:rsid w:val="D79D7F56"/>
    <w:rsid w:val="D7A7460B"/>
    <w:rsid w:val="D7A9E1F3"/>
    <w:rsid w:val="D7B78C3F"/>
    <w:rsid w:val="D7DBC2D6"/>
    <w:rsid w:val="D7DF94DA"/>
    <w:rsid w:val="D7E7FDB1"/>
    <w:rsid w:val="D7EB2526"/>
    <w:rsid w:val="D7EBD1A5"/>
    <w:rsid w:val="D7EED989"/>
    <w:rsid w:val="D7EF7522"/>
    <w:rsid w:val="D7F62A5C"/>
    <w:rsid w:val="D7F6EC94"/>
    <w:rsid w:val="D7F7B18B"/>
    <w:rsid w:val="D7FB7081"/>
    <w:rsid w:val="D7FB92C9"/>
    <w:rsid w:val="D7FBCCD0"/>
    <w:rsid w:val="D7FD752F"/>
    <w:rsid w:val="D7FDE049"/>
    <w:rsid w:val="D7FE3BC1"/>
    <w:rsid w:val="D7FF623E"/>
    <w:rsid w:val="D8DF96AE"/>
    <w:rsid w:val="D8FD8BAE"/>
    <w:rsid w:val="D90BD829"/>
    <w:rsid w:val="D99FB10D"/>
    <w:rsid w:val="D9DB3543"/>
    <w:rsid w:val="D9EFD876"/>
    <w:rsid w:val="D9F6D5BA"/>
    <w:rsid w:val="DA1E7371"/>
    <w:rsid w:val="DA9DC0C0"/>
    <w:rsid w:val="DA9FB462"/>
    <w:rsid w:val="DABFE3D1"/>
    <w:rsid w:val="DACDB64B"/>
    <w:rsid w:val="DADB344B"/>
    <w:rsid w:val="DAE7EB47"/>
    <w:rsid w:val="DB370689"/>
    <w:rsid w:val="DB3F8FB7"/>
    <w:rsid w:val="DB5D723C"/>
    <w:rsid w:val="DB5FD143"/>
    <w:rsid w:val="DB65D867"/>
    <w:rsid w:val="DB6FB61A"/>
    <w:rsid w:val="DB73D7DF"/>
    <w:rsid w:val="DB7920D3"/>
    <w:rsid w:val="DB7DAEAA"/>
    <w:rsid w:val="DB7E8835"/>
    <w:rsid w:val="DBBD03E2"/>
    <w:rsid w:val="DBBF8FCF"/>
    <w:rsid w:val="DBBFE949"/>
    <w:rsid w:val="DBD34663"/>
    <w:rsid w:val="DBE6FA4B"/>
    <w:rsid w:val="DBEAF5C3"/>
    <w:rsid w:val="DBEAFEFE"/>
    <w:rsid w:val="DBEB2DA7"/>
    <w:rsid w:val="DBEB7774"/>
    <w:rsid w:val="DBEF9235"/>
    <w:rsid w:val="DBF51F05"/>
    <w:rsid w:val="DBF9DF2D"/>
    <w:rsid w:val="DBFBF72A"/>
    <w:rsid w:val="DBFFA3A0"/>
    <w:rsid w:val="DBFFE62A"/>
    <w:rsid w:val="DCA61F6F"/>
    <w:rsid w:val="DCBE0BF0"/>
    <w:rsid w:val="DCEFDE86"/>
    <w:rsid w:val="DCFD254F"/>
    <w:rsid w:val="DD36A020"/>
    <w:rsid w:val="DD7DD9E1"/>
    <w:rsid w:val="DD7F06CB"/>
    <w:rsid w:val="DD7F2E4B"/>
    <w:rsid w:val="DDA3173A"/>
    <w:rsid w:val="DDAEA042"/>
    <w:rsid w:val="DDBB2901"/>
    <w:rsid w:val="DDBF6199"/>
    <w:rsid w:val="DDCF95A6"/>
    <w:rsid w:val="DDDDC088"/>
    <w:rsid w:val="DDEBBDBE"/>
    <w:rsid w:val="DDEF4DF2"/>
    <w:rsid w:val="DDF7B4D3"/>
    <w:rsid w:val="DDF95F57"/>
    <w:rsid w:val="DDFA1386"/>
    <w:rsid w:val="DDFCBE8A"/>
    <w:rsid w:val="DDFF957E"/>
    <w:rsid w:val="DDFFF738"/>
    <w:rsid w:val="DE4F234D"/>
    <w:rsid w:val="DE661F3B"/>
    <w:rsid w:val="DE6F166E"/>
    <w:rsid w:val="DE7B3A5A"/>
    <w:rsid w:val="DE7BBBFD"/>
    <w:rsid w:val="DE7EE9F8"/>
    <w:rsid w:val="DE9B9269"/>
    <w:rsid w:val="DEA70FC3"/>
    <w:rsid w:val="DEDD4511"/>
    <w:rsid w:val="DEED798E"/>
    <w:rsid w:val="DEEE2340"/>
    <w:rsid w:val="DEF5439C"/>
    <w:rsid w:val="DEF773E0"/>
    <w:rsid w:val="DEFA25C8"/>
    <w:rsid w:val="DEFB5476"/>
    <w:rsid w:val="DEFBAEFB"/>
    <w:rsid w:val="DEFD88FB"/>
    <w:rsid w:val="DEFD9079"/>
    <w:rsid w:val="DEFFC765"/>
    <w:rsid w:val="DEFFF55F"/>
    <w:rsid w:val="DF1E23E0"/>
    <w:rsid w:val="DF1FFAD4"/>
    <w:rsid w:val="DF2BE63B"/>
    <w:rsid w:val="DF2C3AB6"/>
    <w:rsid w:val="DF55E0BC"/>
    <w:rsid w:val="DF56764C"/>
    <w:rsid w:val="DF5758BD"/>
    <w:rsid w:val="DF5E0430"/>
    <w:rsid w:val="DF71FA05"/>
    <w:rsid w:val="DF752FFD"/>
    <w:rsid w:val="DF758D7C"/>
    <w:rsid w:val="DF7748EA"/>
    <w:rsid w:val="DF77D0E3"/>
    <w:rsid w:val="DF7D6912"/>
    <w:rsid w:val="DF7DECCB"/>
    <w:rsid w:val="DF7E224E"/>
    <w:rsid w:val="DF7ED05A"/>
    <w:rsid w:val="DF7F5067"/>
    <w:rsid w:val="DF7FB3AB"/>
    <w:rsid w:val="DF7FE7C4"/>
    <w:rsid w:val="DF9EA8A9"/>
    <w:rsid w:val="DF9EDCB7"/>
    <w:rsid w:val="DFA77D30"/>
    <w:rsid w:val="DFAB3F56"/>
    <w:rsid w:val="DFAB9A55"/>
    <w:rsid w:val="DFADB1E4"/>
    <w:rsid w:val="DFADC16D"/>
    <w:rsid w:val="DFB7D4DA"/>
    <w:rsid w:val="DFBF3DB0"/>
    <w:rsid w:val="DFBF5D70"/>
    <w:rsid w:val="DFBFB69D"/>
    <w:rsid w:val="DFD5D6FB"/>
    <w:rsid w:val="DFDB6BDD"/>
    <w:rsid w:val="DFDCBDA7"/>
    <w:rsid w:val="DFDD272C"/>
    <w:rsid w:val="DFDD2D3B"/>
    <w:rsid w:val="DFDF25CB"/>
    <w:rsid w:val="DFE3D864"/>
    <w:rsid w:val="DFE71C10"/>
    <w:rsid w:val="DFE734D9"/>
    <w:rsid w:val="DFEAD540"/>
    <w:rsid w:val="DFEDD5D1"/>
    <w:rsid w:val="DFEF9143"/>
    <w:rsid w:val="DFEFBEAE"/>
    <w:rsid w:val="DFEFC296"/>
    <w:rsid w:val="DFF51B9C"/>
    <w:rsid w:val="DFF57B4B"/>
    <w:rsid w:val="DFF70781"/>
    <w:rsid w:val="DFF77196"/>
    <w:rsid w:val="DFF7BB33"/>
    <w:rsid w:val="DFF7D1B1"/>
    <w:rsid w:val="DFFA0F0D"/>
    <w:rsid w:val="DFFA2D74"/>
    <w:rsid w:val="DFFA7AD5"/>
    <w:rsid w:val="DFFAE45C"/>
    <w:rsid w:val="DFFB5B99"/>
    <w:rsid w:val="DFFB920F"/>
    <w:rsid w:val="DFFBDD6E"/>
    <w:rsid w:val="DFFD987D"/>
    <w:rsid w:val="DFFDA77F"/>
    <w:rsid w:val="DFFDB25B"/>
    <w:rsid w:val="DFFF1FED"/>
    <w:rsid w:val="DFFF5D80"/>
    <w:rsid w:val="DFFF7A38"/>
    <w:rsid w:val="DFFF9CEC"/>
    <w:rsid w:val="DFFFD4A2"/>
    <w:rsid w:val="DFFFDC09"/>
    <w:rsid w:val="E19F74C6"/>
    <w:rsid w:val="E1BDEC45"/>
    <w:rsid w:val="E1BE4097"/>
    <w:rsid w:val="E1F7CD63"/>
    <w:rsid w:val="E1FA0080"/>
    <w:rsid w:val="E1FDD30A"/>
    <w:rsid w:val="E22E61CF"/>
    <w:rsid w:val="E297809D"/>
    <w:rsid w:val="E2F57C1B"/>
    <w:rsid w:val="E2FF1653"/>
    <w:rsid w:val="E35CC2CE"/>
    <w:rsid w:val="E37FE289"/>
    <w:rsid w:val="E385F030"/>
    <w:rsid w:val="E3D9B64D"/>
    <w:rsid w:val="E3EBB47D"/>
    <w:rsid w:val="E3EE2D82"/>
    <w:rsid w:val="E5B5433D"/>
    <w:rsid w:val="E5D8E41E"/>
    <w:rsid w:val="E5DBD33F"/>
    <w:rsid w:val="E5EF2851"/>
    <w:rsid w:val="E5F7D947"/>
    <w:rsid w:val="E66BF51E"/>
    <w:rsid w:val="E6BF21F0"/>
    <w:rsid w:val="E6BF619F"/>
    <w:rsid w:val="E6E3C5F0"/>
    <w:rsid w:val="E6EFE6BD"/>
    <w:rsid w:val="E6F30116"/>
    <w:rsid w:val="E6FEFB7B"/>
    <w:rsid w:val="E6FF0D20"/>
    <w:rsid w:val="E6FF1BD9"/>
    <w:rsid w:val="E72B99B6"/>
    <w:rsid w:val="E7773D45"/>
    <w:rsid w:val="E7785746"/>
    <w:rsid w:val="E779E75A"/>
    <w:rsid w:val="E77F57D5"/>
    <w:rsid w:val="E78FF6AA"/>
    <w:rsid w:val="E7AFCCAB"/>
    <w:rsid w:val="E7B9590A"/>
    <w:rsid w:val="E7BBBE69"/>
    <w:rsid w:val="E7CFD029"/>
    <w:rsid w:val="E7EEBB06"/>
    <w:rsid w:val="E7EF5D44"/>
    <w:rsid w:val="E7EFD7B3"/>
    <w:rsid w:val="E7F1DFBF"/>
    <w:rsid w:val="E7F47F0E"/>
    <w:rsid w:val="E7F91CC7"/>
    <w:rsid w:val="E7FB6BAA"/>
    <w:rsid w:val="E7FBC160"/>
    <w:rsid w:val="E7FBD505"/>
    <w:rsid w:val="E7FD447C"/>
    <w:rsid w:val="E7FE694C"/>
    <w:rsid w:val="E7FF9A1A"/>
    <w:rsid w:val="E7FFC760"/>
    <w:rsid w:val="E7FFCEF3"/>
    <w:rsid w:val="E879A845"/>
    <w:rsid w:val="E8EF498B"/>
    <w:rsid w:val="E8FAACB0"/>
    <w:rsid w:val="E97B7F01"/>
    <w:rsid w:val="E97F6AF6"/>
    <w:rsid w:val="E9AFACB8"/>
    <w:rsid w:val="E9B838B1"/>
    <w:rsid w:val="E9BF18FE"/>
    <w:rsid w:val="E9D36EAE"/>
    <w:rsid w:val="E9D78029"/>
    <w:rsid w:val="E9E62B3C"/>
    <w:rsid w:val="E9EF6A48"/>
    <w:rsid w:val="E9F410F8"/>
    <w:rsid w:val="E9FCF86D"/>
    <w:rsid w:val="E9FD3D14"/>
    <w:rsid w:val="E9FEB65B"/>
    <w:rsid w:val="E9FF567C"/>
    <w:rsid w:val="EA5F8B2D"/>
    <w:rsid w:val="EA7A1829"/>
    <w:rsid w:val="EA7FE300"/>
    <w:rsid w:val="EAAEE141"/>
    <w:rsid w:val="EAB7969D"/>
    <w:rsid w:val="EABFA8D8"/>
    <w:rsid w:val="EABFFEA8"/>
    <w:rsid w:val="EAE6EC88"/>
    <w:rsid w:val="EAF627E0"/>
    <w:rsid w:val="EAF66968"/>
    <w:rsid w:val="EAF74962"/>
    <w:rsid w:val="EAFDA722"/>
    <w:rsid w:val="EAFF4BEE"/>
    <w:rsid w:val="EB1750F4"/>
    <w:rsid w:val="EB317784"/>
    <w:rsid w:val="EB3937BB"/>
    <w:rsid w:val="EB3DA1F8"/>
    <w:rsid w:val="EB4D66A3"/>
    <w:rsid w:val="EB560F3D"/>
    <w:rsid w:val="EB6EB4A9"/>
    <w:rsid w:val="EB776416"/>
    <w:rsid w:val="EB7781B6"/>
    <w:rsid w:val="EB7A728C"/>
    <w:rsid w:val="EBABBC6B"/>
    <w:rsid w:val="EBAE1A85"/>
    <w:rsid w:val="EBBB53BD"/>
    <w:rsid w:val="EBBF0073"/>
    <w:rsid w:val="EBBF6C36"/>
    <w:rsid w:val="EBD7AB46"/>
    <w:rsid w:val="EBDB6EAD"/>
    <w:rsid w:val="EBDD4880"/>
    <w:rsid w:val="EBDD5028"/>
    <w:rsid w:val="EBE98177"/>
    <w:rsid w:val="EBF5DABD"/>
    <w:rsid w:val="EBF725E6"/>
    <w:rsid w:val="EBF7F250"/>
    <w:rsid w:val="EBFD5800"/>
    <w:rsid w:val="EBFF99F0"/>
    <w:rsid w:val="EBFFED65"/>
    <w:rsid w:val="EC3F4107"/>
    <w:rsid w:val="ECBE870D"/>
    <w:rsid w:val="ECCFCABF"/>
    <w:rsid w:val="ECD722B5"/>
    <w:rsid w:val="ECDE911D"/>
    <w:rsid w:val="ECF68357"/>
    <w:rsid w:val="ED3AF84A"/>
    <w:rsid w:val="ED3E8DCE"/>
    <w:rsid w:val="ED457A82"/>
    <w:rsid w:val="ED5E20C3"/>
    <w:rsid w:val="ED5E5821"/>
    <w:rsid w:val="ED77F700"/>
    <w:rsid w:val="ED7D5FB0"/>
    <w:rsid w:val="ED7EBBBE"/>
    <w:rsid w:val="ED7F9B2E"/>
    <w:rsid w:val="ED7FFD62"/>
    <w:rsid w:val="ED994E17"/>
    <w:rsid w:val="EDBDE35A"/>
    <w:rsid w:val="EDC7B50C"/>
    <w:rsid w:val="EDDA24FC"/>
    <w:rsid w:val="EDFB7A63"/>
    <w:rsid w:val="EDFB834E"/>
    <w:rsid w:val="EDFBC016"/>
    <w:rsid w:val="EDFBF0DA"/>
    <w:rsid w:val="EDFDFC5A"/>
    <w:rsid w:val="EDFF379D"/>
    <w:rsid w:val="EDFFAE75"/>
    <w:rsid w:val="EDFFB065"/>
    <w:rsid w:val="EE1E7BE7"/>
    <w:rsid w:val="EE2B6D55"/>
    <w:rsid w:val="EE3374A5"/>
    <w:rsid w:val="EE579B44"/>
    <w:rsid w:val="EE6AFA59"/>
    <w:rsid w:val="EE758774"/>
    <w:rsid w:val="EE8E1C73"/>
    <w:rsid w:val="EE994E30"/>
    <w:rsid w:val="EEC79FA8"/>
    <w:rsid w:val="EED7DF33"/>
    <w:rsid w:val="EEE7829C"/>
    <w:rsid w:val="EEF3B7B9"/>
    <w:rsid w:val="EEF7689D"/>
    <w:rsid w:val="EEFB9D6E"/>
    <w:rsid w:val="EEFCD448"/>
    <w:rsid w:val="EEFD4566"/>
    <w:rsid w:val="EEFF5EDE"/>
    <w:rsid w:val="EEFFBB87"/>
    <w:rsid w:val="EF1857CA"/>
    <w:rsid w:val="EF3F75F6"/>
    <w:rsid w:val="EF5BBB3E"/>
    <w:rsid w:val="EF5C3C20"/>
    <w:rsid w:val="EF675FF1"/>
    <w:rsid w:val="EF76C74D"/>
    <w:rsid w:val="EF780C29"/>
    <w:rsid w:val="EF792A50"/>
    <w:rsid w:val="EF7B671B"/>
    <w:rsid w:val="EF7BA553"/>
    <w:rsid w:val="EF7D3048"/>
    <w:rsid w:val="EF7E6D7C"/>
    <w:rsid w:val="EF7EF8DA"/>
    <w:rsid w:val="EF7F4021"/>
    <w:rsid w:val="EF7F72D7"/>
    <w:rsid w:val="EF7FAFD3"/>
    <w:rsid w:val="EF7FBE4D"/>
    <w:rsid w:val="EFA59F96"/>
    <w:rsid w:val="EFABE406"/>
    <w:rsid w:val="EFAF001D"/>
    <w:rsid w:val="EFB747A0"/>
    <w:rsid w:val="EFBBA7C0"/>
    <w:rsid w:val="EFBD52D0"/>
    <w:rsid w:val="EFBE49D2"/>
    <w:rsid w:val="EFBF197E"/>
    <w:rsid w:val="EFBF8CB2"/>
    <w:rsid w:val="EFBFA87B"/>
    <w:rsid w:val="EFBFE406"/>
    <w:rsid w:val="EFBFE7D9"/>
    <w:rsid w:val="EFC924B6"/>
    <w:rsid w:val="EFCA3BB0"/>
    <w:rsid w:val="EFD62B0C"/>
    <w:rsid w:val="EFD9A1D8"/>
    <w:rsid w:val="EFDA63BE"/>
    <w:rsid w:val="EFDA80BF"/>
    <w:rsid w:val="EFDD9D1D"/>
    <w:rsid w:val="EFDDE47A"/>
    <w:rsid w:val="EFDE9B51"/>
    <w:rsid w:val="EFDEB539"/>
    <w:rsid w:val="EFE6ECB7"/>
    <w:rsid w:val="EFE7B998"/>
    <w:rsid w:val="EFE7E5EC"/>
    <w:rsid w:val="EFEA7D5B"/>
    <w:rsid w:val="EFED498C"/>
    <w:rsid w:val="EFED99BF"/>
    <w:rsid w:val="EFEECDB7"/>
    <w:rsid w:val="EFEF11A3"/>
    <w:rsid w:val="EFEF2906"/>
    <w:rsid w:val="EFEF6CDC"/>
    <w:rsid w:val="EFEF72BD"/>
    <w:rsid w:val="EFEFCFFC"/>
    <w:rsid w:val="EFEFF34A"/>
    <w:rsid w:val="EFF3BFB7"/>
    <w:rsid w:val="EFF68A98"/>
    <w:rsid w:val="EFF6CC5A"/>
    <w:rsid w:val="EFF7934C"/>
    <w:rsid w:val="EFF7DFA3"/>
    <w:rsid w:val="EFF934BE"/>
    <w:rsid w:val="EFFA70B7"/>
    <w:rsid w:val="EFFAA031"/>
    <w:rsid w:val="EFFD145C"/>
    <w:rsid w:val="EFFDB996"/>
    <w:rsid w:val="EFFDFF9B"/>
    <w:rsid w:val="EFFF2C9B"/>
    <w:rsid w:val="EFFF3F43"/>
    <w:rsid w:val="EFFF6748"/>
    <w:rsid w:val="EFFF6840"/>
    <w:rsid w:val="EFFF7A1B"/>
    <w:rsid w:val="EFFF9B30"/>
    <w:rsid w:val="EFFFB189"/>
    <w:rsid w:val="EFFFE599"/>
    <w:rsid w:val="F0F94EE3"/>
    <w:rsid w:val="F0FB4779"/>
    <w:rsid w:val="F0FE4ADF"/>
    <w:rsid w:val="F14E68EB"/>
    <w:rsid w:val="F17F8C07"/>
    <w:rsid w:val="F18C82C3"/>
    <w:rsid w:val="F1BA25BA"/>
    <w:rsid w:val="F1BF1234"/>
    <w:rsid w:val="F1BFDF14"/>
    <w:rsid w:val="F1DAA9D3"/>
    <w:rsid w:val="F1DFCCE8"/>
    <w:rsid w:val="F1EAAB38"/>
    <w:rsid w:val="F1FC4347"/>
    <w:rsid w:val="F1FFB93C"/>
    <w:rsid w:val="F21FBA6B"/>
    <w:rsid w:val="F23BE4F2"/>
    <w:rsid w:val="F27B7141"/>
    <w:rsid w:val="F27FA38A"/>
    <w:rsid w:val="F2BB2614"/>
    <w:rsid w:val="F2CFD35C"/>
    <w:rsid w:val="F2DBA683"/>
    <w:rsid w:val="F2DF6F80"/>
    <w:rsid w:val="F2DFADA7"/>
    <w:rsid w:val="F2E7A145"/>
    <w:rsid w:val="F2F83809"/>
    <w:rsid w:val="F2FB1ABA"/>
    <w:rsid w:val="F2FD2B9E"/>
    <w:rsid w:val="F2FF12B4"/>
    <w:rsid w:val="F2FF721A"/>
    <w:rsid w:val="F36F20A8"/>
    <w:rsid w:val="F3724F2C"/>
    <w:rsid w:val="F37D22E1"/>
    <w:rsid w:val="F37D89A6"/>
    <w:rsid w:val="F37F4A1B"/>
    <w:rsid w:val="F37F60F1"/>
    <w:rsid w:val="F3B2C41A"/>
    <w:rsid w:val="F3B2D47E"/>
    <w:rsid w:val="F3B57471"/>
    <w:rsid w:val="F3B9F642"/>
    <w:rsid w:val="F3BE45FB"/>
    <w:rsid w:val="F3C7602B"/>
    <w:rsid w:val="F3CEB86F"/>
    <w:rsid w:val="F3D294D4"/>
    <w:rsid w:val="F3D9CD8D"/>
    <w:rsid w:val="F3DB2C35"/>
    <w:rsid w:val="F3EB7093"/>
    <w:rsid w:val="F3F7D134"/>
    <w:rsid w:val="F3F7F6B9"/>
    <w:rsid w:val="F3FBEC53"/>
    <w:rsid w:val="F3FE868E"/>
    <w:rsid w:val="F3FEA41B"/>
    <w:rsid w:val="F3FEF4FE"/>
    <w:rsid w:val="F3FF0932"/>
    <w:rsid w:val="F46DC9F9"/>
    <w:rsid w:val="F49B07CE"/>
    <w:rsid w:val="F4B3375E"/>
    <w:rsid w:val="F4B95111"/>
    <w:rsid w:val="F4CA5E92"/>
    <w:rsid w:val="F4ED4C53"/>
    <w:rsid w:val="F4FDB1E4"/>
    <w:rsid w:val="F53DFE23"/>
    <w:rsid w:val="F552A8DB"/>
    <w:rsid w:val="F56B5BAD"/>
    <w:rsid w:val="F5729ABB"/>
    <w:rsid w:val="F5770434"/>
    <w:rsid w:val="F57EA537"/>
    <w:rsid w:val="F57F4DA8"/>
    <w:rsid w:val="F58FFD66"/>
    <w:rsid w:val="F5B9D0C9"/>
    <w:rsid w:val="F5BDD1EE"/>
    <w:rsid w:val="F5CE7B09"/>
    <w:rsid w:val="F5CF8F43"/>
    <w:rsid w:val="F5E7485D"/>
    <w:rsid w:val="F5E78F19"/>
    <w:rsid w:val="F5EA8D2E"/>
    <w:rsid w:val="F5EBBEC7"/>
    <w:rsid w:val="F5F58577"/>
    <w:rsid w:val="F5F7717B"/>
    <w:rsid w:val="F5F7CC98"/>
    <w:rsid w:val="F5F908CE"/>
    <w:rsid w:val="F5F91F09"/>
    <w:rsid w:val="F5FE5C2F"/>
    <w:rsid w:val="F5FFBB49"/>
    <w:rsid w:val="F62D44B6"/>
    <w:rsid w:val="F655A0A6"/>
    <w:rsid w:val="F6BF00C6"/>
    <w:rsid w:val="F6DF2EC6"/>
    <w:rsid w:val="F6F5656B"/>
    <w:rsid w:val="F6F7948A"/>
    <w:rsid w:val="F6FA9E45"/>
    <w:rsid w:val="F6FB0B5E"/>
    <w:rsid w:val="F6FBD95B"/>
    <w:rsid w:val="F6FD14F3"/>
    <w:rsid w:val="F6FF5BCE"/>
    <w:rsid w:val="F6FF6038"/>
    <w:rsid w:val="F6FFD7B4"/>
    <w:rsid w:val="F6FFDB24"/>
    <w:rsid w:val="F71E64CF"/>
    <w:rsid w:val="F73D9369"/>
    <w:rsid w:val="F73FC669"/>
    <w:rsid w:val="F75620E8"/>
    <w:rsid w:val="F756DDF9"/>
    <w:rsid w:val="F75C7C86"/>
    <w:rsid w:val="F76E9065"/>
    <w:rsid w:val="F76F29B1"/>
    <w:rsid w:val="F7751416"/>
    <w:rsid w:val="F77570B5"/>
    <w:rsid w:val="F7767906"/>
    <w:rsid w:val="F7792F0B"/>
    <w:rsid w:val="F77D7CB4"/>
    <w:rsid w:val="F77E9837"/>
    <w:rsid w:val="F77F7EDA"/>
    <w:rsid w:val="F787B41F"/>
    <w:rsid w:val="F78FE489"/>
    <w:rsid w:val="F79B70F7"/>
    <w:rsid w:val="F79F3EE3"/>
    <w:rsid w:val="F7A756C3"/>
    <w:rsid w:val="F7A7BE7D"/>
    <w:rsid w:val="F7B3D3A1"/>
    <w:rsid w:val="F7B63B30"/>
    <w:rsid w:val="F7B77A11"/>
    <w:rsid w:val="F7B9416B"/>
    <w:rsid w:val="F7BBDB1B"/>
    <w:rsid w:val="F7BBF1CE"/>
    <w:rsid w:val="F7BD39CA"/>
    <w:rsid w:val="F7BD85E5"/>
    <w:rsid w:val="F7BD89C1"/>
    <w:rsid w:val="F7BDB8BA"/>
    <w:rsid w:val="F7BDD0B4"/>
    <w:rsid w:val="F7BDEEFB"/>
    <w:rsid w:val="F7BDFD50"/>
    <w:rsid w:val="F7BEC53E"/>
    <w:rsid w:val="F7CB21F0"/>
    <w:rsid w:val="F7CFDD56"/>
    <w:rsid w:val="F7D58A60"/>
    <w:rsid w:val="F7D72319"/>
    <w:rsid w:val="F7D9F7D4"/>
    <w:rsid w:val="F7DEB5E8"/>
    <w:rsid w:val="F7E302BA"/>
    <w:rsid w:val="F7E7E296"/>
    <w:rsid w:val="F7E9353E"/>
    <w:rsid w:val="F7EB7816"/>
    <w:rsid w:val="F7ED4F59"/>
    <w:rsid w:val="F7ED7240"/>
    <w:rsid w:val="F7EDFDE8"/>
    <w:rsid w:val="F7EF7726"/>
    <w:rsid w:val="F7F32E55"/>
    <w:rsid w:val="F7F6422D"/>
    <w:rsid w:val="F7F696AC"/>
    <w:rsid w:val="F7F7DA2F"/>
    <w:rsid w:val="F7F9A69B"/>
    <w:rsid w:val="F7F9B1CF"/>
    <w:rsid w:val="F7FA51F0"/>
    <w:rsid w:val="F7FB2A75"/>
    <w:rsid w:val="F7FB50EE"/>
    <w:rsid w:val="F7FB520A"/>
    <w:rsid w:val="F7FCA273"/>
    <w:rsid w:val="F7FE148F"/>
    <w:rsid w:val="F7FE4367"/>
    <w:rsid w:val="F7FEBB66"/>
    <w:rsid w:val="F7FED789"/>
    <w:rsid w:val="F7FF14E5"/>
    <w:rsid w:val="F7FF335C"/>
    <w:rsid w:val="F7FF49A9"/>
    <w:rsid w:val="F7FF595B"/>
    <w:rsid w:val="F7FF5CC8"/>
    <w:rsid w:val="F7FF9055"/>
    <w:rsid w:val="F7FFA505"/>
    <w:rsid w:val="F7FFB3FC"/>
    <w:rsid w:val="F7FFEAAB"/>
    <w:rsid w:val="F7FFFCF3"/>
    <w:rsid w:val="F83DD696"/>
    <w:rsid w:val="F86F379F"/>
    <w:rsid w:val="F8765CD4"/>
    <w:rsid w:val="F8A48887"/>
    <w:rsid w:val="F8BB4BE7"/>
    <w:rsid w:val="F8BB73F4"/>
    <w:rsid w:val="F8DB69EF"/>
    <w:rsid w:val="F8EA648A"/>
    <w:rsid w:val="F8F4F377"/>
    <w:rsid w:val="F8FC4D81"/>
    <w:rsid w:val="F91F16CA"/>
    <w:rsid w:val="F93F3157"/>
    <w:rsid w:val="F93F5FE1"/>
    <w:rsid w:val="F95B1791"/>
    <w:rsid w:val="F967DB1B"/>
    <w:rsid w:val="F9761257"/>
    <w:rsid w:val="F99751A6"/>
    <w:rsid w:val="F9AF55C0"/>
    <w:rsid w:val="F9BB1AF8"/>
    <w:rsid w:val="F9BF6C9A"/>
    <w:rsid w:val="F9D3BAC4"/>
    <w:rsid w:val="F9DB20CF"/>
    <w:rsid w:val="F9DB80A2"/>
    <w:rsid w:val="F9DE2760"/>
    <w:rsid w:val="F9EBFAC9"/>
    <w:rsid w:val="F9ED89BC"/>
    <w:rsid w:val="F9F7BAA1"/>
    <w:rsid w:val="F9FB7534"/>
    <w:rsid w:val="F9FE25F2"/>
    <w:rsid w:val="F9FE8762"/>
    <w:rsid w:val="F9FEC024"/>
    <w:rsid w:val="F9FF100E"/>
    <w:rsid w:val="F9FF81E8"/>
    <w:rsid w:val="F9FFE8F3"/>
    <w:rsid w:val="FA3715A0"/>
    <w:rsid w:val="FA3F6127"/>
    <w:rsid w:val="FA3FBA11"/>
    <w:rsid w:val="FA5FCBC5"/>
    <w:rsid w:val="FA779222"/>
    <w:rsid w:val="FA7AB7E2"/>
    <w:rsid w:val="FA7D18E6"/>
    <w:rsid w:val="FA955718"/>
    <w:rsid w:val="FA9B60E1"/>
    <w:rsid w:val="FAAEE65C"/>
    <w:rsid w:val="FABA7E0F"/>
    <w:rsid w:val="FABB8915"/>
    <w:rsid w:val="FABBA33D"/>
    <w:rsid w:val="FABDF389"/>
    <w:rsid w:val="FABF0233"/>
    <w:rsid w:val="FACF824A"/>
    <w:rsid w:val="FADCE38E"/>
    <w:rsid w:val="FADEF03B"/>
    <w:rsid w:val="FADF9EA9"/>
    <w:rsid w:val="FADFFE00"/>
    <w:rsid w:val="FAE308C9"/>
    <w:rsid w:val="FAE6376F"/>
    <w:rsid w:val="FAE722EF"/>
    <w:rsid w:val="FAEDF014"/>
    <w:rsid w:val="FAF75CFA"/>
    <w:rsid w:val="FAF7D8F9"/>
    <w:rsid w:val="FAFB1238"/>
    <w:rsid w:val="FAFE9304"/>
    <w:rsid w:val="FAFEA84D"/>
    <w:rsid w:val="FB385D7E"/>
    <w:rsid w:val="FB5765E5"/>
    <w:rsid w:val="FB5DC626"/>
    <w:rsid w:val="FB5EB4DA"/>
    <w:rsid w:val="FB5F08F2"/>
    <w:rsid w:val="FB6AC0DD"/>
    <w:rsid w:val="FB6DA20C"/>
    <w:rsid w:val="FB7B0B56"/>
    <w:rsid w:val="FB7F0A36"/>
    <w:rsid w:val="FB7FAE68"/>
    <w:rsid w:val="FB8D8B02"/>
    <w:rsid w:val="FB8F8AD2"/>
    <w:rsid w:val="FB9D0C6D"/>
    <w:rsid w:val="FB9D1143"/>
    <w:rsid w:val="FBB70287"/>
    <w:rsid w:val="FBB7B68C"/>
    <w:rsid w:val="FBBB2238"/>
    <w:rsid w:val="FBBE0EEE"/>
    <w:rsid w:val="FBBEF27B"/>
    <w:rsid w:val="FBBF5514"/>
    <w:rsid w:val="FBC72420"/>
    <w:rsid w:val="FBC757C9"/>
    <w:rsid w:val="FBDD42D1"/>
    <w:rsid w:val="FBDF49D3"/>
    <w:rsid w:val="FBDFD357"/>
    <w:rsid w:val="FBE11135"/>
    <w:rsid w:val="FBE3A12F"/>
    <w:rsid w:val="FBEFB199"/>
    <w:rsid w:val="FBF3BDE0"/>
    <w:rsid w:val="FBF50FF5"/>
    <w:rsid w:val="FBF7E826"/>
    <w:rsid w:val="FBFB35C6"/>
    <w:rsid w:val="FBFB84EF"/>
    <w:rsid w:val="FBFBF83A"/>
    <w:rsid w:val="FBFCB277"/>
    <w:rsid w:val="FBFD7869"/>
    <w:rsid w:val="FBFD795F"/>
    <w:rsid w:val="FBFD8001"/>
    <w:rsid w:val="FBFF254B"/>
    <w:rsid w:val="FBFF5961"/>
    <w:rsid w:val="FBFF6711"/>
    <w:rsid w:val="FBFF8BDA"/>
    <w:rsid w:val="FBFFB01F"/>
    <w:rsid w:val="FBFFFB25"/>
    <w:rsid w:val="FC5F9274"/>
    <w:rsid w:val="FC5FD9DF"/>
    <w:rsid w:val="FC7F12AA"/>
    <w:rsid w:val="FC99B40C"/>
    <w:rsid w:val="FC9C2D2D"/>
    <w:rsid w:val="FC9FADAD"/>
    <w:rsid w:val="FCAB3C23"/>
    <w:rsid w:val="FCCFA48E"/>
    <w:rsid w:val="FCDC0783"/>
    <w:rsid w:val="FCDF5CCC"/>
    <w:rsid w:val="FCDF7C9D"/>
    <w:rsid w:val="FCEF94C9"/>
    <w:rsid w:val="FCF7386F"/>
    <w:rsid w:val="FCFF8B26"/>
    <w:rsid w:val="FCFF8C19"/>
    <w:rsid w:val="FD1F5F13"/>
    <w:rsid w:val="FD291650"/>
    <w:rsid w:val="FD2FA174"/>
    <w:rsid w:val="FD4F6754"/>
    <w:rsid w:val="FD4FBB59"/>
    <w:rsid w:val="FD56352A"/>
    <w:rsid w:val="FD5800B2"/>
    <w:rsid w:val="FD5B514F"/>
    <w:rsid w:val="FD5C5889"/>
    <w:rsid w:val="FD5F57E7"/>
    <w:rsid w:val="FD649A75"/>
    <w:rsid w:val="FD6D5E4D"/>
    <w:rsid w:val="FD6F0E90"/>
    <w:rsid w:val="FD764F83"/>
    <w:rsid w:val="FD77F59F"/>
    <w:rsid w:val="FD7A7957"/>
    <w:rsid w:val="FDA1EBF2"/>
    <w:rsid w:val="FDA67A5E"/>
    <w:rsid w:val="FDABF4A9"/>
    <w:rsid w:val="FDB4D365"/>
    <w:rsid w:val="FDBD8229"/>
    <w:rsid w:val="FDBF45EC"/>
    <w:rsid w:val="FDC9CA10"/>
    <w:rsid w:val="FDD5C8A6"/>
    <w:rsid w:val="FDDE8FE3"/>
    <w:rsid w:val="FDDFB44A"/>
    <w:rsid w:val="FDE41E23"/>
    <w:rsid w:val="FDEB5A2A"/>
    <w:rsid w:val="FDF13086"/>
    <w:rsid w:val="FDF16CC7"/>
    <w:rsid w:val="FDF19E98"/>
    <w:rsid w:val="FDF3BDC8"/>
    <w:rsid w:val="FDF7611F"/>
    <w:rsid w:val="FDF7CEDC"/>
    <w:rsid w:val="FDFA4044"/>
    <w:rsid w:val="FDFB1A6C"/>
    <w:rsid w:val="FDFB42D9"/>
    <w:rsid w:val="FDFC23C8"/>
    <w:rsid w:val="FDFD5075"/>
    <w:rsid w:val="FDFD7548"/>
    <w:rsid w:val="FDFD9E95"/>
    <w:rsid w:val="FDFDEBCF"/>
    <w:rsid w:val="FDFE18F3"/>
    <w:rsid w:val="FDFE2CEC"/>
    <w:rsid w:val="FDFF156F"/>
    <w:rsid w:val="FDFF1B50"/>
    <w:rsid w:val="FDFF28C5"/>
    <w:rsid w:val="FDFF2A2B"/>
    <w:rsid w:val="FDFF3652"/>
    <w:rsid w:val="FDFF44B8"/>
    <w:rsid w:val="FDFFA06A"/>
    <w:rsid w:val="FDFFC0D3"/>
    <w:rsid w:val="FE0F933E"/>
    <w:rsid w:val="FE1DC94D"/>
    <w:rsid w:val="FE1E0770"/>
    <w:rsid w:val="FE3DA7DA"/>
    <w:rsid w:val="FE3FEC7B"/>
    <w:rsid w:val="FE51E2EF"/>
    <w:rsid w:val="FE576C95"/>
    <w:rsid w:val="FE59B8FC"/>
    <w:rsid w:val="FE5F61A1"/>
    <w:rsid w:val="FE5F66F2"/>
    <w:rsid w:val="FE6E154A"/>
    <w:rsid w:val="FE6EC4CD"/>
    <w:rsid w:val="FE77DA61"/>
    <w:rsid w:val="FE7A5758"/>
    <w:rsid w:val="FE7BF5E7"/>
    <w:rsid w:val="FE7FD523"/>
    <w:rsid w:val="FE8358B1"/>
    <w:rsid w:val="FE8BA7E3"/>
    <w:rsid w:val="FE990698"/>
    <w:rsid w:val="FE9EA054"/>
    <w:rsid w:val="FEADE161"/>
    <w:rsid w:val="FEAEC7C8"/>
    <w:rsid w:val="FEAF1912"/>
    <w:rsid w:val="FEAF6FD6"/>
    <w:rsid w:val="FEAFA5FE"/>
    <w:rsid w:val="FEB7F1D5"/>
    <w:rsid w:val="FEBF08B4"/>
    <w:rsid w:val="FEBFBEB7"/>
    <w:rsid w:val="FEC8C709"/>
    <w:rsid w:val="FED20F90"/>
    <w:rsid w:val="FED3DEE4"/>
    <w:rsid w:val="FED6F92A"/>
    <w:rsid w:val="FED89EC6"/>
    <w:rsid w:val="FEDB3A71"/>
    <w:rsid w:val="FEDB726C"/>
    <w:rsid w:val="FEDBA189"/>
    <w:rsid w:val="FEDF3DAD"/>
    <w:rsid w:val="FEE79552"/>
    <w:rsid w:val="FEE9811E"/>
    <w:rsid w:val="FEED548F"/>
    <w:rsid w:val="FEEEE258"/>
    <w:rsid w:val="FEEF1E6E"/>
    <w:rsid w:val="FEEF70A3"/>
    <w:rsid w:val="FEF36EFC"/>
    <w:rsid w:val="FEF457EA"/>
    <w:rsid w:val="FEF69743"/>
    <w:rsid w:val="FEF6CEFE"/>
    <w:rsid w:val="FEF77092"/>
    <w:rsid w:val="FEFA9585"/>
    <w:rsid w:val="FEFAA22C"/>
    <w:rsid w:val="FEFB2EB6"/>
    <w:rsid w:val="FEFBF5D5"/>
    <w:rsid w:val="FEFC242C"/>
    <w:rsid w:val="FEFD9E63"/>
    <w:rsid w:val="FEFDD817"/>
    <w:rsid w:val="FEFDE39E"/>
    <w:rsid w:val="FEFE1367"/>
    <w:rsid w:val="FEFF327D"/>
    <w:rsid w:val="FEFF3F8E"/>
    <w:rsid w:val="FEFF60B4"/>
    <w:rsid w:val="FEFF70A4"/>
    <w:rsid w:val="FEFF73F7"/>
    <w:rsid w:val="FEFF7496"/>
    <w:rsid w:val="FEFF776D"/>
    <w:rsid w:val="FEFF7F8E"/>
    <w:rsid w:val="FEFF8F33"/>
    <w:rsid w:val="FEFFA731"/>
    <w:rsid w:val="FF0ED5EE"/>
    <w:rsid w:val="FF0F806E"/>
    <w:rsid w:val="FF199EED"/>
    <w:rsid w:val="FF1CC9B9"/>
    <w:rsid w:val="FF1D69F2"/>
    <w:rsid w:val="FF23DE92"/>
    <w:rsid w:val="FF2F0176"/>
    <w:rsid w:val="FF3689F8"/>
    <w:rsid w:val="FF3A9D83"/>
    <w:rsid w:val="FF3B5068"/>
    <w:rsid w:val="FF3E5ACA"/>
    <w:rsid w:val="FF3F446D"/>
    <w:rsid w:val="FF3FBFD2"/>
    <w:rsid w:val="FF4667B7"/>
    <w:rsid w:val="FF4D0274"/>
    <w:rsid w:val="FF4FC386"/>
    <w:rsid w:val="FF577AD4"/>
    <w:rsid w:val="FF57BEB7"/>
    <w:rsid w:val="FF57BF75"/>
    <w:rsid w:val="FF5B3711"/>
    <w:rsid w:val="FF5D14AB"/>
    <w:rsid w:val="FF5D1C8A"/>
    <w:rsid w:val="FF5D1F9C"/>
    <w:rsid w:val="FF5D62C0"/>
    <w:rsid w:val="FF5FC543"/>
    <w:rsid w:val="FF5FE587"/>
    <w:rsid w:val="FF67ABAB"/>
    <w:rsid w:val="FF6B1268"/>
    <w:rsid w:val="FF7180DC"/>
    <w:rsid w:val="FF72221A"/>
    <w:rsid w:val="FF7342C8"/>
    <w:rsid w:val="FF74F6A5"/>
    <w:rsid w:val="FF761D2B"/>
    <w:rsid w:val="FF764CB7"/>
    <w:rsid w:val="FF76B19C"/>
    <w:rsid w:val="FF77080B"/>
    <w:rsid w:val="FF776094"/>
    <w:rsid w:val="FF776516"/>
    <w:rsid w:val="FF7769C5"/>
    <w:rsid w:val="FF77DCD0"/>
    <w:rsid w:val="FF78B65F"/>
    <w:rsid w:val="FF7B3D97"/>
    <w:rsid w:val="FF7C54D9"/>
    <w:rsid w:val="FF7CDF6E"/>
    <w:rsid w:val="FF7D304A"/>
    <w:rsid w:val="FF7F32B3"/>
    <w:rsid w:val="FF7F32DD"/>
    <w:rsid w:val="FF7F3B0E"/>
    <w:rsid w:val="FF7F6CD1"/>
    <w:rsid w:val="FF7F8710"/>
    <w:rsid w:val="FF7FB9E0"/>
    <w:rsid w:val="FF7FD226"/>
    <w:rsid w:val="FF7FDA42"/>
    <w:rsid w:val="FF7FDC9D"/>
    <w:rsid w:val="FF7FE124"/>
    <w:rsid w:val="FF7FE4B1"/>
    <w:rsid w:val="FF7FFA15"/>
    <w:rsid w:val="FF854BC5"/>
    <w:rsid w:val="FF87594D"/>
    <w:rsid w:val="FF8B1D84"/>
    <w:rsid w:val="FF8D673E"/>
    <w:rsid w:val="FF8F549B"/>
    <w:rsid w:val="FF8F85AD"/>
    <w:rsid w:val="FF915A06"/>
    <w:rsid w:val="FF9324D4"/>
    <w:rsid w:val="FF952D36"/>
    <w:rsid w:val="FF9F4B0B"/>
    <w:rsid w:val="FF9F5B82"/>
    <w:rsid w:val="FF9FC2BD"/>
    <w:rsid w:val="FF9FF46A"/>
    <w:rsid w:val="FFA89176"/>
    <w:rsid w:val="FFAB6C8F"/>
    <w:rsid w:val="FFAB7F1C"/>
    <w:rsid w:val="FFAEDC16"/>
    <w:rsid w:val="FFB30407"/>
    <w:rsid w:val="FFB3B41D"/>
    <w:rsid w:val="FFB5F89A"/>
    <w:rsid w:val="FFB67D11"/>
    <w:rsid w:val="FFB72880"/>
    <w:rsid w:val="FFB73C73"/>
    <w:rsid w:val="FFB9B593"/>
    <w:rsid w:val="FFBAA0CE"/>
    <w:rsid w:val="FFBB034B"/>
    <w:rsid w:val="FFBBCF49"/>
    <w:rsid w:val="FFBBED3D"/>
    <w:rsid w:val="FFBCC6DB"/>
    <w:rsid w:val="FFBD8221"/>
    <w:rsid w:val="FFBDA37E"/>
    <w:rsid w:val="FFBDCBFE"/>
    <w:rsid w:val="FFBE37EA"/>
    <w:rsid w:val="FFBE4E14"/>
    <w:rsid w:val="FFBF6300"/>
    <w:rsid w:val="FFBF7266"/>
    <w:rsid w:val="FFBF9F8C"/>
    <w:rsid w:val="FFBFA4D6"/>
    <w:rsid w:val="FFBFAFCA"/>
    <w:rsid w:val="FFBFE677"/>
    <w:rsid w:val="FFBFF533"/>
    <w:rsid w:val="FFCD2771"/>
    <w:rsid w:val="FFCE18E5"/>
    <w:rsid w:val="FFCEA80B"/>
    <w:rsid w:val="FFCFADF5"/>
    <w:rsid w:val="FFCFE1C9"/>
    <w:rsid w:val="FFCFE545"/>
    <w:rsid w:val="FFCFE9D8"/>
    <w:rsid w:val="FFD1225F"/>
    <w:rsid w:val="FFD56360"/>
    <w:rsid w:val="FFD57AA3"/>
    <w:rsid w:val="FFD6DE63"/>
    <w:rsid w:val="FFD714EB"/>
    <w:rsid w:val="FFD784F8"/>
    <w:rsid w:val="FFD7EDC2"/>
    <w:rsid w:val="FFD8EC88"/>
    <w:rsid w:val="FFDA33A7"/>
    <w:rsid w:val="FFDAEFEA"/>
    <w:rsid w:val="FFDB7CFD"/>
    <w:rsid w:val="FFDB95AC"/>
    <w:rsid w:val="FFDBC913"/>
    <w:rsid w:val="FFDBD06B"/>
    <w:rsid w:val="FFDD0FCC"/>
    <w:rsid w:val="FFDE868D"/>
    <w:rsid w:val="FFDEBB95"/>
    <w:rsid w:val="FFDECA38"/>
    <w:rsid w:val="FFDF23E8"/>
    <w:rsid w:val="FFDF307B"/>
    <w:rsid w:val="FFDF5FF6"/>
    <w:rsid w:val="FFDFB76F"/>
    <w:rsid w:val="FFDFBB40"/>
    <w:rsid w:val="FFDFBB43"/>
    <w:rsid w:val="FFDFF75E"/>
    <w:rsid w:val="FFE07991"/>
    <w:rsid w:val="FFE1EA0C"/>
    <w:rsid w:val="FFE3C880"/>
    <w:rsid w:val="FFE50DCE"/>
    <w:rsid w:val="FFE6BE30"/>
    <w:rsid w:val="FFE787C4"/>
    <w:rsid w:val="FFE78811"/>
    <w:rsid w:val="FFEB704F"/>
    <w:rsid w:val="FFEBC300"/>
    <w:rsid w:val="FFECAF26"/>
    <w:rsid w:val="FFED5E70"/>
    <w:rsid w:val="FFEDD336"/>
    <w:rsid w:val="FFEDD7C6"/>
    <w:rsid w:val="FFEE288D"/>
    <w:rsid w:val="FFEE9EF3"/>
    <w:rsid w:val="FFEF47C0"/>
    <w:rsid w:val="FFEF4BD3"/>
    <w:rsid w:val="FFEF91AF"/>
    <w:rsid w:val="FFEFC1C4"/>
    <w:rsid w:val="FFEFE133"/>
    <w:rsid w:val="FFF17281"/>
    <w:rsid w:val="FFF38FB5"/>
    <w:rsid w:val="FFF3C944"/>
    <w:rsid w:val="FFF518E3"/>
    <w:rsid w:val="FFF539C8"/>
    <w:rsid w:val="FFF54305"/>
    <w:rsid w:val="FFF5E6CB"/>
    <w:rsid w:val="FFF6E2A3"/>
    <w:rsid w:val="FFF7028F"/>
    <w:rsid w:val="FFF71E18"/>
    <w:rsid w:val="FFF74287"/>
    <w:rsid w:val="FFF7A893"/>
    <w:rsid w:val="FFF7AFB5"/>
    <w:rsid w:val="FFF7B4E9"/>
    <w:rsid w:val="FFF7B7CB"/>
    <w:rsid w:val="FFF7C5CF"/>
    <w:rsid w:val="FFF7E317"/>
    <w:rsid w:val="FFF7F70D"/>
    <w:rsid w:val="FFF835BC"/>
    <w:rsid w:val="FFF99D2E"/>
    <w:rsid w:val="FFF9A206"/>
    <w:rsid w:val="FFF9B2D6"/>
    <w:rsid w:val="FFF9EC50"/>
    <w:rsid w:val="FFFA217D"/>
    <w:rsid w:val="FFFB013C"/>
    <w:rsid w:val="FFFB2860"/>
    <w:rsid w:val="FFFB4851"/>
    <w:rsid w:val="FFFB48C9"/>
    <w:rsid w:val="FFFBB370"/>
    <w:rsid w:val="FFFBCBB0"/>
    <w:rsid w:val="FFFBD359"/>
    <w:rsid w:val="FFFC1AAA"/>
    <w:rsid w:val="FFFC381E"/>
    <w:rsid w:val="FFFC6607"/>
    <w:rsid w:val="FFFCC141"/>
    <w:rsid w:val="FFFD1C7D"/>
    <w:rsid w:val="FFFD64FD"/>
    <w:rsid w:val="FFFD7C05"/>
    <w:rsid w:val="FFFDDEAA"/>
    <w:rsid w:val="FFFE07AA"/>
    <w:rsid w:val="FFFE1151"/>
    <w:rsid w:val="FFFE87D8"/>
    <w:rsid w:val="FFFE9DAC"/>
    <w:rsid w:val="FFFEE6C3"/>
    <w:rsid w:val="FFFEFA9C"/>
    <w:rsid w:val="FFFEFB27"/>
    <w:rsid w:val="FFFEFEDD"/>
    <w:rsid w:val="FFFF1710"/>
    <w:rsid w:val="FFFF24A9"/>
    <w:rsid w:val="FFFF478E"/>
    <w:rsid w:val="FFFF5E65"/>
    <w:rsid w:val="FFFF601D"/>
    <w:rsid w:val="FFFF63CB"/>
    <w:rsid w:val="FFFF8032"/>
    <w:rsid w:val="FFFF8B0A"/>
    <w:rsid w:val="FFFF9047"/>
    <w:rsid w:val="FFFF9FCE"/>
    <w:rsid w:val="FFFFA4D8"/>
    <w:rsid w:val="FFFFB5C8"/>
    <w:rsid w:val="FFFFC9AE"/>
    <w:rsid w:val="FFFFCA3F"/>
    <w:rsid w:val="FFFFCA51"/>
    <w:rsid w:val="FFFFE3A9"/>
    <w:rsid w:val="FFFFEC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31"/>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32"/>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unhideWhenUsed/>
    <w:qFormat/>
    <w:uiPriority w:val="1"/>
  </w:style>
  <w:style w:type="table" w:default="1" w:styleId="23">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23"/>
      <w:tblCellMar>
        <w:top w:w="0" w:type="dxa"/>
        <w:left w:w="108" w:type="dxa"/>
        <w:bottom w:w="0" w:type="dxa"/>
        <w:right w:w="108" w:type="dxa"/>
      </w:tblCellMar>
    </w:tblPr>
  </w:style>
  <w:style w:type="paragraph" w:styleId="5">
    <w:name w:val="Normal Indent"/>
    <w:basedOn w:val="1"/>
    <w:qFormat/>
    <w:uiPriority w:val="0"/>
    <w:pPr>
      <w:spacing w:line="240" w:lineRule="atLeast"/>
      <w:ind w:firstLine="420" w:firstLineChars="200"/>
    </w:pPr>
    <w:rPr>
      <w:rFonts w:eastAsia="仿宋_GB2312"/>
      <w:spacing w:val="-6"/>
      <w:sz w:val="32"/>
      <w:szCs w:val="20"/>
    </w:rPr>
  </w:style>
  <w:style w:type="paragraph" w:styleId="6">
    <w:name w:val="Document Map"/>
    <w:basedOn w:val="1"/>
    <w:link w:val="33"/>
    <w:qFormat/>
    <w:uiPriority w:val="0"/>
    <w:pPr>
      <w:shd w:val="clear" w:color="auto" w:fill="000080"/>
    </w:pPr>
  </w:style>
  <w:style w:type="paragraph" w:styleId="7">
    <w:name w:val="annotation text"/>
    <w:basedOn w:val="1"/>
    <w:link w:val="34"/>
    <w:qFormat/>
    <w:uiPriority w:val="0"/>
    <w:pPr>
      <w:jc w:val="left"/>
    </w:pPr>
  </w:style>
  <w:style w:type="paragraph" w:styleId="8">
    <w:name w:val="Body Text"/>
    <w:basedOn w:val="1"/>
    <w:next w:val="9"/>
    <w:qFormat/>
    <w:uiPriority w:val="0"/>
    <w:rPr>
      <w:rFonts w:ascii="仿宋_GB2312" w:eastAsia="仿宋_GB2312"/>
      <w:sz w:val="30"/>
      <w:szCs w:val="20"/>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35"/>
    <w:qFormat/>
    <w:uiPriority w:val="0"/>
    <w:rPr>
      <w:sz w:val="18"/>
      <w:szCs w:val="18"/>
    </w:rPr>
  </w:style>
  <w:style w:type="paragraph" w:styleId="15">
    <w:name w:val="footer"/>
    <w:basedOn w:val="1"/>
    <w:link w:val="36"/>
    <w:qFormat/>
    <w:uiPriority w:val="0"/>
    <w:pPr>
      <w:tabs>
        <w:tab w:val="center" w:pos="4153"/>
        <w:tab w:val="right" w:pos="8306"/>
      </w:tabs>
      <w:snapToGrid w:val="0"/>
      <w:jc w:val="left"/>
    </w:pPr>
    <w:rPr>
      <w:sz w:val="18"/>
      <w:szCs w:val="18"/>
    </w:rPr>
  </w:style>
  <w:style w:type="paragraph" w:styleId="16">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7"/>
    <w:next w:val="7"/>
    <w:link w:val="38"/>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character" w:customStyle="1" w:styleId="30">
    <w:name w:val="标题 1 字符"/>
    <w:link w:val="2"/>
    <w:qFormat/>
    <w:uiPriority w:val="0"/>
    <w:rPr>
      <w:rFonts w:ascii="Times New Roman" w:hAnsi="Times New Roman" w:eastAsia="方正小标宋简体" w:cs="Times New Roman"/>
      <w:b/>
      <w:bCs/>
      <w:kern w:val="44"/>
      <w:sz w:val="36"/>
      <w:szCs w:val="44"/>
    </w:rPr>
  </w:style>
  <w:style w:type="character" w:customStyle="1" w:styleId="31">
    <w:name w:val="标题 2 字符"/>
    <w:link w:val="3"/>
    <w:qFormat/>
    <w:uiPriority w:val="0"/>
    <w:rPr>
      <w:rFonts w:ascii="宋体" w:hAnsi="宋体" w:eastAsia="宋体" w:cs="宋体"/>
      <w:b/>
      <w:bCs/>
      <w:sz w:val="30"/>
      <w:szCs w:val="36"/>
    </w:rPr>
  </w:style>
  <w:style w:type="character" w:customStyle="1" w:styleId="32">
    <w:name w:val="标题 9 字符"/>
    <w:link w:val="4"/>
    <w:qFormat/>
    <w:uiPriority w:val="0"/>
    <w:rPr>
      <w:rFonts w:ascii="Calibri Light" w:hAnsi="Calibri Light" w:eastAsia="宋体" w:cs="Times New Roman"/>
      <w:kern w:val="2"/>
      <w:sz w:val="21"/>
      <w:szCs w:val="21"/>
    </w:rPr>
  </w:style>
  <w:style w:type="character" w:customStyle="1" w:styleId="33">
    <w:name w:val="文档结构图 字符"/>
    <w:basedOn w:val="24"/>
    <w:link w:val="6"/>
    <w:qFormat/>
    <w:uiPriority w:val="0"/>
    <w:rPr>
      <w:kern w:val="2"/>
      <w:sz w:val="21"/>
      <w:szCs w:val="24"/>
      <w:shd w:val="clear" w:color="auto" w:fill="000080"/>
    </w:rPr>
  </w:style>
  <w:style w:type="character" w:customStyle="1" w:styleId="34">
    <w:name w:val="批注文字 字符"/>
    <w:link w:val="7"/>
    <w:qFormat/>
    <w:uiPriority w:val="0"/>
    <w:rPr>
      <w:rFonts w:ascii="Times New Roman" w:hAnsi="Times New Roman" w:eastAsia="宋体" w:cs="Times New Roman"/>
      <w:kern w:val="2"/>
      <w:sz w:val="21"/>
      <w:szCs w:val="24"/>
      <w:lang w:val="en-US" w:eastAsia="zh-CN" w:bidi="ar-SA"/>
    </w:rPr>
  </w:style>
  <w:style w:type="character" w:customStyle="1" w:styleId="35">
    <w:name w:val="批注框文本 字符"/>
    <w:basedOn w:val="24"/>
    <w:link w:val="14"/>
    <w:qFormat/>
    <w:uiPriority w:val="0"/>
    <w:rPr>
      <w:kern w:val="2"/>
      <w:sz w:val="18"/>
      <w:szCs w:val="18"/>
    </w:rPr>
  </w:style>
  <w:style w:type="character" w:customStyle="1" w:styleId="36">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7">
    <w:name w:val="页眉 字符"/>
    <w:basedOn w:val="24"/>
    <w:link w:val="16"/>
    <w:qFormat/>
    <w:uiPriority w:val="0"/>
    <w:rPr>
      <w:kern w:val="2"/>
      <w:sz w:val="18"/>
      <w:szCs w:val="18"/>
    </w:rPr>
  </w:style>
  <w:style w:type="character" w:customStyle="1" w:styleId="38">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39">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4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
    <w:name w:val="默认段落字体 Para Char Char Char Char Char Char Char"/>
    <w:basedOn w:val="6"/>
    <w:qFormat/>
    <w:uiPriority w:val="0"/>
    <w:pPr>
      <w:adjustRightInd w:val="0"/>
      <w:spacing w:line="436" w:lineRule="exact"/>
      <w:ind w:left="357"/>
      <w:jc w:val="left"/>
      <w:outlineLvl w:val="3"/>
    </w:pPr>
    <w:rPr>
      <w:rFonts w:ascii="Tahoma" w:hAnsi="Tahoma"/>
      <w:b/>
      <w:sz w:val="24"/>
    </w:rPr>
  </w:style>
  <w:style w:type="character" w:customStyle="1" w:styleId="42">
    <w:name w:val="p121"/>
    <w:qFormat/>
    <w:uiPriority w:val="0"/>
    <w:rPr>
      <w:rFonts w:hint="default" w:eastAsia="宋体" w:cs="Times New Roman"/>
      <w:sz w:val="24"/>
      <w:szCs w:val="24"/>
    </w:rPr>
  </w:style>
  <w:style w:type="paragraph" w:customStyle="1" w:styleId="43">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
    <w:name w:val="Char1 Char Char Char"/>
    <w:basedOn w:val="1"/>
    <w:qFormat/>
    <w:uiPriority w:val="0"/>
    <w:rPr>
      <w:rFonts w:ascii="Tahoma" w:hAnsi="Tahoma"/>
      <w:sz w:val="24"/>
      <w:szCs w:val="20"/>
    </w:rPr>
  </w:style>
  <w:style w:type="paragraph" w:customStyle="1" w:styleId="46">
    <w:name w:val="Char1 Char Char Char1"/>
    <w:basedOn w:val="1"/>
    <w:qFormat/>
    <w:uiPriority w:val="0"/>
    <w:rPr>
      <w:rFonts w:ascii="Tahoma" w:hAnsi="Tahoma"/>
      <w:sz w:val="24"/>
      <w:szCs w:val="20"/>
    </w:rPr>
  </w:style>
  <w:style w:type="paragraph" w:customStyle="1" w:styleId="47">
    <w:name w:val="Char1"/>
    <w:basedOn w:val="1"/>
    <w:qFormat/>
    <w:uiPriority w:val="0"/>
    <w:rPr>
      <w:rFonts w:ascii="Tahoma" w:hAnsi="Tahoma"/>
      <w:sz w:val="24"/>
      <w:szCs w:val="20"/>
    </w:rPr>
  </w:style>
  <w:style w:type="paragraph" w:customStyle="1" w:styleId="48">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5">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TOC 标题1"/>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8">
    <w:name w:val="列表段落1"/>
    <w:basedOn w:val="1"/>
    <w:qFormat/>
    <w:uiPriority w:val="34"/>
    <w:pPr>
      <w:ind w:firstLine="420" w:firstLineChars="200"/>
    </w:pPr>
  </w:style>
  <w:style w:type="character" w:customStyle="1" w:styleId="59">
    <w:name w:val="oalinshistyle21"/>
    <w:qFormat/>
    <w:uiPriority w:val="0"/>
    <w:rPr>
      <w:rFonts w:hint="default" w:ascii="Arial" w:hAnsi="Arial" w:cs="Arial"/>
      <w:sz w:val="27"/>
      <w:szCs w:val="27"/>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 w:type="character" w:customStyle="1" w:styleId="62">
    <w:name w:val="font01"/>
    <w:basedOn w:val="24"/>
    <w:qFormat/>
    <w:uiPriority w:val="0"/>
    <w:rPr>
      <w:rFonts w:hint="eastAsia" w:ascii="宋体" w:hAnsi="宋体" w:eastAsia="宋体" w:cs="宋体"/>
      <w:color w:val="000000"/>
      <w:sz w:val="22"/>
      <w:szCs w:val="22"/>
      <w:u w:val="none"/>
    </w:rPr>
  </w:style>
  <w:style w:type="character" w:customStyle="1" w:styleId="63">
    <w:name w:val="font11"/>
    <w:basedOn w:val="24"/>
    <w:qFormat/>
    <w:uiPriority w:val="0"/>
    <w:rPr>
      <w:rFonts w:hint="eastAsia" w:ascii="宋体" w:hAnsi="宋体" w:eastAsia="宋体" w:cs="宋体"/>
      <w:color w:val="C00000"/>
      <w:sz w:val="22"/>
      <w:szCs w:val="22"/>
      <w:u w:val="none"/>
    </w:rPr>
  </w:style>
  <w:style w:type="character" w:customStyle="1" w:styleId="64">
    <w:name w:val="font21"/>
    <w:basedOn w:val="24"/>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北京市兰台律师事务所</Company>
  <Pages>70</Pages>
  <Words>7315</Words>
  <Characters>8139</Characters>
  <Lines>1</Lines>
  <Paragraphs>1</Paragraphs>
  <TotalTime>5.33333333333333</TotalTime>
  <ScaleCrop>false</ScaleCrop>
  <LinksUpToDate>false</LinksUpToDate>
  <CharactersWithSpaces>8306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2022-10-15T18:35:00Z</dcterms:created>
  <dc:creator>张通</dc:creator>
  <cp:lastModifiedBy>潇潇</cp:lastModifiedBy>
  <cp:lastPrinted>2026-02-06T08:53:49Z</cp:lastPrinted>
  <dcterms:modified xsi:type="dcterms:W3CDTF">2026-04-02T06:23:47Z</dcterms:modified>
  <dc:title>北京市城管执法机关实施行政处罚裁量权一览表（试行）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B3E7F865982E48A59C542D2CD125ACB1_13</vt:lpwstr>
  </property>
  <property fmtid="{D5CDD505-2E9C-101B-9397-08002B2CF9AE}" pid="4" name="KSOTemplateDocerSaveRecord">
    <vt:lpwstr>eyJoZGlkIjoiY2I5MzA0M2UwNDM0NDk4MzM5ZjU1YTA5NjFlYzRiNTciLCJ1c2VySWQiOiIzNDc1NDk3ODYifQ==</vt:lpwstr>
  </property>
</Properties>
</file>