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167D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6166AD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bookmarkStart w:id="0" w:name="_GoBack"/>
            <w:bookmarkEnd w:id="0"/>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14:paraId="1527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F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D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1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F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7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7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57DF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A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2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4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B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40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5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B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3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7C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57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58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0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986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4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3C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5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F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B2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F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E3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D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5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B8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0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D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29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C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1D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5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28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44D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5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06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B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27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D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E5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6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7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BD7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1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5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5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2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D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409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3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0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4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9D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B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2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6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9B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5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2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EF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44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3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31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1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5C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6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D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0D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B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E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2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CA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47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C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D8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D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C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40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1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B0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6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82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2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DD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341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91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4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3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B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8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2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A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5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0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B6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D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74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E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E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2E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7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8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7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1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79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A4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9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5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1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8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2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01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0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8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B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F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A1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3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C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B05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6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B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BE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258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2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5E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B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A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9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109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C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8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0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D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9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3C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D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2D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5E8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10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D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5D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7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8451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8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6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8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2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D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5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536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B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7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2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0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2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164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E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0F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A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0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6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A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A9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D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A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5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0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4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5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2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E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9C1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5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5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F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DC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6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4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9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0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8F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D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DF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5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C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A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C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72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17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2CA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B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76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7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1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2F6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F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1E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1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D8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5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2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2A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C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5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2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3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8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B4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D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9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B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C2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69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4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A0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1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E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72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7E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2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E24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3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49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F0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8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D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0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3A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B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C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8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703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6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08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A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B47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A9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A6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F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F9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A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C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6E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B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0E8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E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2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A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AB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3B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B5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6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4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C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EE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E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2A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1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070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0A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45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92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96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54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7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F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15B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E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3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4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5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BF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65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4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A6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4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B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1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F3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90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0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A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6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9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5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E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A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0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F4C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A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F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4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0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2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C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5F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F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33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6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0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F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BB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50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4C9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5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B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8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14:paraId="55D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9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9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D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1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FB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AA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E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9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1BB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0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6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A6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F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F7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D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B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0E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9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23B9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5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6A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96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F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9B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5384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7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5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8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F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12B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7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6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7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9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21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B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E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C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F47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F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A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2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01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D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A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E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5D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F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176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6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4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AF5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A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2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D4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9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1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161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4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18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7E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26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41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4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6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72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1D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5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3A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6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3B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95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129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C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F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C96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B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C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4EDC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C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4D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A4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6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D9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1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6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31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4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F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628F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3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1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FF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73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6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10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0F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4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90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9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6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4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E2E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7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F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BA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8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7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0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4E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7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6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B88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8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40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BF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F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7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682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4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7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14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5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4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9E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FD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E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A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7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8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3EE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34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9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04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25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9DA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C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0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D8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2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A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364A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E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9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772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F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8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43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CC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8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275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89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10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4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B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D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1C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14:paraId="44F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C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E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80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7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9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3B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2B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A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4A4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8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70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F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1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60C1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B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1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0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03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15EA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F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B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5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D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86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1449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5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F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E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E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206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EF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5E22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67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3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8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2D6B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3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34C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9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3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0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0AA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7A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7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14:paraId="4FDA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8294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8FD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5FCB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00D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7D4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308A3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F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5F3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DD0CA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7470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0D67D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04B46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34872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25D1E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3097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1541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D5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4A1D7F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1C2E7B4F"/>
    <w:p w14:paraId="6E595B10"/>
    <w:p w14:paraId="0BD4F882"/>
    <w:p w14:paraId="4A3D2054"/>
    <w:p w14:paraId="211BD378"/>
    <w:p w14:paraId="6DCB2872"/>
    <w:p w14:paraId="2A1277E2"/>
    <w:p w14:paraId="09FCC73C"/>
    <w:p w14:paraId="53723776"/>
    <w:p w14:paraId="74AEAFB3"/>
    <w:p w14:paraId="0E7DC12C"/>
    <w:p w14:paraId="2ADC5740">
      <w:pPr>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pPr>
    </w:p>
    <w:p w14:paraId="2CB56AAC"/>
    <w:p w14:paraId="070DDB30"/>
    <w:p w14:paraId="50B25ECE"/>
    <w:p w14:paraId="2068559B"/>
    <w:p w14:paraId="34CAB4FD"/>
    <w:p w14:paraId="7E58159E"/>
    <w:p w14:paraId="15206A27"/>
    <w:p w14:paraId="68EADB75"/>
    <w:p w14:paraId="48206023"/>
    <w:p w14:paraId="7048D617"/>
    <w:p w14:paraId="50E90FB9"/>
    <w:p w14:paraId="085FAD9A"/>
    <w:p w14:paraId="13A06E25"/>
    <w:p w14:paraId="7400B053"/>
    <w:p w14:paraId="43EE4297"/>
    <w:p w14:paraId="5BD9A4D9"/>
    <w:p w14:paraId="18379215"/>
    <w:p w14:paraId="57813424"/>
    <w:p w14:paraId="761B0406"/>
    <w:p w14:paraId="4D84BE75"/>
    <w:p w14:paraId="0E00BE7D"/>
    <w:p w14:paraId="039E3F74"/>
    <w:p w14:paraId="1A9294AB"/>
    <w:p w14:paraId="61C15C85"/>
    <w:p w14:paraId="6ADED829"/>
    <w:p w14:paraId="22386BB6"/>
    <w:p w14:paraId="17FEDC33"/>
    <w:p w14:paraId="30E411B0"/>
    <w:p w14:paraId="4A8CCAD5"/>
    <w:p w14:paraId="6A04A64F"/>
    <w:p w14:paraId="27F1E731"/>
    <w:p w14:paraId="175BF80F">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4lF9UAAAAGAQAADwAAAAAAAAABACAAAAAiAAAAZHJzL2Rvd25yZXYueG1sUEsBAhQAFAAA&#10;AAgAh07iQH3IZnDyAQAA5wMAAA4AAAAAAAAAAQAgAAAAJAEAAGRycy9lMm9Eb2MueG1sUEsFBgAA&#10;AAAGAAYAWQEAAIg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14:paraId="0F5846E5">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3Bu1AAAAAYBAAAPAAAAAAAAAAEAIAAAACIAAABkcnMvZG93bnJldi54bWxQSwECFAAUAAAA&#10;CACHTuJAG3oQiP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SF34bXAAAACAEAAA8AAAAAAAAAAQAgAAAAIgAAAGRycy9kb3ducmV2LnhtbFBLAQIUABQA&#10;AAAIAIdO4kB6FlSh8QEAAOcDAAAOAAAAAAAAAAEAIAAAACYBAABkcnMvZTJvRG9jLnhtbFBLBQYA&#10;AAAABgAGAFkBAACJBQ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F7F078-08DC-42A8-BC5E-107F821939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9217A098-33E2-4375-BFFD-B813C3412C37}"/>
  </w:font>
  <w:font w:name="仿宋_GB2312">
    <w:altName w:val="仿宋"/>
    <w:panose1 w:val="02010609030101010101"/>
    <w:charset w:val="86"/>
    <w:family w:val="modern"/>
    <w:pitch w:val="default"/>
    <w:sig w:usb0="00000000" w:usb1="00000000" w:usb2="00000000" w:usb3="00000000" w:csb0="00040000" w:csb1="00000000"/>
    <w:embedRegular r:id="rId3" w:fontKey="{F8B37C79-A652-4248-BC24-EC42FB9F921F}"/>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1C54DB"/>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39550</Words>
  <Characters>40920</Characters>
  <Lines>35</Lines>
  <Paragraphs>9</Paragraphs>
  <TotalTime>3</TotalTime>
  <ScaleCrop>false</ScaleCrop>
  <LinksUpToDate>false</LinksUpToDate>
  <CharactersWithSpaces>41958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Zona_08</cp:lastModifiedBy>
  <cp:lastPrinted>2021-01-06T03:33:00Z</cp:lastPrinted>
  <dcterms:modified xsi:type="dcterms:W3CDTF">2026-03-11T02:26:33Z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A540111E0F4E4D648A136875208623B3_13</vt:lpwstr>
  </property>
  <property fmtid="{D5CDD505-2E9C-101B-9397-08002B2CF9AE}" pid="4" name="KSOTemplateDocerSaveRecord">
    <vt:lpwstr>eyJoZGlkIjoiMDg2ZTk4YTJjYzBiMzMzZmVmODlkZGZiMDUxOWIxMGIiLCJ1c2VySWQiOiI0MTYwNjIxMTAifQ==</vt:lpwstr>
  </property>
</Properties>
</file>