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08C7C">
      <w:pPr>
        <w:pStyle w:val="4"/>
        <w:spacing w:before="0" w:beforeAutospacing="0" w:after="0" w:afterAutospacing="0" w:line="440" w:lineRule="exact"/>
        <w:ind w:firstLine="643"/>
        <w:jc w:val="center"/>
        <w:rPr>
          <w:b/>
          <w:sz w:val="36"/>
          <w:szCs w:val="36"/>
        </w:rPr>
      </w:pPr>
      <w:r>
        <w:rPr>
          <w:rFonts w:hint="eastAsia"/>
          <w:b/>
          <w:sz w:val="36"/>
          <w:szCs w:val="36"/>
        </w:rPr>
        <w:t>听证标准</w:t>
      </w:r>
    </w:p>
    <w:p w14:paraId="7B6D9516">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《中华人民共和国行政处罚法》第六十三条：行政机关拟作出下列行政处罚决定，应当告知当事人有要求听证的权利，当事人要求听证的，行政机关应当组织听证：</w:t>
      </w:r>
    </w:p>
    <w:p w14:paraId="71C0D46A">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（一）较大数额罚款；（具体金额见下图）</w:t>
      </w:r>
    </w:p>
    <w:p w14:paraId="5057005A">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（二）没收较大数额违法所得、没收较大价值非法财物；</w:t>
      </w:r>
    </w:p>
    <w:p w14:paraId="1676A57D">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（三）降低资质等级、吊销许可证件；</w:t>
      </w:r>
    </w:p>
    <w:p w14:paraId="26E9B3D4">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（四）责令停产停业、责令关闭、限制从业；</w:t>
      </w:r>
    </w:p>
    <w:p w14:paraId="22813CF5">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（五）其他较重的行政处罚；</w:t>
      </w:r>
    </w:p>
    <w:p w14:paraId="4E46E98B">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（六）法律、法规、规章规定的其他情形。</w:t>
      </w:r>
    </w:p>
    <w:p w14:paraId="028CC305">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当事人不承担行政机关组织听证的费用。</w:t>
      </w:r>
    </w:p>
    <w:p w14:paraId="7FF9519B">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《中华人民共和国行政处罚法》第六十四条：听证应当依照以下程序组织：</w:t>
      </w:r>
    </w:p>
    <w:p w14:paraId="233153C7">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（一）当事人要求听证的，应当在行政机关告知后五日内提出；</w:t>
      </w:r>
    </w:p>
    <w:p w14:paraId="52178985">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（二）行政机关应当在举行听证的七日前，通知当事人及有关人员听证的时间、地点；</w:t>
      </w:r>
    </w:p>
    <w:p w14:paraId="5F91F2E5">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（三）除涉及国家秘密、商业秘密或者个人隐私依法予以保密外，听证公开举行；</w:t>
      </w:r>
    </w:p>
    <w:p w14:paraId="7492EA72">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（四）听证由行政机关指定的非本案调查人员主持；当事人认为主持人与本案有直接利害关系的，有权申请回避；</w:t>
      </w:r>
    </w:p>
    <w:p w14:paraId="531D47AB">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（五）当事人可以亲自参加听证，也可以委托一至二人代理；</w:t>
      </w:r>
    </w:p>
    <w:p w14:paraId="61290876">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（六）当事人及其代理人无正当理由拒不出席听证或者未经许可中途退出听证的，视为放弃听证权利，行政机关终止听证；</w:t>
      </w:r>
    </w:p>
    <w:p w14:paraId="6D283394">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（七）举行听证时，调查人员提出当事人违法的事实、证据和行政处罚建议，当事人进行申辩和质证；</w:t>
      </w:r>
    </w:p>
    <w:p w14:paraId="25672528">
      <w:pPr>
        <w:pStyle w:val="4"/>
        <w:spacing w:line="440" w:lineRule="exact"/>
        <w:ind w:firstLine="640"/>
        <w:rPr>
          <w:rFonts w:ascii="仿宋" w:hAnsi="仿宋" w:eastAsia="仿宋"/>
          <w:color w:val="000000"/>
          <w:sz w:val="32"/>
          <w:szCs w:val="32"/>
        </w:rPr>
      </w:pPr>
      <w:r>
        <w:rPr>
          <w:rFonts w:hint="eastAsia" w:ascii="仿宋" w:hAnsi="仿宋" w:eastAsia="仿宋"/>
          <w:color w:val="000000"/>
          <w:sz w:val="32"/>
          <w:szCs w:val="32"/>
        </w:rPr>
        <w:t>（八）听证应当制作笔录。笔录应当交当事人或者其代理人核对无误后签字或者盖章。当事人或者其代理人拒绝签字或者盖章的，由听证主持人在笔录中注明。</w:t>
      </w:r>
    </w:p>
    <w:p w14:paraId="208824F6">
      <w:pPr>
        <w:pStyle w:val="4"/>
        <w:spacing w:before="0" w:beforeAutospacing="0" w:after="0" w:afterAutospacing="0" w:line="440" w:lineRule="exact"/>
        <w:ind w:firstLine="640"/>
        <w:jc w:val="both"/>
        <w:rPr>
          <w:rFonts w:ascii="Calibri" w:hAnsi="Calibri"/>
          <w:sz w:val="21"/>
          <w:szCs w:val="21"/>
        </w:rPr>
      </w:pPr>
      <w:r>
        <w:rPr>
          <w:rFonts w:hint="eastAsia" w:ascii="仿宋" w:hAnsi="仿宋" w:eastAsia="仿宋"/>
          <w:color w:val="000000"/>
          <w:sz w:val="32"/>
          <w:szCs w:val="32"/>
        </w:rPr>
        <w:t>《中华人民共和国行政处罚法》第六十五条：听证结束后，行政机关应当根据听证笔录，依照本法第五十七条的规定，作出决定。</w:t>
      </w:r>
    </w:p>
    <w:p w14:paraId="63923508">
      <w:pPr>
        <w:spacing w:line="440" w:lineRule="exact"/>
      </w:pPr>
    </w:p>
    <w:p w14:paraId="12EFA2D0">
      <w:pPr>
        <w:adjustRightInd w:val="0"/>
        <w:snapToGrid w:val="0"/>
        <w:spacing w:line="44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听证涉案</w:t>
      </w:r>
      <w:r>
        <w:rPr>
          <w:rFonts w:ascii="仿宋_GB2312" w:hAnsi="仿宋_GB2312" w:eastAsia="仿宋_GB2312" w:cs="仿宋_GB2312"/>
          <w:b/>
          <w:sz w:val="32"/>
          <w:szCs w:val="32"/>
        </w:rPr>
        <w:t>额标准目录</w:t>
      </w:r>
    </w:p>
    <w:tbl>
      <w:tblPr>
        <w:tblStyle w:val="6"/>
        <w:tblpPr w:leftFromText="180" w:rightFromText="180" w:vertAnchor="text" w:horzAnchor="page" w:tblpX="1838" w:tblpY="323"/>
        <w:tblOverlap w:val="never"/>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3428"/>
        <w:gridCol w:w="2835"/>
      </w:tblGrid>
      <w:tr w14:paraId="401C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63D018DF">
            <w:pPr>
              <w:widowControl/>
              <w:adjustRightInd w:val="0"/>
              <w:snapToGrid w:val="0"/>
              <w:spacing w:line="440" w:lineRule="exact"/>
              <w:ind w:firstLine="562" w:firstLineChars="200"/>
              <w:textAlignment w:val="center"/>
              <w:rPr>
                <w:rFonts w:ascii="宋体" w:hAnsi="宋体" w:eastAsia="宋体" w:cs="宋体"/>
                <w:b/>
                <w:kern w:val="0"/>
                <w:sz w:val="28"/>
                <w:szCs w:val="28"/>
              </w:rPr>
            </w:pPr>
            <w:r>
              <w:rPr>
                <w:rFonts w:hint="eastAsia" w:ascii="宋体" w:hAnsi="宋体" w:eastAsia="宋体" w:cs="宋体"/>
                <w:b/>
                <w:kern w:val="0"/>
                <w:sz w:val="28"/>
                <w:szCs w:val="28"/>
              </w:rPr>
              <w:t>行业领域</w:t>
            </w:r>
          </w:p>
        </w:tc>
        <w:tc>
          <w:tcPr>
            <w:tcW w:w="3428" w:type="dxa"/>
            <w:vAlign w:val="center"/>
          </w:tcPr>
          <w:p w14:paraId="4BED750D">
            <w:pPr>
              <w:widowControl/>
              <w:adjustRightInd w:val="0"/>
              <w:snapToGrid w:val="0"/>
              <w:spacing w:line="440" w:lineRule="exact"/>
              <w:ind w:firstLine="562" w:firstLineChars="200"/>
              <w:textAlignment w:val="center"/>
              <w:rPr>
                <w:rFonts w:ascii="宋体" w:hAnsi="宋体" w:eastAsia="宋体" w:cs="宋体"/>
                <w:b/>
                <w:kern w:val="0"/>
                <w:sz w:val="28"/>
                <w:szCs w:val="28"/>
              </w:rPr>
            </w:pPr>
            <w:r>
              <w:rPr>
                <w:rFonts w:hint="eastAsia" w:ascii="宋体" w:hAnsi="宋体" w:eastAsia="宋体" w:cs="宋体"/>
                <w:b/>
                <w:kern w:val="0"/>
                <w:sz w:val="28"/>
                <w:szCs w:val="28"/>
              </w:rPr>
              <w:t>涉及个人额度</w:t>
            </w:r>
          </w:p>
        </w:tc>
        <w:tc>
          <w:tcPr>
            <w:tcW w:w="2835" w:type="dxa"/>
            <w:vAlign w:val="center"/>
          </w:tcPr>
          <w:p w14:paraId="7CDDCDF6">
            <w:pPr>
              <w:widowControl/>
              <w:adjustRightInd w:val="0"/>
              <w:snapToGrid w:val="0"/>
              <w:spacing w:line="440" w:lineRule="exact"/>
              <w:textAlignment w:val="center"/>
              <w:rPr>
                <w:rFonts w:ascii="宋体" w:hAnsi="宋体" w:eastAsia="宋体" w:cs="宋体"/>
                <w:b/>
                <w:kern w:val="0"/>
                <w:sz w:val="28"/>
                <w:szCs w:val="28"/>
              </w:rPr>
            </w:pPr>
            <w:r>
              <w:rPr>
                <w:rFonts w:hint="eastAsia" w:ascii="宋体" w:hAnsi="宋体" w:eastAsia="宋体" w:cs="宋体"/>
                <w:b/>
                <w:kern w:val="0"/>
                <w:sz w:val="28"/>
                <w:szCs w:val="28"/>
              </w:rPr>
              <w:t>涉及单位组织额度</w:t>
            </w:r>
          </w:p>
        </w:tc>
      </w:tr>
      <w:tr w14:paraId="1FD7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4D6C366B">
            <w:pPr>
              <w:widowControl/>
              <w:adjustRightInd w:val="0"/>
              <w:snapToGrid w:val="0"/>
              <w:spacing w:line="440" w:lineRule="exact"/>
              <w:ind w:firstLine="480" w:firstLineChars="200"/>
              <w:textAlignment w:val="center"/>
              <w:rPr>
                <w:rFonts w:ascii="宋体" w:hAnsi="宋体" w:eastAsia="宋体" w:cs="宋体"/>
                <w:kern w:val="0"/>
                <w:sz w:val="24"/>
                <w:szCs w:val="24"/>
              </w:rPr>
            </w:pPr>
            <w:r>
              <w:rPr>
                <w:rFonts w:hint="eastAsia" w:ascii="宋体" w:hAnsi="宋体" w:eastAsia="宋体" w:cs="宋体"/>
                <w:kern w:val="0"/>
                <w:sz w:val="24"/>
                <w:szCs w:val="24"/>
              </w:rPr>
              <w:t>城管</w:t>
            </w:r>
          </w:p>
        </w:tc>
        <w:tc>
          <w:tcPr>
            <w:tcW w:w="3428" w:type="dxa"/>
            <w:vAlign w:val="center"/>
          </w:tcPr>
          <w:p w14:paraId="51AF5428">
            <w:pPr>
              <w:widowControl/>
              <w:adjustRightInd w:val="0"/>
              <w:snapToGrid w:val="0"/>
              <w:spacing w:line="440" w:lineRule="exact"/>
              <w:ind w:firstLine="480" w:firstLineChars="200"/>
              <w:textAlignment w:val="center"/>
              <w:rPr>
                <w:rFonts w:ascii="宋体" w:hAnsi="宋体" w:eastAsia="宋体" w:cs="宋体"/>
                <w:kern w:val="0"/>
                <w:sz w:val="24"/>
                <w:szCs w:val="24"/>
              </w:rPr>
            </w:pPr>
            <w:r>
              <w:rPr>
                <w:rFonts w:hint="eastAsia" w:ascii="宋体" w:hAnsi="宋体" w:eastAsia="宋体" w:cs="宋体"/>
                <w:kern w:val="0"/>
                <w:sz w:val="24"/>
                <w:szCs w:val="24"/>
              </w:rPr>
              <w:t>5000元以上（不含）</w:t>
            </w:r>
          </w:p>
        </w:tc>
        <w:tc>
          <w:tcPr>
            <w:tcW w:w="2835" w:type="dxa"/>
            <w:vAlign w:val="center"/>
          </w:tcPr>
          <w:p w14:paraId="0EE10C15">
            <w:pPr>
              <w:widowControl/>
              <w:adjustRightInd w:val="0"/>
              <w:snapToGrid w:val="0"/>
              <w:spacing w:line="440" w:lineRule="exact"/>
              <w:ind w:firstLine="480" w:firstLineChars="200"/>
              <w:textAlignment w:val="center"/>
              <w:rPr>
                <w:rFonts w:ascii="宋体" w:hAnsi="宋体" w:eastAsia="宋体" w:cs="宋体"/>
                <w:kern w:val="0"/>
                <w:sz w:val="24"/>
                <w:szCs w:val="24"/>
              </w:rPr>
            </w:pPr>
            <w:r>
              <w:rPr>
                <w:rFonts w:hint="eastAsia" w:ascii="宋体" w:hAnsi="宋体" w:eastAsia="宋体" w:cs="宋体"/>
                <w:kern w:val="0"/>
                <w:sz w:val="24"/>
                <w:szCs w:val="24"/>
              </w:rPr>
              <w:t>50000元以上（不含）</w:t>
            </w:r>
          </w:p>
        </w:tc>
      </w:tr>
    </w:tbl>
    <w:p w14:paraId="4DEF3918">
      <w:pPr>
        <w:spacing w:line="440" w:lineRule="exac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913A0"/>
    <w:rsid w:val="00141A49"/>
    <w:rsid w:val="00165C14"/>
    <w:rsid w:val="002A3C81"/>
    <w:rsid w:val="002E1962"/>
    <w:rsid w:val="003913A0"/>
    <w:rsid w:val="004443A6"/>
    <w:rsid w:val="004B1755"/>
    <w:rsid w:val="006347E0"/>
    <w:rsid w:val="007513DB"/>
    <w:rsid w:val="00851BF2"/>
    <w:rsid w:val="00991075"/>
    <w:rsid w:val="009B504C"/>
    <w:rsid w:val="00E0593B"/>
    <w:rsid w:val="23065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semiHidden/>
    <w:unhideWhenUsed/>
    <w:uiPriority w:val="99"/>
    <w:rPr>
      <w:color w:val="333333"/>
      <w:u w:val="none"/>
    </w:rPr>
  </w:style>
  <w:style w:type="character" w:customStyle="1" w:styleId="9">
    <w:name w:val="页眉 Char"/>
    <w:basedOn w:val="7"/>
    <w:link w:val="3"/>
    <w:uiPriority w:val="99"/>
    <w:rPr>
      <w:sz w:val="18"/>
      <w:szCs w:val="18"/>
    </w:rPr>
  </w:style>
  <w:style w:type="character" w:customStyle="1" w:styleId="10">
    <w:name w:val="页脚 Char"/>
    <w:basedOn w:val="7"/>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764</Words>
  <Characters>803</Characters>
  <Lines>6</Lines>
  <Paragraphs>1</Paragraphs>
  <TotalTime>13</TotalTime>
  <ScaleCrop>false</ScaleCrop>
  <LinksUpToDate>false</LinksUpToDate>
  <CharactersWithSpaces>803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2021-09-15T09:34:00Z</dcterms:created>
  <dc:creator>mjp</dc:creator>
  <cp:lastModifiedBy>王子豪</cp:lastModifiedBy>
  <dcterms:modified xsi:type="dcterms:W3CDTF">2026-07-09T03:21:17Z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eyJoZGlkIjoiOTU3YTY3NzAxMDk5M2E3MzVkMzdmMGI1Y2RiNjE4YTUiLCJ1c2VySWQiOiIxNjY5MTg4NzUxIn0=</vt:lpwstr>
  </property>
  <property fmtid="{D5CDD505-2E9C-101B-9397-08002B2CF9AE}" pid="3" name="KSOProductBuildVer">
    <vt:lpwstr>2052-12.1.0.19770</vt:lpwstr>
  </property>
  <property fmtid="{D5CDD505-2E9C-101B-9397-08002B2CF9AE}" pid="4" name="ICV">
    <vt:lpwstr>41DC2B6D539F472595E8D837FE73A04F_12</vt:lpwstr>
  </property>
</Properties>
</file>