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一、行政执法主体名称名称和数量情况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本部门行政执法主体1家，名称为北京市丰台区人民政府云岗街道办事处。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二、执法岗位设置及执法人员在岗情况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云岗街道综合行政执法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A岗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人，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人均在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综合综合行政执法队。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三、执法力量投入情况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年，云岗街道严格执行年度各项执法检查计划。组织各类执法检查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 w:eastAsia="zh-CN"/>
        </w:rPr>
        <w:t>1355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余次，出动执法人员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 w:eastAsia="zh-CN"/>
        </w:rPr>
        <w:t>2710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余人次。人均检查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人次。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政务服务事项办理情况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云岗街道78项服务事项全部进驻政务服务中心，大厅内设1个综合咨询窗口、6个综合窗口和1个专业窗口，工作人员14名。2025年街道政务服务大厅各窗口共受理行政审批事项和服务事项10664件，咨询次数累计9823次，办结通过10643件，办结率达99.8%，日均办件43件，日均接待群众80人次。群众满意率100%，全年未出现一例投诉情况。及时公开公示相关信息；行政处罚、强制等相关政务服务事项及时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五、行政检查计划执行情况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202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年，云岗街道严格执行年度各项执法检查计划，完成城乡规划管理方面、工商行政管理方面、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eastAsia="zh-CN"/>
        </w:rPr>
        <w:t>能源运行管理方面、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停车场管理方面、园林绿化管理方面、施工现场管理方面、环境保护管理方面、市政管理方面、市容环境卫生方面、公用事业管理方面等方面的执法检查，违法行为实施检查率达100%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eastAsia="zh-CN"/>
        </w:rPr>
        <w:t>，对同一企业实施入企检查年度频次上限为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eastAsia="zh-CN"/>
        </w:rPr>
        <w:t>次/年</w:t>
      </w:r>
      <w:bookmarkStart w:id="2" w:name="_GoBack"/>
      <w:bookmarkEnd w:id="2"/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。组织各类专项检查方面：生活垃圾分类检查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 w:eastAsia="zh-CN"/>
        </w:rPr>
        <w:t>54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家次，燃气餐饮企业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 w:eastAsia="zh-CN"/>
        </w:rPr>
        <w:t>75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家次，街面牌匾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 w:eastAsia="zh-CN"/>
        </w:rPr>
        <w:t>32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家次，施工现场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家次，立案处罚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  <w:lang w:val="en-US"/>
        </w:rPr>
        <w:t>93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六、行政处罚、行政强制等案件的办理情况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</w:rPr>
        <w:t>全年案件立案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lang w:val="en-US"/>
        </w:rPr>
        <w:t>93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</w:rPr>
        <w:t>件，审结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lang w:val="en-US"/>
        </w:rPr>
        <w:t>93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</w:rPr>
        <w:t>件，罚款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lang w:val="en-US"/>
        </w:rPr>
        <w:t>360453.21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</w:rPr>
        <w:t>元。其中：不予行政处罚案件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lang w:val="en-US"/>
        </w:rPr>
        <w:t>36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</w:rPr>
        <w:t>件，撤销立案0件。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七、投诉、举报案件的受理和分类办理情况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</w:rPr>
      </w:pPr>
      <w:bookmarkStart w:id="0" w:name="OLE_LINK2"/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针对每个诉求件认真分析,高度重视，第一时间联系诉求人，第一时间出现场办理。</w:t>
      </w:r>
      <w:bookmarkStart w:id="1" w:name="OLE_LINK1"/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202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  <w:lang w:val="en-US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年度综合行政执法队共接到各类举报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360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件，举报“响应率”100%，“解决率”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96.58%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，“满意率”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96.32%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，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highlight w:val="none"/>
          <w:u w:val="none"/>
          <w:shd w:val="clear" w:color="auto" w:fill="FFFFFF"/>
        </w:rPr>
        <w:t>反映的问题主要集中在施工噪音、生活垃圾分类、违法建设等方面。</w:t>
      </w:r>
    </w:p>
    <w:bookmarkEnd w:id="1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八、行政执法机关认为需要公示的其他情况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color="auto" w:fill="FFFFFF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C683"/>
    <w:multiLevelType w:val="singleLevel"/>
    <w:tmpl w:val="5450C6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4454"/>
    <w:rsid w:val="0DC1467A"/>
    <w:rsid w:val="2A4A6D60"/>
    <w:rsid w:val="2A9A5574"/>
    <w:rsid w:val="302F391C"/>
    <w:rsid w:val="40884A5D"/>
    <w:rsid w:val="64D305FA"/>
    <w:rsid w:val="64E55F16"/>
    <w:rsid w:val="690F36DB"/>
    <w:rsid w:val="7C30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634</Characters>
  <Paragraphs>17</Paragraphs>
  <TotalTime>95</TotalTime>
  <ScaleCrop>false</ScaleCrop>
  <LinksUpToDate>false</LinksUpToDate>
  <CharactersWithSpaces>652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2022-01-15T08:32:00Z</dcterms:created>
  <dc:creator>DELL</dc:creator>
  <cp:lastModifiedBy>ftqxtb</cp:lastModifiedBy>
  <dcterms:modified xsi:type="dcterms:W3CDTF">2026-02-11T01:11:31Z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f10bbf61c4c7481b9db61266c77f091b_23</vt:lpwstr>
  </property>
</Properties>
</file>