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E1" w:rsidRPr="002362A5" w:rsidRDefault="00DB28E1" w:rsidP="00DB28E1">
      <w:pPr>
        <w:rPr>
          <w:rFonts w:ascii="黑体" w:eastAsia="黑体" w:hAnsi="黑体"/>
          <w:sz w:val="32"/>
          <w:szCs w:val="32"/>
          <w:lang w:eastAsia="zh-CN"/>
        </w:rPr>
      </w:pPr>
    </w:p>
    <w:p w:rsidR="00DB28E1" w:rsidRDefault="00DB28E1" w:rsidP="00DB28E1">
      <w:pPr>
        <w:adjustRightInd w:val="0"/>
        <w:snapToGrid w:val="0"/>
        <w:spacing w:line="600" w:lineRule="exact"/>
        <w:jc w:val="center"/>
        <w:rPr>
          <w:rFonts w:ascii="方正小标宋简体" w:eastAsia="方正小标宋简体" w:hAnsi="黑体" w:hint="eastAsia"/>
          <w:sz w:val="44"/>
          <w:szCs w:val="44"/>
          <w:lang w:eastAsia="zh-CN"/>
        </w:rPr>
      </w:pPr>
      <w:r>
        <w:rPr>
          <w:rFonts w:ascii="方正小标宋简体" w:eastAsia="方正小标宋简体" w:hAnsi="黑体" w:hint="eastAsia"/>
          <w:sz w:val="44"/>
          <w:szCs w:val="44"/>
          <w:lang w:eastAsia="zh-CN"/>
        </w:rPr>
        <w:t>丰台</w:t>
      </w:r>
      <w:r w:rsidRPr="0030031D">
        <w:rPr>
          <w:rFonts w:ascii="方正小标宋简体" w:eastAsia="方正小标宋简体" w:hAnsi="黑体" w:hint="eastAsia"/>
          <w:sz w:val="44"/>
          <w:szCs w:val="44"/>
        </w:rPr>
        <w:t>区应急管理局</w:t>
      </w:r>
    </w:p>
    <w:p w:rsidR="00DB28E1" w:rsidRPr="0030031D" w:rsidRDefault="00DB28E1" w:rsidP="00DB28E1">
      <w:pPr>
        <w:adjustRightInd w:val="0"/>
        <w:snapToGrid w:val="0"/>
        <w:spacing w:line="600" w:lineRule="exact"/>
        <w:jc w:val="center"/>
        <w:rPr>
          <w:rFonts w:ascii="方正小标宋简体" w:eastAsia="方正小标宋简体" w:hAnsi="黑体"/>
          <w:sz w:val="44"/>
          <w:szCs w:val="44"/>
        </w:rPr>
      </w:pPr>
      <w:bookmarkStart w:id="0" w:name="_GoBack"/>
      <w:r w:rsidRPr="0030031D">
        <w:rPr>
          <w:rFonts w:ascii="方正小标宋简体" w:eastAsia="方正小标宋简体" w:hAnsi="黑体" w:hint="eastAsia"/>
          <w:sz w:val="44"/>
          <w:szCs w:val="44"/>
        </w:rPr>
        <w:t>重大行政执法决定事项目录</w:t>
      </w:r>
    </w:p>
    <w:bookmarkEnd w:id="0"/>
    <w:p w:rsidR="00DB28E1" w:rsidRDefault="00DB28E1" w:rsidP="00DB28E1">
      <w:pPr>
        <w:adjustRightInd w:val="0"/>
        <w:snapToGrid w:val="0"/>
        <w:spacing w:line="600" w:lineRule="exact"/>
        <w:ind w:firstLineChars="200" w:firstLine="640"/>
        <w:rPr>
          <w:rFonts w:ascii="黑体" w:eastAsia="黑体" w:hAnsi="黑体"/>
          <w:color w:val="FF0000"/>
          <w:sz w:val="32"/>
          <w:szCs w:val="32"/>
        </w:rPr>
      </w:pPr>
    </w:p>
    <w:p w:rsidR="00DB28E1" w:rsidRPr="00377FA0" w:rsidRDefault="00DB28E1" w:rsidP="00DB28E1">
      <w:pPr>
        <w:adjustRightInd w:val="0"/>
        <w:snapToGrid w:val="0"/>
        <w:spacing w:line="560" w:lineRule="exact"/>
        <w:ind w:firstLineChars="200" w:firstLine="640"/>
        <w:rPr>
          <w:rFonts w:ascii="黑体" w:eastAsia="黑体" w:hAnsi="黑体"/>
          <w:sz w:val="32"/>
          <w:szCs w:val="32"/>
        </w:rPr>
      </w:pPr>
      <w:r w:rsidRPr="00377FA0">
        <w:rPr>
          <w:rFonts w:ascii="黑体" w:eastAsia="黑体" w:hAnsi="黑体" w:hint="eastAsia"/>
          <w:sz w:val="32"/>
          <w:szCs w:val="32"/>
        </w:rPr>
        <w:t>一、行政许可类</w:t>
      </w:r>
    </w:p>
    <w:p w:rsidR="00DB28E1" w:rsidRDefault="00DB28E1" w:rsidP="00DB28E1">
      <w:pPr>
        <w:adjustRightInd w:val="0"/>
        <w:snapToGrid w:val="0"/>
        <w:spacing w:line="560" w:lineRule="exact"/>
        <w:ind w:firstLineChars="200" w:firstLine="640"/>
        <w:rPr>
          <w:rFonts w:ascii="仿宋_GB2312" w:eastAsia="仿宋_GB2312"/>
          <w:sz w:val="32"/>
          <w:szCs w:val="32"/>
          <w:lang w:eastAsia="zh-CN"/>
        </w:rPr>
      </w:pPr>
      <w:r w:rsidRPr="00377FA0">
        <w:rPr>
          <w:rFonts w:ascii="仿宋_GB2312" w:eastAsia="仿宋_GB2312" w:hint="eastAsia"/>
          <w:sz w:val="32"/>
          <w:szCs w:val="32"/>
        </w:rPr>
        <w:t>（一）经过听证</w:t>
      </w:r>
      <w:r>
        <w:rPr>
          <w:rFonts w:ascii="仿宋_GB2312" w:eastAsia="仿宋_GB2312" w:hint="eastAsia"/>
          <w:sz w:val="32"/>
          <w:szCs w:val="32"/>
          <w:lang w:eastAsia="zh-CN"/>
        </w:rPr>
        <w:t>程序</w:t>
      </w:r>
      <w:proofErr w:type="gramStart"/>
      <w:r w:rsidRPr="00377FA0">
        <w:rPr>
          <w:rFonts w:ascii="仿宋_GB2312" w:eastAsia="仿宋_GB2312" w:hint="eastAsia"/>
          <w:sz w:val="32"/>
          <w:szCs w:val="32"/>
        </w:rPr>
        <w:t>作出</w:t>
      </w:r>
      <w:proofErr w:type="gramEnd"/>
      <w:r w:rsidRPr="00377FA0">
        <w:rPr>
          <w:rFonts w:ascii="仿宋_GB2312" w:eastAsia="仿宋_GB2312" w:hint="eastAsia"/>
          <w:sz w:val="32"/>
          <w:szCs w:val="32"/>
        </w:rPr>
        <w:t>的行政许可决定；</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（二）可能造成重大社会影响、引发社会风险的行政许可决定；</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（三）撤回或者撤销行政许可的决定；</w:t>
      </w:r>
    </w:p>
    <w:p w:rsidR="00DB28E1" w:rsidRPr="00377FA0" w:rsidRDefault="00DB28E1" w:rsidP="00DB28E1">
      <w:pPr>
        <w:adjustRightInd w:val="0"/>
        <w:snapToGrid w:val="0"/>
        <w:spacing w:line="560" w:lineRule="exact"/>
        <w:ind w:firstLineChars="200" w:firstLine="640"/>
        <w:rPr>
          <w:rFonts w:ascii="仿宋_GB2312" w:eastAsia="仿宋_GB2312"/>
          <w:sz w:val="32"/>
          <w:szCs w:val="32"/>
        </w:rPr>
      </w:pPr>
      <w:r w:rsidRPr="00377FA0">
        <w:rPr>
          <w:rFonts w:ascii="仿宋_GB2312" w:eastAsia="仿宋_GB2312" w:hint="eastAsia"/>
          <w:sz w:val="32"/>
          <w:szCs w:val="32"/>
        </w:rPr>
        <w:t>（</w:t>
      </w:r>
      <w:r>
        <w:rPr>
          <w:rFonts w:ascii="仿宋_GB2312" w:eastAsia="仿宋_GB2312" w:hint="eastAsia"/>
          <w:sz w:val="32"/>
          <w:szCs w:val="32"/>
          <w:lang w:eastAsia="zh-CN"/>
        </w:rPr>
        <w:t>四</w:t>
      </w:r>
      <w:r w:rsidRPr="00377FA0">
        <w:rPr>
          <w:rFonts w:ascii="仿宋_GB2312" w:eastAsia="仿宋_GB2312" w:hint="eastAsia"/>
          <w:sz w:val="32"/>
          <w:szCs w:val="32"/>
        </w:rPr>
        <w:t>）</w:t>
      </w:r>
      <w:r>
        <w:rPr>
          <w:rFonts w:ascii="仿宋_GB2312" w:eastAsia="仿宋_GB2312" w:hint="eastAsia"/>
          <w:sz w:val="32"/>
          <w:szCs w:val="32"/>
        </w:rPr>
        <w:t>本单位</w:t>
      </w:r>
      <w:r w:rsidRPr="00377FA0">
        <w:rPr>
          <w:rFonts w:ascii="仿宋_GB2312" w:eastAsia="仿宋_GB2312" w:hint="eastAsia"/>
          <w:sz w:val="32"/>
          <w:szCs w:val="32"/>
        </w:rPr>
        <w:t xml:space="preserve">认为属于重大的其他行政许可决定。 </w:t>
      </w:r>
    </w:p>
    <w:p w:rsidR="00DB28E1" w:rsidRDefault="00DB28E1" w:rsidP="00DB28E1">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二、行政处罚类</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（一）涉及重大公共利益的行政处罚决定；</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二）责令停产停业整顿、责令停产停业、限制从业、降低资质等级、吊销许可证件、没收较大数额违法所得、没收较大价值非法财物或者对公民处以2万元以上的罚款、对法人或者其他组织处以5万元以上的罚款等直接关系当事人或者第三人重大权益，经过听证程序的行政处罚决定；</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（三）案件情况疑难复杂、涉及多个法律关系的行政处罚决定；</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（四）法律、法规规定应当进行法制审核的其他行政处罚决定；</w:t>
      </w:r>
    </w:p>
    <w:p w:rsidR="00DB28E1" w:rsidRPr="001A6F73" w:rsidRDefault="00DB28E1" w:rsidP="00DB28E1">
      <w:pPr>
        <w:suppressAutoHyphens w:val="0"/>
        <w:adjustRightInd w:val="0"/>
        <w:snapToGrid w:val="0"/>
        <w:spacing w:line="560" w:lineRule="exact"/>
        <w:ind w:firstLineChars="200" w:firstLine="640"/>
        <w:rPr>
          <w:rFonts w:ascii="仿宋_GB2312" w:eastAsia="仿宋_GB2312" w:hAnsi="Calibri"/>
          <w:color w:val="0D0D0D"/>
          <w:kern w:val="2"/>
          <w:sz w:val="32"/>
          <w:szCs w:val="32"/>
          <w:lang w:eastAsia="zh-CN"/>
        </w:rPr>
      </w:pPr>
      <w:r w:rsidRPr="001A6F73">
        <w:rPr>
          <w:rFonts w:ascii="仿宋_GB2312" w:eastAsia="仿宋_GB2312" w:hAnsi="Calibri" w:hint="eastAsia"/>
          <w:color w:val="0D0D0D"/>
          <w:kern w:val="2"/>
          <w:sz w:val="32"/>
          <w:szCs w:val="32"/>
          <w:lang w:eastAsia="zh-CN"/>
        </w:rPr>
        <w:t>（五）本单位认为重大的其他行政处罚决定。</w:t>
      </w:r>
    </w:p>
    <w:p w:rsidR="00DB28E1" w:rsidRPr="00377FA0" w:rsidRDefault="00DB28E1" w:rsidP="00DB28E1">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三、</w:t>
      </w:r>
      <w:r w:rsidRPr="00377FA0">
        <w:rPr>
          <w:rFonts w:ascii="黑体" w:eastAsia="黑体" w:hAnsi="黑体" w:hint="eastAsia"/>
          <w:sz w:val="32"/>
          <w:szCs w:val="32"/>
        </w:rPr>
        <w:t>行政征用类</w:t>
      </w:r>
    </w:p>
    <w:p w:rsidR="00DB28E1" w:rsidRPr="00377FA0" w:rsidRDefault="00DB28E1" w:rsidP="00DB28E1">
      <w:pPr>
        <w:adjustRightInd w:val="0"/>
        <w:snapToGrid w:val="0"/>
        <w:spacing w:line="560" w:lineRule="exact"/>
        <w:ind w:firstLineChars="200" w:firstLine="640"/>
        <w:rPr>
          <w:rFonts w:ascii="仿宋_GB2312" w:eastAsia="仿宋_GB2312"/>
          <w:sz w:val="32"/>
          <w:szCs w:val="32"/>
        </w:rPr>
      </w:pPr>
      <w:r w:rsidRPr="00377FA0">
        <w:rPr>
          <w:rFonts w:ascii="仿宋_GB2312" w:eastAsia="仿宋_GB2312" w:hint="eastAsia"/>
          <w:sz w:val="32"/>
          <w:szCs w:val="32"/>
        </w:rPr>
        <w:t>（一）征用车辆、设施、设备等合法财产的决定；</w:t>
      </w:r>
    </w:p>
    <w:p w:rsidR="00DB28E1" w:rsidRPr="00377FA0" w:rsidRDefault="00DB28E1" w:rsidP="00DB28E1">
      <w:pPr>
        <w:adjustRightInd w:val="0"/>
        <w:snapToGrid w:val="0"/>
        <w:spacing w:line="560" w:lineRule="exact"/>
        <w:ind w:firstLineChars="200" w:firstLine="640"/>
        <w:rPr>
          <w:rFonts w:ascii="仿宋_GB2312" w:eastAsia="仿宋_GB2312"/>
          <w:sz w:val="32"/>
          <w:szCs w:val="32"/>
        </w:rPr>
      </w:pPr>
      <w:r w:rsidRPr="00377FA0">
        <w:rPr>
          <w:rFonts w:ascii="仿宋_GB2312" w:eastAsia="仿宋_GB2312" w:hint="eastAsia"/>
          <w:sz w:val="32"/>
          <w:szCs w:val="32"/>
        </w:rPr>
        <w:lastRenderedPageBreak/>
        <w:t>（二）</w:t>
      </w:r>
      <w:r>
        <w:rPr>
          <w:rFonts w:ascii="仿宋_GB2312" w:eastAsia="仿宋_GB2312" w:hint="eastAsia"/>
          <w:sz w:val="32"/>
          <w:szCs w:val="32"/>
        </w:rPr>
        <w:t>本单位</w:t>
      </w:r>
      <w:r w:rsidRPr="00377FA0">
        <w:rPr>
          <w:rFonts w:ascii="仿宋_GB2312" w:eastAsia="仿宋_GB2312" w:hint="eastAsia"/>
          <w:sz w:val="32"/>
          <w:szCs w:val="32"/>
        </w:rPr>
        <w:t>认为属于重大的其他行政征用决定。</w:t>
      </w:r>
    </w:p>
    <w:p w:rsidR="00DB28E1" w:rsidRPr="00377FA0" w:rsidRDefault="00DB28E1" w:rsidP="00DB28E1">
      <w:pPr>
        <w:adjustRightInd w:val="0"/>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四、</w:t>
      </w:r>
      <w:r w:rsidRPr="00F775B9">
        <w:rPr>
          <w:rFonts w:ascii="仿宋" w:eastAsia="仿宋" w:hAnsi="仿宋" w:hint="eastAsia"/>
          <w:sz w:val="32"/>
          <w:szCs w:val="32"/>
        </w:rPr>
        <w:t>本单位</w:t>
      </w:r>
      <w:r w:rsidRPr="00377FA0">
        <w:rPr>
          <w:rFonts w:ascii="仿宋_GB2312" w:eastAsia="仿宋_GB2312" w:hint="eastAsia"/>
          <w:sz w:val="32"/>
          <w:szCs w:val="32"/>
        </w:rPr>
        <w:t>向同级公安机关移送涉嫌犯罪案件或者向监察机关移送涉嫌职务违法、职务犯罪案件的决定。</w:t>
      </w:r>
    </w:p>
    <w:p w:rsidR="00DB28E1" w:rsidRDefault="00DB28E1" w:rsidP="00DB28E1">
      <w:pPr>
        <w:adjustRightInd w:val="0"/>
        <w:snapToGrid w:val="0"/>
        <w:spacing w:line="560" w:lineRule="exact"/>
        <w:ind w:firstLineChars="200" w:firstLine="640"/>
        <w:rPr>
          <w:rFonts w:ascii="仿宋_GB2312" w:eastAsia="仿宋_GB2312"/>
          <w:sz w:val="32"/>
          <w:szCs w:val="32"/>
          <w:lang w:eastAsia="zh-CN"/>
        </w:rPr>
      </w:pPr>
      <w:r>
        <w:rPr>
          <w:rFonts w:ascii="黑体" w:eastAsia="黑体" w:hAnsi="黑体" w:hint="eastAsia"/>
          <w:sz w:val="32"/>
          <w:szCs w:val="32"/>
        </w:rPr>
        <w:t>五、</w:t>
      </w:r>
      <w:r w:rsidRPr="00377FA0">
        <w:rPr>
          <w:rFonts w:ascii="仿宋_GB2312" w:eastAsia="仿宋_GB2312" w:hint="eastAsia"/>
          <w:sz w:val="32"/>
          <w:szCs w:val="32"/>
        </w:rPr>
        <w:t>法律法规规章对行政给付</w:t>
      </w:r>
      <w:r>
        <w:rPr>
          <w:rFonts w:ascii="仿宋_GB2312" w:eastAsia="仿宋_GB2312" w:hint="eastAsia"/>
          <w:sz w:val="32"/>
          <w:szCs w:val="32"/>
          <w:lang w:eastAsia="zh-CN"/>
        </w:rPr>
        <w:t>、行政奖励</w:t>
      </w:r>
      <w:r w:rsidRPr="00377FA0">
        <w:rPr>
          <w:rFonts w:ascii="仿宋_GB2312" w:eastAsia="仿宋_GB2312" w:hint="eastAsia"/>
          <w:sz w:val="32"/>
          <w:szCs w:val="32"/>
        </w:rPr>
        <w:t>等重大行政执法决定的范围有明确规定的，按照有关规定执行。</w:t>
      </w:r>
    </w:p>
    <w:p w:rsidR="00DB28E1" w:rsidRDefault="00DB28E1" w:rsidP="00DB28E1">
      <w:pPr>
        <w:spacing w:line="560" w:lineRule="exact"/>
        <w:rPr>
          <w:rFonts w:ascii="黑体" w:eastAsia="黑体" w:hAnsi="黑体" w:hint="eastAsia"/>
          <w:color w:val="0D0D0D"/>
          <w:sz w:val="32"/>
          <w:szCs w:val="32"/>
          <w:lang w:eastAsia="zh-CN"/>
        </w:rPr>
      </w:pPr>
    </w:p>
    <w:p w:rsidR="002000D3" w:rsidRPr="00DB28E1" w:rsidRDefault="002000D3"/>
    <w:sectPr w:rsidR="002000D3" w:rsidRPr="00DB2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89" w:rsidRDefault="002A1489" w:rsidP="00DB28E1">
      <w:r>
        <w:separator/>
      </w:r>
    </w:p>
  </w:endnote>
  <w:endnote w:type="continuationSeparator" w:id="0">
    <w:p w:rsidR="002A1489" w:rsidRDefault="002A1489" w:rsidP="00DB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89" w:rsidRDefault="002A1489" w:rsidP="00DB28E1">
      <w:r>
        <w:separator/>
      </w:r>
    </w:p>
  </w:footnote>
  <w:footnote w:type="continuationSeparator" w:id="0">
    <w:p w:rsidR="002A1489" w:rsidRDefault="002A1489" w:rsidP="00DB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CF"/>
    <w:rsid w:val="002000D3"/>
    <w:rsid w:val="002A1489"/>
    <w:rsid w:val="00B86CCF"/>
    <w:rsid w:val="00DB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E1"/>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8E1"/>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DB28E1"/>
    <w:rPr>
      <w:sz w:val="18"/>
      <w:szCs w:val="18"/>
    </w:rPr>
  </w:style>
  <w:style w:type="paragraph" w:styleId="a4">
    <w:name w:val="footer"/>
    <w:basedOn w:val="a"/>
    <w:link w:val="Char0"/>
    <w:uiPriority w:val="99"/>
    <w:unhideWhenUsed/>
    <w:rsid w:val="00DB28E1"/>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DB28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E1"/>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8E1"/>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DB28E1"/>
    <w:rPr>
      <w:sz w:val="18"/>
      <w:szCs w:val="18"/>
    </w:rPr>
  </w:style>
  <w:style w:type="paragraph" w:styleId="a4">
    <w:name w:val="footer"/>
    <w:basedOn w:val="a"/>
    <w:link w:val="Char0"/>
    <w:uiPriority w:val="99"/>
    <w:unhideWhenUsed/>
    <w:rsid w:val="00DB28E1"/>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DB28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张舒静</dc:creator>
  <cp:keywords/>
  <dc:description/>
  <cp:lastModifiedBy>张舒静</cp:lastModifiedBy>
  <cp:revision>2</cp:revision>
  <dcterms:created xsi:type="dcterms:W3CDTF">2022-01-10T08:35:00Z</dcterms:created>
  <dcterms:modified xsi:type="dcterms:W3CDTF">2022-01-10T08:36:00Z</dcterms:modified>
</cp:coreProperties>
</file>