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6"/>
          <w:szCs w:val="36"/>
        </w:rPr>
      </w:pPr>
      <w:r>
        <w:rPr>
          <w:rFonts w:hint="eastAsia" w:ascii="华文中宋" w:hAnsi="华文中宋" w:eastAsia="华文中宋"/>
          <w:sz w:val="36"/>
          <w:szCs w:val="36"/>
        </w:rPr>
        <w:t>北京市</w:t>
      </w:r>
      <w:r>
        <w:rPr>
          <w:rFonts w:hint="eastAsia" w:ascii="华文中宋" w:hAnsi="华文中宋" w:eastAsia="华文中宋"/>
          <w:sz w:val="36"/>
          <w:szCs w:val="36"/>
          <w:lang w:eastAsia="zh-CN"/>
        </w:rPr>
        <w:t>应</w:t>
      </w:r>
      <w:r>
        <w:rPr>
          <w:rFonts w:hint="eastAsia" w:ascii="华文中宋" w:hAnsi="华文中宋" w:eastAsia="华文中宋"/>
          <w:sz w:val="36"/>
          <w:szCs w:val="36"/>
          <w:lang w:val="en-US" w:eastAsia="zh-CN"/>
        </w:rPr>
        <w:t>丰台区</w:t>
      </w:r>
      <w:bookmarkStart w:id="0" w:name="_GoBack"/>
      <w:bookmarkEnd w:id="0"/>
      <w:r>
        <w:rPr>
          <w:rFonts w:hint="eastAsia" w:ascii="华文中宋" w:hAnsi="华文中宋" w:eastAsia="华文中宋"/>
          <w:sz w:val="36"/>
          <w:szCs w:val="36"/>
          <w:lang w:eastAsia="zh-CN"/>
        </w:rPr>
        <w:t>急管理局</w:t>
      </w:r>
      <w:r>
        <w:rPr>
          <w:rFonts w:hint="eastAsia" w:ascii="华文中宋" w:hAnsi="华文中宋" w:eastAsia="华文中宋"/>
          <w:sz w:val="36"/>
          <w:szCs w:val="36"/>
        </w:rPr>
        <w:t>行政职权运行责任清单</w:t>
      </w:r>
    </w:p>
    <w:p>
      <w:pPr>
        <w:rPr>
          <w:rFonts w:hint="eastAsia"/>
        </w:rPr>
      </w:pPr>
    </w:p>
    <w:tbl>
      <w:tblPr>
        <w:tblStyle w:val="2"/>
        <w:tblW w:w="8546" w:type="dxa"/>
        <w:tblCellSpacing w:w="0" w:type="dxa"/>
        <w:tblInd w:w="0" w:type="dxa"/>
        <w:tblLayout w:type="autofit"/>
        <w:tblCellMar>
          <w:top w:w="0" w:type="dxa"/>
          <w:left w:w="0" w:type="dxa"/>
          <w:bottom w:w="0" w:type="dxa"/>
          <w:right w:w="0" w:type="dxa"/>
        </w:tblCellMar>
      </w:tblPr>
      <w:tblGrid>
        <w:gridCol w:w="899"/>
        <w:gridCol w:w="1869"/>
        <w:gridCol w:w="5778"/>
      </w:tblGrid>
      <w:tr>
        <w:tblPrEx>
          <w:tblCellMar>
            <w:top w:w="0" w:type="dxa"/>
            <w:left w:w="0" w:type="dxa"/>
            <w:bottom w:w="0" w:type="dxa"/>
            <w:right w:w="0" w:type="dxa"/>
          </w:tblCellMar>
        </w:tblPrEx>
        <w:trPr>
          <w:trHeight w:val="750" w:hRule="atLeast"/>
          <w:tblCellSpacing w:w="0" w:type="dxa"/>
        </w:trPr>
        <w:tc>
          <w:tcPr>
            <w:tcW w:w="8546"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b/>
                <w:bCs/>
                <w:kern w:val="0"/>
                <w:sz w:val="24"/>
                <w:szCs w:val="24"/>
              </w:rPr>
              <w:t>一、行政许可类行政职权运行通用责任</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接收申请人提交的材料。若申请人提交的申请材料不齐全、不符合法定形式,应当一次性告知申请人必须补正的全部内容。 </w:t>
            </w:r>
          </w:p>
        </w:tc>
      </w:tr>
      <w:tr>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受理或者不予受理行政许可申请,应当出具加盖行政机关专用印章和注明日期的书面凭证。 </w:t>
            </w:r>
          </w:p>
        </w:tc>
      </w:tr>
      <w:tr>
        <w:tblPrEx>
          <w:tblCellMar>
            <w:top w:w="0" w:type="dxa"/>
            <w:left w:w="0" w:type="dxa"/>
            <w:bottom w:w="0" w:type="dxa"/>
            <w:right w:w="0" w:type="dxa"/>
          </w:tblCellMar>
        </w:tblPrEx>
        <w:trPr>
          <w:trHeight w:val="48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依法说明不受理行政许可申请或者不予行政许可的理由。 </w:t>
            </w:r>
          </w:p>
        </w:tc>
      </w:tr>
      <w:tr>
        <w:tblPrEx>
          <w:tblCellMar>
            <w:top w:w="0" w:type="dxa"/>
            <w:left w:w="0" w:type="dxa"/>
            <w:bottom w:w="0" w:type="dxa"/>
            <w:right w:w="0" w:type="dxa"/>
          </w:tblCellMar>
        </w:tblPrEx>
        <w:trPr>
          <w:trHeight w:val="7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(二)审查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申请人提交的申请材料齐全、符合法定形式,能够当场作出决定的,当场作出书面的行政许可决定。   </w:t>
            </w:r>
          </w:p>
        </w:tc>
      </w:tr>
      <w:tr>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根据法定条件和程序,需要对申请材料的实质内容进行核实的,行政机关应当指派2名以上工作人员进行核查。 </w:t>
            </w:r>
          </w:p>
        </w:tc>
      </w:tr>
      <w:tr>
        <w:tblPrEx>
          <w:tblCellMar>
            <w:top w:w="0" w:type="dxa"/>
            <w:left w:w="0" w:type="dxa"/>
            <w:bottom w:w="0" w:type="dxa"/>
            <w:right w:w="0" w:type="dxa"/>
          </w:tblCellMar>
        </w:tblPrEx>
        <w:trPr>
          <w:trHeight w:val="5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需依法举行听证的应当依法举行听证。 </w:t>
            </w:r>
          </w:p>
        </w:tc>
      </w:tr>
      <w:tr>
        <w:tblPrEx>
          <w:tblCellMar>
            <w:top w:w="0" w:type="dxa"/>
            <w:left w:w="0" w:type="dxa"/>
            <w:bottom w:w="0" w:type="dxa"/>
            <w:right w:w="0" w:type="dxa"/>
          </w:tblCellMar>
        </w:tblPrEx>
        <w:trPr>
          <w:trHeight w:val="69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restart"/>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(三)决定</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对符合法定条件的申请人应</w:t>
            </w:r>
            <w:r>
              <w:rPr>
                <w:rFonts w:hint="eastAsia" w:ascii="宋体" w:hAnsi="宋体" w:eastAsia="宋体" w:cs="宋体"/>
                <w:color w:val="000000"/>
                <w:kern w:val="0"/>
                <w:sz w:val="24"/>
                <w:szCs w:val="24"/>
              </w:rPr>
              <w:t>当在法定职权范围和期限内尽快作出准予</w:t>
            </w:r>
            <w:r>
              <w:rPr>
                <w:rFonts w:hint="eastAsia" w:ascii="宋体" w:hAnsi="宋体" w:eastAsia="宋体" w:cs="宋体"/>
                <w:kern w:val="0"/>
                <w:sz w:val="24"/>
                <w:szCs w:val="24"/>
              </w:rPr>
              <w:t xml:space="preserve">行政许可的决定。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依法根据招标、拍卖结果或者考试成绩择优作出准予行政许可的决定。 </w:t>
            </w:r>
          </w:p>
        </w:tc>
      </w:tr>
      <w:tr>
        <w:tblPrEx>
          <w:tblCellMar>
            <w:top w:w="0" w:type="dxa"/>
            <w:left w:w="0" w:type="dxa"/>
            <w:bottom w:w="0" w:type="dxa"/>
            <w:right w:w="0" w:type="dxa"/>
          </w:tblCellMar>
        </w:tblPrEx>
        <w:trPr>
          <w:trHeight w:val="8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依法作出不予行政许可的书面决定的,应当说明理由,并告知申请人享有依法申请行政复议或者提起行政诉讼的权利。   </w:t>
            </w:r>
          </w:p>
        </w:tc>
      </w:tr>
      <w:tr>
        <w:tblPrEx>
          <w:tblCellMar>
            <w:top w:w="0" w:type="dxa"/>
            <w:left w:w="0" w:type="dxa"/>
            <w:bottom w:w="0" w:type="dxa"/>
            <w:right w:w="0" w:type="dxa"/>
          </w:tblCellMar>
        </w:tblPrEx>
        <w:trPr>
          <w:trHeight w:val="4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按法定项目和标准予以收费。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作出的准予行政许可决定,应当予以公开,公众有权查阅。   </w:t>
            </w:r>
          </w:p>
        </w:tc>
      </w:tr>
      <w:tr>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54" w:type="dxa"/>
            <w:vMerge w:val="restart"/>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(四)送达</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送达行政执法文书应当有送达回证,受送达人在送达回证上的签收日期为送达日期。 </w:t>
            </w:r>
          </w:p>
        </w:tc>
      </w:tr>
      <w:tr>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送达程序参照民事诉讼法有关规定执行。 </w:t>
            </w:r>
          </w:p>
        </w:tc>
      </w:tr>
      <w:tr>
        <w:tblPrEx>
          <w:tblCellMar>
            <w:top w:w="0" w:type="dxa"/>
            <w:left w:w="0" w:type="dxa"/>
            <w:bottom w:w="0" w:type="dxa"/>
            <w:right w:w="0" w:type="dxa"/>
          </w:tblCellMar>
        </w:tblPrEx>
        <w:trPr>
          <w:trHeight w:val="55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(五)事后监管</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建立健全监督制度,通过核查反映被许可人从事行政许可事项活动情况的有关材料,履行监督责任。 </w:t>
            </w:r>
          </w:p>
        </w:tc>
      </w:tr>
      <w:tr>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建立随机抽查制度,对被许可人生产经营的产品依法进行抽样检查、检验、检测,对其生产经营场所依法进行实地检查。 </w:t>
            </w:r>
          </w:p>
        </w:tc>
      </w:tr>
      <w:tr>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16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根据法律、行政法规的规定,对直接关系公共安全、人身健康、生命财产安全的重要设备、设施进行定期检验。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17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实施监督检查时,应当将监督检查的情况和处理结果予以记录,由监督检查人员签字后归档。公众有权查阅监督检查记录。 </w:t>
            </w:r>
          </w:p>
        </w:tc>
      </w:tr>
      <w:tr>
        <w:tblPrEx>
          <w:tblCellMar>
            <w:top w:w="0" w:type="dxa"/>
            <w:left w:w="0" w:type="dxa"/>
            <w:bottom w:w="0" w:type="dxa"/>
            <w:right w:w="0" w:type="dxa"/>
          </w:tblCellMar>
        </w:tblPrEx>
        <w:trPr>
          <w:trHeight w:val="58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18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实施监督检查,不得妨碍被许可人正常的生产经营活动,不得索取或收受被许可人的财物,不得谋取其他利益。 </w:t>
            </w:r>
          </w:p>
        </w:tc>
      </w:tr>
      <w:tr>
        <w:tblPrEx>
          <w:tblCellMar>
            <w:top w:w="0" w:type="dxa"/>
            <w:left w:w="0" w:type="dxa"/>
            <w:bottom w:w="0" w:type="dxa"/>
            <w:right w:w="0" w:type="dxa"/>
          </w:tblCellMar>
        </w:tblPrEx>
        <w:trPr>
          <w:trHeight w:val="735" w:hRule="atLeast"/>
          <w:tblCellSpacing w:w="0" w:type="dxa"/>
        </w:trPr>
        <w:tc>
          <w:tcPr>
            <w:tcW w:w="854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二、行政处罚类行政职权运行通用责任清单</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(一)立案</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对符合立案条件的案件及时立案。 </w:t>
            </w:r>
          </w:p>
        </w:tc>
      </w:tr>
      <w:tr>
        <w:tblPrEx>
          <w:tblCellMar>
            <w:top w:w="0" w:type="dxa"/>
            <w:left w:w="0" w:type="dxa"/>
            <w:bottom w:w="0" w:type="dxa"/>
            <w:right w:w="0" w:type="dxa"/>
          </w:tblCellMar>
        </w:tblPrEx>
        <w:trPr>
          <w:trHeight w:val="4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(二)调查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出示执法身份证件,表明执法身份。 </w:t>
            </w:r>
          </w:p>
        </w:tc>
      </w:tr>
      <w:tr>
        <w:tblPrEx>
          <w:tblCellMar>
            <w:top w:w="0" w:type="dxa"/>
            <w:left w:w="0" w:type="dxa"/>
            <w:bottom w:w="0" w:type="dxa"/>
            <w:right w:w="0" w:type="dxa"/>
          </w:tblCellMar>
        </w:tblPrEx>
        <w:trPr>
          <w:trHeight w:val="55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应当有2名以上(含2名)行政执法人员共同参加调查取证。 </w:t>
            </w:r>
          </w:p>
        </w:tc>
      </w:tr>
      <w:tr>
        <w:tblPrEx>
          <w:tblCellMar>
            <w:top w:w="0" w:type="dxa"/>
            <w:left w:w="0" w:type="dxa"/>
            <w:bottom w:w="0" w:type="dxa"/>
            <w:right w:w="0" w:type="dxa"/>
          </w:tblCellMar>
        </w:tblPrEx>
        <w:trPr>
          <w:trHeight w:val="52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依法调查和保存证据。 </w:t>
            </w:r>
          </w:p>
        </w:tc>
      </w:tr>
      <w:tr>
        <w:tblPrEx>
          <w:tblCellMar>
            <w:top w:w="0" w:type="dxa"/>
            <w:left w:w="0" w:type="dxa"/>
            <w:bottom w:w="0" w:type="dxa"/>
            <w:right w:w="0" w:type="dxa"/>
          </w:tblCellMar>
        </w:tblPrEx>
        <w:trPr>
          <w:trHeight w:val="69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适用简易程序的,当场制作行政处罚决定书并当场交付,在事后难以执行及特殊情况下应当当场收缴罚款。 </w:t>
            </w:r>
          </w:p>
        </w:tc>
      </w:tr>
      <w:tr>
        <w:tblPrEx>
          <w:tblCellMar>
            <w:top w:w="0" w:type="dxa"/>
            <w:left w:w="0" w:type="dxa"/>
            <w:bottom w:w="0" w:type="dxa"/>
            <w:right w:w="0" w:type="dxa"/>
          </w:tblCellMar>
        </w:tblPrEx>
        <w:trPr>
          <w:trHeight w:val="52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适用简易程序的,执法人员当场作出的行政处罚决定应当报所属行政机关备案。 </w:t>
            </w:r>
          </w:p>
        </w:tc>
      </w:tr>
      <w:tr>
        <w:tblPrEx>
          <w:tblCellMar>
            <w:top w:w="0" w:type="dxa"/>
            <w:left w:w="0" w:type="dxa"/>
            <w:bottom w:w="0" w:type="dxa"/>
            <w:right w:w="0" w:type="dxa"/>
          </w:tblCellMar>
        </w:tblPrEx>
        <w:trPr>
          <w:trHeight w:val="10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(三)审查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审理案件调查报告,对案件违法事实、证据、调查取证程序、法律适用、处罚种类和幅度、当事人陈述和申辩理由等方面进行审查,提出处理意见(主要证据不足时,以适当的方式补充调查)。 </w:t>
            </w:r>
          </w:p>
        </w:tc>
      </w:tr>
      <w:tr>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构成犯罪的,移送司法机关依法追究刑事责任。 </w:t>
            </w:r>
          </w:p>
        </w:tc>
      </w:tr>
      <w:tr>
        <w:tblPrEx>
          <w:tblCellMar>
            <w:top w:w="0" w:type="dxa"/>
            <w:left w:w="0" w:type="dxa"/>
            <w:bottom w:w="0" w:type="dxa"/>
            <w:right w:w="0" w:type="dxa"/>
          </w:tblCellMar>
        </w:tblPrEx>
        <w:trPr>
          <w:trHeight w:val="7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(四)告知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在作出行政处罚前,应告知当事人作出行政处罚决定的事实、理由及依据,并告知当事人依法享有的权利。 </w:t>
            </w:r>
          </w:p>
        </w:tc>
      </w:tr>
      <w:tr>
        <w:tblPrEx>
          <w:tblCellMar>
            <w:top w:w="0" w:type="dxa"/>
            <w:left w:w="0" w:type="dxa"/>
            <w:bottom w:w="0" w:type="dxa"/>
            <w:right w:w="0" w:type="dxa"/>
          </w:tblCellMar>
        </w:tblPrEx>
        <w:trPr>
          <w:trHeight w:val="6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依法告知当事人有举行听证的权利,当事人要求听证的,应当依法组织听证。 </w:t>
            </w:r>
          </w:p>
        </w:tc>
      </w:tr>
      <w:tr>
        <w:tblPrEx>
          <w:tblCellMar>
            <w:top w:w="0" w:type="dxa"/>
            <w:left w:w="0" w:type="dxa"/>
            <w:bottom w:w="0" w:type="dxa"/>
            <w:right w:w="0" w:type="dxa"/>
          </w:tblCellMar>
        </w:tblPrEx>
        <w:trPr>
          <w:trHeight w:val="102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(五)决定</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充分听取当事人的意见,对当事人提出的事实、理由和证据,应当进行复核;当事人提出的事实、理由或者证据成立的,应当</w:t>
            </w:r>
            <w:r>
              <w:rPr>
                <w:rFonts w:hint="eastAsia" w:ascii="宋体" w:hAnsi="宋体" w:eastAsia="宋体" w:cs="宋体"/>
                <w:color w:val="000000"/>
                <w:kern w:val="0"/>
                <w:sz w:val="24"/>
                <w:szCs w:val="24"/>
              </w:rPr>
              <w:t>采纳,不得因当事人申辩而加重处罚。</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对情节复杂或者重大违法行为给予较重的行政处罚,应当集体讨论决定。 </w:t>
            </w:r>
          </w:p>
        </w:tc>
      </w:tr>
      <w:tr>
        <w:tblPrEx>
          <w:tblCellMar>
            <w:top w:w="0" w:type="dxa"/>
            <w:left w:w="0" w:type="dxa"/>
            <w:bottom w:w="0" w:type="dxa"/>
            <w:right w:w="0" w:type="dxa"/>
          </w:tblCellMar>
        </w:tblPrEx>
        <w:trPr>
          <w:trHeight w:val="55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依法决定给予行政处罚,制作行政处罚决定书,并在处罚决定书中告知对处罚决定不服的可以依法申请行政复议或者提起行政诉讼。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tblPrEx>
          <w:tblCellMar>
            <w:top w:w="0" w:type="dxa"/>
            <w:left w:w="0" w:type="dxa"/>
            <w:bottom w:w="0" w:type="dxa"/>
            <w:right w:w="0" w:type="dxa"/>
          </w:tblCellMar>
        </w:tblPrEx>
        <w:trPr>
          <w:trHeight w:val="7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r>
        <w:tblPrEx>
          <w:tblCellMar>
            <w:top w:w="0" w:type="dxa"/>
            <w:left w:w="0" w:type="dxa"/>
            <w:bottom w:w="0" w:type="dxa"/>
            <w:right w:w="0" w:type="dxa"/>
          </w:tblCellMar>
        </w:tblPrEx>
        <w:trPr>
          <w:trHeight w:val="10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16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(六)送达</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行政处罚决定书应当在宣告后当场交付当事人;当事人不在场的,行政机关应当在7日内依照民事诉讼法的有关规定,将行政处罚决定书送达当事人。 </w:t>
            </w:r>
          </w:p>
        </w:tc>
      </w:tr>
      <w:tr>
        <w:tblPrEx>
          <w:tblCellMar>
            <w:top w:w="0" w:type="dxa"/>
            <w:left w:w="0" w:type="dxa"/>
            <w:bottom w:w="0" w:type="dxa"/>
            <w:right w:w="0" w:type="dxa"/>
          </w:tblCellMar>
        </w:tblPrEx>
        <w:trPr>
          <w:trHeight w:val="55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17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(七)执行</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使用法定部门制发的罚款、没收财物单据进行罚款、没收财物等处罚。 </w:t>
            </w:r>
          </w:p>
        </w:tc>
      </w:tr>
      <w:tr>
        <w:tblPrEx>
          <w:tblCellMar>
            <w:top w:w="0" w:type="dxa"/>
            <w:left w:w="0" w:type="dxa"/>
            <w:bottom w:w="0" w:type="dxa"/>
            <w:right w:w="0" w:type="dxa"/>
          </w:tblCellMar>
        </w:tblPrEx>
        <w:trPr>
          <w:trHeight w:val="54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18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tblPrEx>
          <w:tblCellMar>
            <w:top w:w="0" w:type="dxa"/>
            <w:left w:w="0" w:type="dxa"/>
            <w:bottom w:w="0" w:type="dxa"/>
            <w:right w:w="0" w:type="dxa"/>
          </w:tblCellMar>
        </w:tblPrEx>
        <w:trPr>
          <w:trHeight w:val="5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19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r>
        <w:tblPrEx>
          <w:tblCellMar>
            <w:top w:w="0" w:type="dxa"/>
            <w:left w:w="0" w:type="dxa"/>
            <w:bottom w:w="0" w:type="dxa"/>
            <w:right w:w="0" w:type="dxa"/>
          </w:tblCellMar>
        </w:tblPrEx>
        <w:trPr>
          <w:trHeight w:val="750" w:hRule="atLeast"/>
          <w:tblCellSpacing w:w="0" w:type="dxa"/>
        </w:trPr>
        <w:tc>
          <w:tcPr>
            <w:tcW w:w="854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三、行政确认类行政职权运行通用责任清单</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54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对符合确认条件的,当场受理。 </w:t>
            </w:r>
          </w:p>
        </w:tc>
      </w:tr>
      <w:tr>
        <w:tblPrEx>
          <w:tblCellMar>
            <w:top w:w="0" w:type="dxa"/>
            <w:left w:w="0" w:type="dxa"/>
            <w:bottom w:w="0" w:type="dxa"/>
            <w:right w:w="0" w:type="dxa"/>
          </w:tblCellMar>
        </w:tblPrEx>
        <w:trPr>
          <w:trHeight w:val="7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continue"/>
            <w:tcBorders>
              <w:top w:val="nil"/>
              <w:left w:val="nil"/>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申请材料不齐全或者不符合法定形式的,应当一次性告知申请人需要补正的全部内容和合理的补正期限。 </w:t>
            </w:r>
          </w:p>
        </w:tc>
      </w:tr>
      <w:tr>
        <w:tblPrEx>
          <w:tblCellMar>
            <w:top w:w="0" w:type="dxa"/>
            <w:left w:w="0" w:type="dxa"/>
            <w:bottom w:w="0" w:type="dxa"/>
            <w:right w:w="0" w:type="dxa"/>
          </w:tblCellMar>
        </w:tblPrEx>
        <w:trPr>
          <w:trHeight w:val="78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nil"/>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对不符合受理条件的,应当书面告知办理人不予办理行政确认的理由和依据。 </w:t>
            </w:r>
          </w:p>
        </w:tc>
      </w:tr>
      <w:tr>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(二)确认</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在法定期限(承诺期限)内完成确认。 </w:t>
            </w:r>
          </w:p>
        </w:tc>
      </w:tr>
      <w:tr>
        <w:tblPrEx>
          <w:tblCellMar>
            <w:top w:w="0" w:type="dxa"/>
            <w:left w:w="0" w:type="dxa"/>
            <w:bottom w:w="0" w:type="dxa"/>
            <w:right w:w="0" w:type="dxa"/>
          </w:tblCellMar>
        </w:tblPrEx>
        <w:trPr>
          <w:trHeight w:val="8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nil"/>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严格按照流程图规定进行研究确认,不得提高确认标准、扩大确认范围等。 </w:t>
            </w:r>
          </w:p>
        </w:tc>
      </w:tr>
      <w:tr>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nil"/>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按照一定的技术规范要求以书面形式作出决定,并发放确认文书。 </w:t>
            </w:r>
          </w:p>
        </w:tc>
      </w:tr>
      <w:tr>
        <w:tblPrEx>
          <w:tblCellMar>
            <w:top w:w="0" w:type="dxa"/>
            <w:left w:w="0" w:type="dxa"/>
            <w:bottom w:w="0" w:type="dxa"/>
            <w:right w:w="0" w:type="dxa"/>
          </w:tblCellMar>
        </w:tblPrEx>
        <w:trPr>
          <w:trHeight w:val="54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continue"/>
            <w:tcBorders>
              <w:top w:val="nil"/>
              <w:left w:val="nil"/>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不符合确认要求的不予确认,并说明理由。 </w:t>
            </w:r>
          </w:p>
        </w:tc>
      </w:tr>
      <w:tr>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(三)送达</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送达程序参照民事诉讼法有关规定执行。 </w:t>
            </w:r>
          </w:p>
        </w:tc>
      </w:tr>
      <w:tr>
        <w:tblPrEx>
          <w:tblCellMar>
            <w:top w:w="0" w:type="dxa"/>
            <w:left w:w="0" w:type="dxa"/>
            <w:bottom w:w="0" w:type="dxa"/>
            <w:right w:w="0" w:type="dxa"/>
          </w:tblCellMar>
        </w:tblPrEx>
        <w:trPr>
          <w:trHeight w:val="78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建立健全事后监管制度,依法履行监督责任。 </w:t>
            </w:r>
          </w:p>
        </w:tc>
      </w:tr>
      <w:tr>
        <w:tblPrEx>
          <w:tblCellMar>
            <w:top w:w="0" w:type="dxa"/>
            <w:left w:w="0" w:type="dxa"/>
            <w:bottom w:w="0" w:type="dxa"/>
            <w:right w:w="0" w:type="dxa"/>
          </w:tblCellMar>
        </w:tblPrEx>
        <w:trPr>
          <w:trHeight w:val="990" w:hRule="atLeast"/>
          <w:tblCellSpacing w:w="0" w:type="dxa"/>
        </w:trPr>
        <w:tc>
          <w:tcPr>
            <w:tcW w:w="854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四、行政强制类(行政强制措施)行政职权运行通用责任清单</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(一)决定</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实施前应当先报告,经批准后作出实施行政强制措施的决定。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批准实施行政强制措施应当符合法定条件。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(二)执行</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由2名以上具备资格的行政执法人员实施,其他人员不得实施。</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行政执法人员应当现场出示执法身份证件。 </w:t>
            </w:r>
          </w:p>
        </w:tc>
      </w:tr>
      <w:tr>
        <w:tblPrEx>
          <w:tblCellMar>
            <w:top w:w="0" w:type="dxa"/>
            <w:left w:w="0" w:type="dxa"/>
            <w:bottom w:w="0" w:type="dxa"/>
            <w:right w:w="0" w:type="dxa"/>
          </w:tblCellMar>
        </w:tblPrEx>
        <w:trPr>
          <w:trHeight w:val="100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实施行政强制措施时应当通知当事人到场,并告知当事人采取行政强制措施的理由、依据以及当事人依法享有的权利、救济途径。 </w:t>
            </w:r>
          </w:p>
        </w:tc>
      </w:tr>
      <w:tr>
        <w:tblPrEx>
          <w:tblCellMar>
            <w:top w:w="0" w:type="dxa"/>
            <w:left w:w="0" w:type="dxa"/>
            <w:bottom w:w="0" w:type="dxa"/>
            <w:right w:w="0" w:type="dxa"/>
          </w:tblCellMar>
        </w:tblPrEx>
        <w:trPr>
          <w:trHeight w:val="108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充分听取当事人的意见,对当事人提出的事实、理由和证据,应当进行复核,当事人提出的事实、理由或者证据成立的,应当采纳。 </w:t>
            </w:r>
          </w:p>
        </w:tc>
      </w:tr>
      <w:tr>
        <w:tblPrEx>
          <w:tblCellMar>
            <w:top w:w="0" w:type="dxa"/>
            <w:left w:w="0" w:type="dxa"/>
            <w:bottom w:w="0" w:type="dxa"/>
            <w:right w:w="0" w:type="dxa"/>
          </w:tblCellMar>
        </w:tblPrEx>
        <w:trPr>
          <w:trHeight w:val="14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制作现场笔录,现场笔录由当事人和行政执法人员签名或者盖章,当事人拒绝的,在笔录中予以注明。当事人不到场的,邀请见证人到场,由见证人和行政执法人员在现场笔录上签名或者盖章。 </w:t>
            </w:r>
          </w:p>
        </w:tc>
      </w:tr>
      <w:tr>
        <w:tblPrEx>
          <w:tblCellMar>
            <w:top w:w="0" w:type="dxa"/>
            <w:left w:w="0" w:type="dxa"/>
            <w:bottom w:w="0" w:type="dxa"/>
            <w:right w:w="0" w:type="dxa"/>
          </w:tblCellMar>
        </w:tblPrEx>
        <w:trPr>
          <w:trHeight w:val="10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实施限制公民人身自由的行政强制措施,应当场告知或者实施行政强制措施后立即通知当事人家属实施行政强制措施的行政机关、地点和期限。 </w:t>
            </w:r>
          </w:p>
        </w:tc>
      </w:tr>
      <w:tr>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对依法应当没收或法律、行政法规规定应当销毁的,应当依法予以没收或销毁。 </w:t>
            </w:r>
          </w:p>
        </w:tc>
      </w:tr>
      <w:tr>
        <w:tblPrEx>
          <w:tblCellMar>
            <w:top w:w="0" w:type="dxa"/>
            <w:left w:w="0" w:type="dxa"/>
            <w:bottom w:w="0" w:type="dxa"/>
            <w:right w:w="0" w:type="dxa"/>
          </w:tblCellMar>
        </w:tblPrEx>
        <w:trPr>
          <w:trHeight w:val="72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情况紧急,需要当场实施行政强制措施的,行政执法人员应当在24小时内向行政机关负责人报告,并补办批准手续。 </w:t>
            </w:r>
          </w:p>
        </w:tc>
      </w:tr>
      <w:tr>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(三)解除</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对符合解除行政强制措施条件的,应当依法解除行政强制措施。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对构成犯罪的,依法、及时移送司法机关。 </w:t>
            </w:r>
          </w:p>
        </w:tc>
      </w:tr>
      <w:tr>
        <w:tblPrEx>
          <w:tblCellMar>
            <w:top w:w="0" w:type="dxa"/>
            <w:left w:w="0" w:type="dxa"/>
            <w:bottom w:w="0" w:type="dxa"/>
            <w:right w:w="0" w:type="dxa"/>
          </w:tblCellMar>
        </w:tblPrEx>
        <w:trPr>
          <w:trHeight w:val="7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建立健全事后监管制度,依法履行监督责任。 </w:t>
            </w:r>
          </w:p>
        </w:tc>
      </w:tr>
      <w:tr>
        <w:tblPrEx>
          <w:tblCellMar>
            <w:top w:w="0" w:type="dxa"/>
            <w:left w:w="0" w:type="dxa"/>
            <w:bottom w:w="0" w:type="dxa"/>
            <w:right w:w="0" w:type="dxa"/>
          </w:tblCellMar>
        </w:tblPrEx>
        <w:trPr>
          <w:trHeight w:val="375" w:hRule="atLeast"/>
          <w:tblCellSpacing w:w="0" w:type="dxa"/>
        </w:trPr>
        <w:tc>
          <w:tcPr>
            <w:tcW w:w="8546" w:type="dxa"/>
            <w:gridSpan w:val="3"/>
            <w:tcBorders>
              <w:top w:val="nil"/>
              <w:left w:val="single" w:color="000000" w:sz="6" w:space="0"/>
              <w:bottom w:val="single" w:color="000000" w:sz="6" w:space="0"/>
              <w:right w:val="nil"/>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lang w:eastAsia="zh-CN"/>
              </w:rPr>
              <w:t>五</w:t>
            </w:r>
            <w:r>
              <w:rPr>
                <w:rFonts w:hint="eastAsia" w:ascii="宋体" w:hAnsi="宋体" w:eastAsia="宋体" w:cs="宋体"/>
                <w:b/>
                <w:bCs/>
                <w:kern w:val="0"/>
                <w:sz w:val="24"/>
                <w:szCs w:val="24"/>
              </w:rPr>
              <w:t>、行政奖励类行政职权运行通用责任清单</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依法科学制定奖励方案,明确奖励条件、程序等内容。 </w:t>
            </w:r>
          </w:p>
        </w:tc>
      </w:tr>
      <w:tr>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(二)审核公示</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对符合条件的推荐对象进行审核审定,并进行公示。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依法、及时调查核实举报投诉涉及问题。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(三)实施奖励</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依法、及时按程序报批决定奖励的等级和金额。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及时通知当事人领取奖励。 </w:t>
            </w:r>
          </w:p>
        </w:tc>
      </w:tr>
      <w:tr>
        <w:tblPrEx>
          <w:tblCellMar>
            <w:top w:w="0" w:type="dxa"/>
            <w:left w:w="0" w:type="dxa"/>
            <w:bottom w:w="0" w:type="dxa"/>
            <w:right w:w="0" w:type="dxa"/>
          </w:tblCellMar>
        </w:tblPrEx>
        <w:trPr>
          <w:trHeight w:val="720" w:hRule="atLeast"/>
          <w:tblCellSpacing w:w="0" w:type="dxa"/>
        </w:trPr>
        <w:tc>
          <w:tcPr>
            <w:tcW w:w="854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lang w:eastAsia="zh-CN"/>
              </w:rPr>
              <w:t>六</w:t>
            </w:r>
            <w:r>
              <w:rPr>
                <w:rFonts w:hint="eastAsia" w:ascii="宋体" w:hAnsi="宋体" w:eastAsia="宋体" w:cs="宋体"/>
                <w:b/>
                <w:bCs/>
                <w:kern w:val="0"/>
                <w:sz w:val="24"/>
                <w:szCs w:val="24"/>
              </w:rPr>
              <w:t>、行政检查类行政职权运行通用责任清单</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0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实施检查前应当依法制定含有正当理由、事项和内容的检查方案。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同一行政机关的多个内设机构和下属机构对同一当事人不同事项的行政检查,能够合并检查的应当合并检查。 </w:t>
            </w:r>
          </w:p>
        </w:tc>
      </w:tr>
      <w:tr>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上下级行政机关应当按照级别管辖和地域管辖相结合的原则合理划分检查范围,避免重复检查。 </w:t>
            </w:r>
          </w:p>
        </w:tc>
      </w:tr>
      <w:tr>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(二)实施检查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依照检查方案规定的时限、范围开展检查。 </w:t>
            </w:r>
          </w:p>
        </w:tc>
      </w:tr>
      <w:tr>
        <w:tblPrEx>
          <w:tblCellMar>
            <w:top w:w="0" w:type="dxa"/>
            <w:left w:w="0" w:type="dxa"/>
            <w:bottom w:w="0" w:type="dxa"/>
            <w:right w:w="0" w:type="dxa"/>
          </w:tblCellMar>
        </w:tblPrEx>
        <w:trPr>
          <w:trHeight w:val="4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实施检查时应当出示执法身份证件、检查方案。 </w:t>
            </w:r>
          </w:p>
        </w:tc>
      </w:tr>
      <w:tr>
        <w:tblPrEx>
          <w:tblCellMar>
            <w:top w:w="0" w:type="dxa"/>
            <w:left w:w="0" w:type="dxa"/>
            <w:bottom w:w="0" w:type="dxa"/>
            <w:right w:w="0" w:type="dxa"/>
          </w:tblCellMar>
        </w:tblPrEx>
        <w:trPr>
          <w:trHeight w:val="52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依法查阅资料、查看现场、听取当事人陈述申辩并取证。 </w:t>
            </w:r>
          </w:p>
        </w:tc>
      </w:tr>
      <w:tr>
        <w:tblPrEx>
          <w:tblCellMar>
            <w:top w:w="0" w:type="dxa"/>
            <w:left w:w="0" w:type="dxa"/>
            <w:bottom w:w="0" w:type="dxa"/>
            <w:right w:w="0" w:type="dxa"/>
          </w:tblCellMar>
        </w:tblPrEx>
        <w:trPr>
          <w:trHeight w:val="4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实施检查应当不影响当事人的正常生产经营活动与生活。 </w:t>
            </w:r>
          </w:p>
        </w:tc>
      </w:tr>
      <w:tr>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依法告知当事人检查中发现的违法行为及处理意见,对不服处理意见的,可以依法申请行政复议或提起行政诉讼。 </w:t>
            </w:r>
          </w:p>
        </w:tc>
      </w:tr>
      <w:tr>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对检查中发现的违法行为应当予以制止和纠正。</w:t>
            </w:r>
            <w:r>
              <w:rPr>
                <w:rFonts w:hint="eastAsia" w:ascii="宋体" w:hAnsi="宋体" w:eastAsia="宋体" w:cs="宋体"/>
                <w:kern w:val="0"/>
                <w:sz w:val="24"/>
                <w:szCs w:val="24"/>
              </w:rPr>
              <w:t xml:space="preserve"> </w:t>
            </w:r>
          </w:p>
        </w:tc>
      </w:tr>
      <w:tr>
        <w:tblPrEx>
          <w:tblCellMar>
            <w:top w:w="0" w:type="dxa"/>
            <w:left w:w="0" w:type="dxa"/>
            <w:bottom w:w="0" w:type="dxa"/>
            <w:right w:w="0" w:type="dxa"/>
          </w:tblCellMar>
        </w:tblPrEx>
        <w:trPr>
          <w:trHeight w:val="60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实施行政检查中不得乱收费、乱罚款、乱摊派,严禁吃、拿、卡、要。 </w:t>
            </w:r>
          </w:p>
        </w:tc>
      </w:tr>
      <w:tr>
        <w:tblPrEx>
          <w:tblCellMar>
            <w:top w:w="0" w:type="dxa"/>
            <w:left w:w="0" w:type="dxa"/>
            <w:bottom w:w="0" w:type="dxa"/>
            <w:right w:w="0" w:type="dxa"/>
          </w:tblCellMar>
        </w:tblPrEx>
        <w:trPr>
          <w:trHeight w:val="42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54" w:type="dxa"/>
            <w:vMerge w:val="continue"/>
            <w:tcBorders>
              <w:top w:val="nil"/>
              <w:left w:val="single" w:color="000000" w:sz="6" w:space="0"/>
              <w:bottom w:val="single" w:color="000000" w:sz="6" w:space="0"/>
              <w:right w:val="single" w:color="000000" w:sz="6" w:space="0"/>
            </w:tcBorders>
            <w:vAlign w:val="center"/>
          </w:tcPr>
          <w:p>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不得放弃、推诿、拖延、拒绝履行检查职责。 </w:t>
            </w:r>
          </w:p>
        </w:tc>
      </w:tr>
      <w:tr>
        <w:tblPrEx>
          <w:tblCellMar>
            <w:top w:w="0" w:type="dxa"/>
            <w:left w:w="0" w:type="dxa"/>
            <w:bottom w:w="0" w:type="dxa"/>
            <w:right w:w="0" w:type="dxa"/>
          </w:tblCellMar>
        </w:tblPrEx>
        <w:trPr>
          <w:trHeight w:val="7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(三)事后监管</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对检查情况进行汇总、分类、归档备查,并跟踪监测。 </w:t>
            </w: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1A1"/>
    <w:rsid w:val="001361A1"/>
    <w:rsid w:val="006566C4"/>
    <w:rsid w:val="006D7686"/>
    <w:rsid w:val="5F497678"/>
    <w:rsid w:val="6F7F1359"/>
    <w:rsid w:val="7DEF5A38"/>
    <w:rsid w:val="CF9FEA26"/>
    <w:rsid w:val="FFBDA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914</Words>
  <Characters>5212</Characters>
  <Lines>43</Lines>
  <Paragraphs>12</Paragraphs>
  <TotalTime>7</TotalTime>
  <ScaleCrop>false</ScaleCrop>
  <LinksUpToDate>false</LinksUpToDate>
  <CharactersWithSpaces>6114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2017-09-02T01:16:00Z</dcterms:created>
  <dc:creator>wangpeng</dc:creator>
  <cp:lastModifiedBy>Anthony</cp:lastModifiedBy>
  <dcterms:modified xsi:type="dcterms:W3CDTF">2026-06-24T03:17:59Z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691B1ED3934F41FCA691550E10EC55DB</vt:lpwstr>
  </property>
</Properties>
</file>