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outlineLvl w:val="9"/>
        <w:rPr>
          <w:rFonts w:hint="eastAsia"/>
        </w:rPr>
      </w:pPr>
      <w:bookmarkStart w:id="0" w:name="_Toc780763122"/>
      <w:bookmarkStart w:id="1" w:name="_Toc1791740898"/>
      <w:bookmarkStart w:id="2" w:name="_Toc1460043400"/>
      <w:bookmarkStart w:id="3" w:name="_Toc1086546703"/>
      <w:bookmarkStart w:id="4" w:name="_Toc463242890"/>
      <w:bookmarkStart w:id="5" w:name="_Toc1736325906"/>
      <w:bookmarkStart w:id="6" w:name="_Toc1839376827"/>
      <w:bookmarkStart w:id="7" w:name="_Toc780022015"/>
      <w:bookmarkStart w:id="8" w:name="_Toc1963177973"/>
      <w:bookmarkStart w:id="9" w:name="_Toc1253461851"/>
      <w:bookmarkStart w:id="10" w:name="_Toc1999368064"/>
      <w:bookmarkStart w:id="11" w:name="_Toc1410044505"/>
      <w:bookmarkStart w:id="12" w:name="_Toc171258974"/>
      <w:bookmarkStart w:id="13" w:name="_Toc1292796415"/>
      <w:bookmarkStart w:id="14" w:name="_Toc64216187"/>
      <w:bookmarkStart w:id="15" w:name="_Toc1968937232"/>
      <w:bookmarkStart w:id="16" w:name="_Toc813779811"/>
      <w:bookmarkStart w:id="17" w:name="_Toc2034254016"/>
      <w:bookmarkStart w:id="18" w:name="_Toc968232775"/>
      <w:bookmarkStart w:id="19" w:name="_Toc413448393"/>
      <w:bookmarkStart w:id="20" w:name="_Toc1370712045"/>
      <w:bookmarkStart w:id="21" w:name="_Toc362967308"/>
      <w:bookmarkStart w:id="22" w:name="_Toc2005929093"/>
      <w:bookmarkStart w:id="23" w:name="_Toc1316260612"/>
      <w:bookmarkStart w:id="24" w:name="_Toc656476060"/>
      <w:bookmarkStart w:id="25" w:name="_Toc1612210803"/>
      <w:bookmarkStart w:id="26" w:name="_Toc1609644257"/>
      <w:bookmarkStart w:id="27" w:name="_Toc1693862505"/>
      <w:r>
        <w:rPr>
          <w:rFonts w:hint="eastAsia"/>
          <w:lang w:val="en-US" w:eastAsia="zh-CN"/>
        </w:rPr>
        <w:t>北京市丰台区农业农村局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outlineLvl w:val="9"/>
        <w:rPr>
          <w:rFonts w:hint="eastAsia"/>
        </w:rPr>
      </w:pPr>
      <w:bookmarkStart w:id="28" w:name="_Toc1747017589"/>
      <w:bookmarkStart w:id="29" w:name="_Toc1742510671"/>
      <w:bookmarkStart w:id="30" w:name="_Toc1488898838"/>
      <w:bookmarkStart w:id="31" w:name="_Toc302836123"/>
      <w:bookmarkStart w:id="32" w:name="_Toc1947481485"/>
      <w:bookmarkStart w:id="33" w:name="_Toc510238411"/>
      <w:bookmarkStart w:id="34" w:name="_Toc1884092985"/>
      <w:bookmarkStart w:id="35" w:name="_Toc924631760"/>
      <w:bookmarkStart w:id="36" w:name="_Toc1452538621"/>
      <w:bookmarkStart w:id="37" w:name="_Toc1509419081"/>
      <w:bookmarkStart w:id="38" w:name="_Toc525004388"/>
      <w:r>
        <w:rPr>
          <w:rFonts w:hint="eastAsia"/>
        </w:rPr>
        <w:t>案件中止调查决定书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nThickSmallGap" w:color="auto" w:sz="12" w:space="1"/>
          <w:right w:val="none" w:color="auto" w:sz="0" w:space="4"/>
          <w:between w:val="none" w:color="auto" w:sz="0" w:space="0"/>
        </w:pBdr>
        <w:kinsoku/>
        <w:overflowPunct/>
        <w:topLinePunct w:val="0"/>
        <w:bidi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  <w:lang w:eastAsia="zh-CN"/>
        </w:rPr>
        <w:t>京丰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  <w:shd w:val="clear" w:color="auto" w:fill="FFFFFF"/>
          <w:lang w:bidi="ar"/>
        </w:rPr>
        <w:t>农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  <w:shd w:val="clear" w:color="auto" w:fill="FFFFFF"/>
          <w:lang w:eastAsia="zh-CN" w:bidi="ar"/>
        </w:rPr>
        <w:t>止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  <w:shd w:val="clear" w:color="auto" w:fill="FFFFFF"/>
          <w:lang w:bidi="ar"/>
        </w:rPr>
        <w:t>调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</w:rPr>
        <w:t>〔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</w:rPr>
        <w:t>〕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  <w:lang w:val="en-US" w:eastAsia="zh-CN"/>
        </w:rPr>
        <w:t>036</w:t>
      </w:r>
      <w:r>
        <w:rPr>
          <w:rFonts w:hint="eastAsia" w:ascii="CESI楷体-GB2312" w:hAnsi="CESI楷体-GB2312" w:eastAsia="CESI楷体-GB2312" w:cs="CESI楷体-GB2312"/>
          <w:color w:val="auto"/>
          <w:sz w:val="28"/>
          <w:szCs w:val="28"/>
          <w:u w:val="none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北京光基农业科学研究有限公司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你单位因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涉嫌生产经营假种子案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bidi="ar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本机关于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日予以立案调查。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2025年8月26日，我局向四川省成都市新津区农业农村局发送了协助调查函，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因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至今未回复协查结果，且无法找到你单位法定代表人，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故本案无法进行下一阶段调查。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依据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《农业行政处罚程序规定》第四十八条第一款</w:t>
      </w:r>
      <w:r>
        <w:rPr>
          <w:rFonts w:hint="eastAsia" w:eastAsia="宋体" w:cs="宋体"/>
          <w:color w:val="auto"/>
          <w:sz w:val="28"/>
          <w:szCs w:val="28"/>
          <w:lang w:eastAsia="zh-CN"/>
        </w:rPr>
        <w:t>第五项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的规定，现决定自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>2025年10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日起，对你单位中止案件调查。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</w:rPr>
        <w:t>联系人：</w:t>
      </w:r>
      <w:r>
        <w:rPr>
          <w:rFonts w:hint="eastAsia" w:eastAsia="宋体" w:cs="宋体"/>
          <w:color w:val="auto"/>
          <w:sz w:val="28"/>
          <w:szCs w:val="28"/>
          <w:u w:val="none"/>
          <w:lang w:eastAsia="zh-CN"/>
        </w:rPr>
        <w:t>姚建春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 xml:space="preserve">  邰利民  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联系电话：</w:t>
      </w:r>
      <w:r>
        <w:rPr>
          <w:rFonts w:hint="eastAsia" w:eastAsia="宋体" w:cs="宋体"/>
          <w:color w:val="auto"/>
          <w:sz w:val="28"/>
          <w:szCs w:val="36"/>
          <w:lang w:val="en-US" w:eastAsia="zh-CN"/>
        </w:rPr>
        <w:t>010-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>63892496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36"/>
        </w:rPr>
        <w:t>联系地址：</w:t>
      </w:r>
      <w:r>
        <w:rPr>
          <w:rFonts w:hint="eastAsia" w:eastAsia="宋体" w:cs="宋体"/>
          <w:color w:val="auto"/>
          <w:sz w:val="28"/>
          <w:szCs w:val="28"/>
          <w:u w:val="none"/>
          <w:lang w:eastAsia="zh-CN"/>
        </w:rPr>
        <w:t>北京市丰台区东安街三条</w:t>
      </w:r>
      <w:r>
        <w:rPr>
          <w:rFonts w:hint="eastAsia" w:eastAsia="宋体" w:cs="宋体"/>
          <w:color w:val="auto"/>
          <w:sz w:val="28"/>
          <w:szCs w:val="28"/>
          <w:u w:val="none"/>
          <w:lang w:val="en-US" w:eastAsia="zh-CN"/>
        </w:rPr>
        <w:t>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eastAsia="宋体" w:cs="宋体"/>
          <w:color w:val="auto"/>
          <w:sz w:val="28"/>
          <w:szCs w:val="28"/>
          <w:u w:val="none"/>
          <w:lang w:eastAsia="zh-CN"/>
        </w:rPr>
        <w:t>北京市丰台区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农业农村局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ckThinSmallGap" w:color="auto" w:sz="12" w:space="1"/>
          <w:right w:val="none" w:color="auto" w:sz="0" w:space="4"/>
          <w:between w:val="none" w:color="auto" w:sz="0" w:space="0"/>
        </w:pBdr>
        <w:shd w:val="clear" w:color="auto" w:fill="auto"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日</w:t>
      </w:r>
      <w:bookmarkStart w:id="39" w:name="_GoBack"/>
      <w:bookmarkEnd w:id="39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ckThinSmallGap" w:color="auto" w:sz="12" w:space="1"/>
          <w:right w:val="none" w:color="auto" w:sz="0" w:space="4"/>
          <w:between w:val="none" w:color="auto" w:sz="0" w:space="0"/>
        </w:pBdr>
        <w:shd w:val="clear" w:color="auto" w:fill="auto"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righ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03BB"/>
    <w:rsid w:val="09F25B00"/>
    <w:rsid w:val="1564365B"/>
    <w:rsid w:val="1B7074C1"/>
    <w:rsid w:val="3E4123D2"/>
    <w:rsid w:val="424E1901"/>
    <w:rsid w:val="453E5623"/>
    <w:rsid w:val="50974594"/>
    <w:rsid w:val="67F2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宋体" w:hAnsi="宋体" w:eastAsia="CESI宋体-GB2312" w:cs="宋体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line="560" w:lineRule="exact"/>
      <w:jc w:val="center"/>
      <w:textAlignment w:val="baseline"/>
      <w:outlineLvl w:val="0"/>
    </w:pPr>
    <w:rPr>
      <w:rFonts w:eastAsia="方正小标宋简体"/>
      <w:sz w:val="36"/>
      <w:szCs w:val="44"/>
      <w:shd w:val="clear" w:color="auto" w:fill="FFFFFF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napToGrid w:val="0"/>
      <w:spacing w:beforeLines="0" w:beforeAutospacing="0" w:afterLines="0" w:afterAutospacing="0" w:line="520" w:lineRule="exact"/>
      <w:ind w:firstLine="0" w:firstLineChars="0"/>
      <w:jc w:val="left"/>
      <w:outlineLvl w:val="2"/>
    </w:pPr>
    <w:rPr>
      <w:rFonts w:ascii="CESI黑体-GB2312" w:hAnsi="CESI黑体-GB2312" w:eastAsia="CESI黑体-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2025-07-14T06:13:00Z</dcterms:created>
  <dc:creator>建春</dc:creator>
  <cp:lastModifiedBy>建春</cp:lastModifiedBy>
  <cp:lastPrinted>2025-07-17T09:03:00Z</cp:lastPrinted>
  <dcterms:modified xsi:type="dcterms:W3CDTF">2025-10-10T00:20:23Z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14EB7E26A1644FCD96F540C24CD38B7A</vt:lpwstr>
  </property>
</Properties>
</file>