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8ED9C"/>
    <w:p w14:paraId="4D59F643">
      <w:pPr>
        <w:spacing w:line="0" w:lineRule="atLeast"/>
        <w:jc w:val="center"/>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eastAsia="zh-CN"/>
        </w:rPr>
        <w:t>北京市城市管理综合行政执法行政裁量权基准</w:t>
      </w:r>
    </w:p>
    <w:p w14:paraId="093668F3">
      <w:pPr>
        <w:spacing w:line="0" w:lineRule="atLeast"/>
        <w:jc w:val="center"/>
        <w:rPr>
          <w:rFonts w:hint="eastAsia" w:ascii="微软雅黑" w:hAnsi="微软雅黑" w:eastAsia="微软雅黑" w:cs="微软雅黑"/>
          <w:b w:val="0"/>
          <w:bCs w:val="0"/>
          <w:color w:val="000000"/>
          <w:sz w:val="44"/>
          <w:szCs w:val="44"/>
          <w:highlight w:val="none"/>
          <w:lang w:val="en-US" w:eastAsia="zh-CN"/>
        </w:rPr>
      </w:pPr>
    </w:p>
    <w:p w14:paraId="2CB3E9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Times New Roman"/>
          <w:color w:val="000000"/>
          <w:sz w:val="21"/>
          <w:szCs w:val="22"/>
          <w:highlight w:val="none"/>
        </w:rPr>
      </w:pPr>
      <w:r>
        <w:rPr>
          <w:rFonts w:hint="eastAsia" w:ascii="黑体" w:hAnsi="黑体" w:eastAsia="黑体" w:cs="Times New Roman"/>
          <w:b w:val="0"/>
          <w:bCs w:val="0"/>
          <w:color w:val="000000"/>
          <w:sz w:val="36"/>
          <w:szCs w:val="36"/>
          <w:highlight w:val="none"/>
        </w:rPr>
        <w:t>1 总则</w:t>
      </w:r>
    </w:p>
    <w:p w14:paraId="6E1D3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为规范</w:t>
      </w:r>
      <w:r>
        <w:rPr>
          <w:rFonts w:hint="eastAsia" w:ascii="仿宋_GB2312" w:hAnsi="仿宋_GB2312" w:eastAsia="仿宋_GB2312" w:cs="仿宋_GB2312"/>
          <w:b w:val="0"/>
          <w:bCs w:val="0"/>
          <w:color w:val="000000"/>
          <w:sz w:val="32"/>
          <w:szCs w:val="32"/>
          <w:highlight w:val="none"/>
          <w:lang w:eastAsia="zh-CN"/>
        </w:rPr>
        <w:t>本市各级城市管理综合行政执法部门行政裁量行为，确保行政处罚、行政检查、行政强制行为</w:t>
      </w:r>
      <w:r>
        <w:rPr>
          <w:rFonts w:hint="eastAsia" w:ascii="仿宋_GB2312" w:hAnsi="仿宋_GB2312" w:eastAsia="仿宋_GB2312" w:cs="仿宋_GB2312"/>
          <w:b w:val="0"/>
          <w:bCs w:val="0"/>
          <w:color w:val="000000"/>
          <w:sz w:val="32"/>
          <w:szCs w:val="32"/>
          <w:highlight w:val="none"/>
        </w:rPr>
        <w:t>合法和适当，</w:t>
      </w:r>
      <w:r>
        <w:rPr>
          <w:rFonts w:hint="eastAsia" w:ascii="仿宋_GB2312" w:hAnsi="仿宋_GB2312" w:eastAsia="仿宋_GB2312" w:cs="仿宋_GB2312"/>
          <w:b w:val="0"/>
          <w:bCs w:val="0"/>
          <w:color w:val="000000"/>
          <w:sz w:val="32"/>
          <w:szCs w:val="32"/>
          <w:highlight w:val="none"/>
          <w:lang w:eastAsia="zh-CN"/>
        </w:rPr>
        <w:t>持续</w:t>
      </w:r>
      <w:r>
        <w:rPr>
          <w:rFonts w:hint="eastAsia" w:ascii="仿宋_GB2312" w:hAnsi="仿宋_GB2312" w:eastAsia="仿宋_GB2312" w:cs="仿宋_GB2312"/>
          <w:b w:val="0"/>
          <w:bCs w:val="0"/>
          <w:color w:val="000000"/>
          <w:sz w:val="32"/>
          <w:szCs w:val="32"/>
          <w:highlight w:val="none"/>
        </w:rPr>
        <w:t>提升执法能力和社会公信</w:t>
      </w:r>
      <w:r>
        <w:rPr>
          <w:rFonts w:hint="eastAsia" w:ascii="仿宋_GB2312" w:hAnsi="仿宋_GB2312" w:eastAsia="仿宋_GB2312" w:cs="仿宋_GB2312"/>
          <w:b w:val="0"/>
          <w:bCs w:val="0"/>
          <w:color w:val="000000"/>
          <w:sz w:val="32"/>
          <w:szCs w:val="32"/>
          <w:highlight w:val="none"/>
          <w:lang w:eastAsia="zh-CN"/>
        </w:rPr>
        <w:t>力</w:t>
      </w:r>
      <w:r>
        <w:rPr>
          <w:rFonts w:hint="eastAsia" w:ascii="仿宋_GB2312" w:hAnsi="仿宋_GB2312" w:eastAsia="仿宋_GB2312" w:cs="仿宋_GB2312"/>
          <w:b w:val="0"/>
          <w:bCs w:val="0"/>
          <w:color w:val="000000"/>
          <w:sz w:val="32"/>
          <w:szCs w:val="32"/>
          <w:highlight w:val="none"/>
        </w:rPr>
        <w:t>，维护公民、法人或者其他组织的合法权益，</w:t>
      </w:r>
      <w:r>
        <w:rPr>
          <w:rFonts w:hint="eastAsia" w:ascii="仿宋_GB2312" w:hAnsi="仿宋_GB2312" w:eastAsia="仿宋_GB2312" w:cs="仿宋_GB2312"/>
          <w:b w:val="0"/>
          <w:bCs w:val="0"/>
          <w:color w:val="000000"/>
          <w:sz w:val="32"/>
          <w:szCs w:val="32"/>
          <w:highlight w:val="none"/>
          <w:lang w:eastAsia="zh-CN"/>
        </w:rPr>
        <w:t>优化法治化营商环境，</w:t>
      </w:r>
      <w:r>
        <w:rPr>
          <w:rFonts w:hint="eastAsia" w:ascii="仿宋_GB2312" w:hAnsi="仿宋_GB2312" w:eastAsia="仿宋_GB2312" w:cs="仿宋_GB2312"/>
          <w:b w:val="0"/>
          <w:bCs w:val="0"/>
          <w:color w:val="000000"/>
          <w:sz w:val="32"/>
          <w:szCs w:val="32"/>
          <w:highlight w:val="none"/>
        </w:rPr>
        <w:t>根据《中华人民共和国行政处罚法》</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中华人民共和国</w:t>
      </w:r>
      <w:r>
        <w:rPr>
          <w:rFonts w:hint="eastAsia" w:ascii="仿宋_GB2312" w:hAnsi="仿宋_GB2312" w:eastAsia="仿宋_GB2312" w:cs="仿宋_GB2312"/>
          <w:b w:val="0"/>
          <w:bCs w:val="0"/>
          <w:color w:val="000000"/>
          <w:sz w:val="32"/>
          <w:szCs w:val="32"/>
          <w:highlight w:val="none"/>
          <w:lang w:eastAsia="zh-CN"/>
        </w:rPr>
        <w:t>行政强制法》</w:t>
      </w:r>
      <w:r>
        <w:rPr>
          <w:rFonts w:hint="eastAsia" w:ascii="仿宋_GB2312" w:hAnsi="仿宋_GB2312" w:eastAsia="仿宋_GB2312" w:cs="仿宋_GB2312"/>
          <w:b w:val="0"/>
          <w:bCs w:val="0"/>
          <w:color w:val="000000"/>
          <w:sz w:val="32"/>
          <w:szCs w:val="32"/>
          <w:highlight w:val="none"/>
        </w:rPr>
        <w:t>以及</w:t>
      </w:r>
      <w:r>
        <w:rPr>
          <w:rFonts w:hint="eastAsia" w:ascii="仿宋_GB2312" w:hAnsi="仿宋_GB2312" w:eastAsia="仿宋_GB2312" w:cs="仿宋_GB2312"/>
          <w:b w:val="0"/>
          <w:bCs w:val="0"/>
          <w:color w:val="000000"/>
          <w:sz w:val="32"/>
          <w:szCs w:val="32"/>
          <w:highlight w:val="none"/>
          <w:lang w:eastAsia="zh-CN"/>
        </w:rPr>
        <w:t>国家和本市</w:t>
      </w:r>
      <w:r>
        <w:rPr>
          <w:rFonts w:hint="eastAsia" w:ascii="仿宋_GB2312" w:hAnsi="仿宋_GB2312" w:eastAsia="仿宋_GB2312" w:cs="仿宋_GB2312"/>
          <w:b w:val="0"/>
          <w:bCs w:val="0"/>
          <w:color w:val="000000"/>
          <w:sz w:val="32"/>
          <w:szCs w:val="32"/>
          <w:highlight w:val="none"/>
        </w:rPr>
        <w:t>有关规定，制定</w:t>
      </w:r>
      <w:r>
        <w:rPr>
          <w:rFonts w:hint="eastAsia" w:ascii="仿宋_GB2312" w:hAnsi="仿宋_GB2312" w:eastAsia="仿宋_GB2312" w:cs="仿宋_GB2312"/>
          <w:b w:val="0"/>
          <w:bCs w:val="0"/>
          <w:color w:val="000000"/>
          <w:sz w:val="32"/>
          <w:szCs w:val="32"/>
          <w:highlight w:val="none"/>
          <w:lang w:eastAsia="zh-CN"/>
        </w:rPr>
        <w:t>《北京市城市管理综合行政执法行政裁量权基准》（以下简称《基准》）。</w:t>
      </w:r>
    </w:p>
    <w:p w14:paraId="3F88B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本《基准》适用于</w:t>
      </w:r>
      <w:r>
        <w:rPr>
          <w:rFonts w:hint="eastAsia" w:ascii="仿宋_GB2312" w:hAnsi="仿宋_GB2312" w:eastAsia="仿宋_GB2312" w:cs="仿宋_GB2312"/>
          <w:b w:val="0"/>
          <w:bCs w:val="0"/>
          <w:color w:val="000000"/>
          <w:sz w:val="32"/>
          <w:szCs w:val="32"/>
          <w:highlight w:val="none"/>
          <w:lang w:eastAsia="zh-CN"/>
        </w:rPr>
        <w:t>市、区城市管理综合行政执法部门以及城市管理综合行政执法部门下放街道办事处、乡镇人民政府相关行政执法职权的裁量行为</w:t>
      </w:r>
      <w:r>
        <w:rPr>
          <w:rFonts w:hint="eastAsia" w:ascii="仿宋_GB2312" w:hAnsi="仿宋_GB2312" w:eastAsia="仿宋_GB2312" w:cs="仿宋_GB2312"/>
          <w:b w:val="0"/>
          <w:bCs w:val="0"/>
          <w:color w:val="000000"/>
          <w:sz w:val="32"/>
          <w:szCs w:val="32"/>
          <w:highlight w:val="none"/>
        </w:rPr>
        <w:t>。</w:t>
      </w:r>
    </w:p>
    <w:p w14:paraId="743D2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生态环境、农业农村、卫生健康等部门下放街道办事处、乡镇人民政府相关行政执法职权的裁量，依据下放部门的裁量权基准执行。法律法规规章直接规定由街道办事处、乡镇人民政府单独实施的行政执法职权，裁量依据相关职权的市级行业（领域）主管部门的裁量权基准执行。</w:t>
      </w:r>
    </w:p>
    <w:p w14:paraId="172A1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交通部门在本市重点站区范围内划入城市管理综合行政执法部门集中行使的相关执法职权的裁量，依据交通部门的裁量权基准执行。</w:t>
      </w:r>
    </w:p>
    <w:p w14:paraId="72D8022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dstrike w:val="0"/>
          <w:color w:val="000000"/>
          <w:kern w:val="0"/>
          <w:sz w:val="32"/>
          <w:szCs w:val="32"/>
          <w:highlight w:val="none"/>
          <w:u w:val="single"/>
          <w:lang w:val="en-US" w:eastAsia="zh-CN"/>
        </w:rPr>
      </w:pPr>
      <w:r>
        <w:rPr>
          <w:rFonts w:hint="eastAsia" w:ascii="仿宋_GB2312" w:hAnsi="仿宋_GB2312" w:eastAsia="仿宋_GB2312" w:cs="仿宋_GB2312"/>
          <w:b w:val="0"/>
          <w:bCs w:val="0"/>
          <w:strike w:val="0"/>
          <w:dstrike w:val="0"/>
          <w:color w:val="000000"/>
          <w:kern w:val="0"/>
          <w:sz w:val="32"/>
          <w:szCs w:val="32"/>
          <w:highlight w:val="none"/>
          <w:u w:val="none"/>
          <w:lang w:val="en-US" w:eastAsia="zh-CN"/>
        </w:rPr>
        <w:t>涉及城市管理领域安全生产相关执法职权的裁量，依据应急管理部门的裁量权基准执行。</w:t>
      </w:r>
    </w:p>
    <w:p w14:paraId="30AF1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Times New Roman"/>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其他相关部门承接城市管理综合行政执法部门下放职权的，相关裁量适用本《基</w:t>
      </w:r>
      <w:r>
        <w:rPr>
          <w:rFonts w:hint="eastAsia" w:ascii="仿宋_GB2312" w:hAnsi="等线" w:eastAsia="仿宋_GB2312" w:cs="Times New Roman"/>
          <w:b w:val="0"/>
          <w:bCs w:val="0"/>
          <w:color w:val="000000"/>
          <w:sz w:val="32"/>
          <w:szCs w:val="32"/>
          <w:highlight w:val="none"/>
          <w:lang w:eastAsia="zh-CN"/>
        </w:rPr>
        <w:t>准》。</w:t>
      </w:r>
    </w:p>
    <w:p w14:paraId="03D1FF06">
      <w:pPr>
        <w:keepNext w:val="0"/>
        <w:keepLines w:val="0"/>
        <w:pageBreakBefore w:val="0"/>
        <w:widowControl w:val="0"/>
        <w:kinsoku/>
        <w:overflowPunct/>
        <w:topLinePunct w:val="0"/>
        <w:autoSpaceDE/>
        <w:autoSpaceDN/>
        <w:bidi w:val="0"/>
        <w:adjustRightInd/>
        <w:spacing w:before="0" w:after="0" w:line="560" w:lineRule="exact"/>
        <w:jc w:val="both"/>
        <w:rPr>
          <w:rFonts w:hint="eastAsia" w:ascii="等线" w:hAnsi="等线" w:eastAsia="等线" w:cs="Times New Roman"/>
          <w:color w:val="000000"/>
          <w:kern w:val="2"/>
          <w:sz w:val="21"/>
          <w:szCs w:val="22"/>
          <w:highlight w:val="none"/>
          <w:lang w:val="en-US" w:eastAsia="zh-CN" w:bidi="ar-SA"/>
        </w:rPr>
      </w:pPr>
    </w:p>
    <w:p w14:paraId="1C1C9387">
      <w:pPr>
        <w:keepNext w:val="0"/>
        <w:keepLines w:val="0"/>
        <w:pageBreakBefore w:val="0"/>
        <w:numPr>
          <w:ilvl w:val="0"/>
          <w:numId w:val="0"/>
        </w:numPr>
        <w:kinsoku/>
        <w:overflowPunct/>
        <w:topLinePunct w:val="0"/>
        <w:autoSpaceDE/>
        <w:autoSpaceDN/>
        <w:bidi w:val="0"/>
        <w:adjustRightInd/>
        <w:spacing w:line="560" w:lineRule="exact"/>
        <w:ind w:firstLine="0" w:firstLineChars="0"/>
        <w:jc w:val="center"/>
        <w:rPr>
          <w:rFonts w:hint="eastAsia" w:ascii="仿宋_GB2312" w:hAnsi="等线" w:eastAsia="仿宋_GB2312" w:cs="Times New Roman"/>
          <w:b w:val="0"/>
          <w:bCs w:val="0"/>
          <w:color w:val="000000"/>
          <w:sz w:val="32"/>
          <w:szCs w:val="32"/>
          <w:highlight w:val="none"/>
        </w:rPr>
      </w:pPr>
      <w:r>
        <w:rPr>
          <w:rFonts w:hint="eastAsia" w:ascii="黑体" w:hAnsi="黑体" w:eastAsia="黑体" w:cs="Times New Roman"/>
          <w:b w:val="0"/>
          <w:bCs w:val="0"/>
          <w:color w:val="000000"/>
          <w:sz w:val="36"/>
          <w:szCs w:val="36"/>
          <w:highlight w:val="none"/>
          <w:lang w:val="en-US" w:eastAsia="zh-CN"/>
        </w:rPr>
        <w:t xml:space="preserve">2 </w:t>
      </w:r>
      <w:r>
        <w:rPr>
          <w:rFonts w:hint="eastAsia" w:ascii="黑体" w:hAnsi="黑体" w:eastAsia="黑体" w:cs="Times New Roman"/>
          <w:b w:val="0"/>
          <w:bCs w:val="0"/>
          <w:color w:val="000000"/>
          <w:sz w:val="36"/>
          <w:szCs w:val="36"/>
          <w:highlight w:val="none"/>
        </w:rPr>
        <w:t>实施</w:t>
      </w:r>
      <w:r>
        <w:rPr>
          <w:rFonts w:hint="eastAsia" w:ascii="黑体" w:hAnsi="黑体" w:eastAsia="黑体" w:cs="Times New Roman"/>
          <w:b w:val="0"/>
          <w:bCs w:val="0"/>
          <w:color w:val="000000"/>
          <w:sz w:val="36"/>
          <w:szCs w:val="36"/>
          <w:highlight w:val="none"/>
          <w:lang w:eastAsia="zh-CN"/>
        </w:rPr>
        <w:t>行政处罚</w:t>
      </w:r>
      <w:r>
        <w:rPr>
          <w:rFonts w:hint="eastAsia" w:ascii="黑体" w:hAnsi="黑体" w:eastAsia="黑体" w:cs="Times New Roman"/>
          <w:b w:val="0"/>
          <w:bCs w:val="0"/>
          <w:color w:val="000000"/>
          <w:sz w:val="36"/>
          <w:szCs w:val="36"/>
          <w:highlight w:val="none"/>
        </w:rPr>
        <w:t>裁量的基本规则</w:t>
      </w:r>
    </w:p>
    <w:p w14:paraId="7AE71062">
      <w:pPr>
        <w:keepNext w:val="0"/>
        <w:keepLines w:val="0"/>
        <w:pageBreakBefore w:val="0"/>
        <w:kinsoku/>
        <w:overflowPunct/>
        <w:topLinePunct w:val="0"/>
        <w:autoSpaceDE/>
        <w:autoSpaceDN/>
        <w:bidi w:val="0"/>
        <w:adjustRightInd/>
        <w:spacing w:line="560" w:lineRule="exact"/>
        <w:jc w:val="center"/>
        <w:rPr>
          <w:rFonts w:hint="eastAsia" w:ascii="黑体" w:hAnsi="黑体" w:eastAsia="黑体" w:cs="Times New Roman"/>
          <w:b w:val="0"/>
          <w:bCs w:val="0"/>
          <w:color w:val="000000"/>
          <w:sz w:val="32"/>
          <w:szCs w:val="32"/>
          <w:highlight w:val="none"/>
          <w:lang w:val="en-US" w:eastAsia="zh-CN"/>
        </w:rPr>
      </w:pPr>
    </w:p>
    <w:p w14:paraId="655F1487">
      <w:pPr>
        <w:keepNext w:val="0"/>
        <w:keepLines w:val="0"/>
        <w:pageBreakBefore w:val="0"/>
        <w:kinsoku/>
        <w:overflowPunct/>
        <w:topLinePunct w:val="0"/>
        <w:autoSpaceDE/>
        <w:autoSpaceDN/>
        <w:bidi w:val="0"/>
        <w:adjustRightInd/>
        <w:spacing w:line="560" w:lineRule="exact"/>
        <w:jc w:val="center"/>
        <w:rPr>
          <w:rFonts w:hint="eastAsia" w:ascii="黑体" w:hAnsi="黑体" w:eastAsia="黑体" w:cs="Times New Roman"/>
          <w:b w:val="0"/>
          <w:bCs w:val="0"/>
          <w:color w:val="000000"/>
          <w:sz w:val="32"/>
          <w:szCs w:val="32"/>
          <w:highlight w:val="none"/>
          <w:lang w:val="en-US" w:eastAsia="zh-CN"/>
        </w:rPr>
      </w:pPr>
      <w:r>
        <w:rPr>
          <w:rFonts w:hint="eastAsia" w:ascii="黑体" w:hAnsi="黑体" w:eastAsia="黑体" w:cs="Times New Roman"/>
          <w:b w:val="0"/>
          <w:bCs w:val="0"/>
          <w:color w:val="000000"/>
          <w:sz w:val="32"/>
          <w:szCs w:val="32"/>
          <w:highlight w:val="none"/>
          <w:lang w:val="en-US" w:eastAsia="zh-CN"/>
        </w:rPr>
        <w:t>2.1 定量计算处罚的规则</w:t>
      </w:r>
    </w:p>
    <w:p w14:paraId="77253D0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val="0"/>
          <w:color w:val="000000"/>
          <w:sz w:val="32"/>
          <w:szCs w:val="32"/>
          <w:highlight w:val="none"/>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.1</w:t>
      </w:r>
      <w:r>
        <w:rPr>
          <w:rFonts w:hint="eastAsia" w:ascii="仿宋_GB2312" w:hAnsi="仿宋_GB2312" w:eastAsia="仿宋_GB2312" w:cs="仿宋_GB2312"/>
          <w:b w:val="0"/>
          <w:bCs w:val="0"/>
          <w:strike w:val="0"/>
          <w:color w:val="000000"/>
          <w:sz w:val="32"/>
          <w:szCs w:val="32"/>
          <w:highlight w:val="none"/>
          <w:lang w:val="en-US" w:eastAsia="zh-CN"/>
        </w:rPr>
        <w:t xml:space="preserve"> </w:t>
      </w:r>
      <w:r>
        <w:rPr>
          <w:rFonts w:hint="eastAsia" w:ascii="仿宋_GB2312" w:hAnsi="仿宋_GB2312" w:eastAsia="仿宋_GB2312" w:cs="仿宋_GB2312"/>
          <w:b w:val="0"/>
          <w:bCs w:val="0"/>
          <w:strike w:val="0"/>
          <w:color w:val="000000"/>
          <w:sz w:val="32"/>
          <w:szCs w:val="32"/>
          <w:highlight w:val="none"/>
        </w:rPr>
        <w:t>根据</w:t>
      </w:r>
      <w:r>
        <w:rPr>
          <w:rFonts w:hint="eastAsia" w:ascii="仿宋_GB2312" w:hAnsi="仿宋_GB2312" w:eastAsia="仿宋_GB2312" w:cs="仿宋_GB2312"/>
          <w:b w:val="0"/>
          <w:bCs w:val="0"/>
          <w:strike w:val="0"/>
          <w:color w:val="000000"/>
          <w:sz w:val="32"/>
          <w:szCs w:val="32"/>
          <w:highlight w:val="none"/>
          <w:lang w:eastAsia="zh-CN"/>
        </w:rPr>
        <w:t>城市管理综合行政</w:t>
      </w:r>
      <w:r>
        <w:rPr>
          <w:rFonts w:hint="eastAsia" w:ascii="仿宋_GB2312" w:hAnsi="仿宋_GB2312" w:eastAsia="仿宋_GB2312" w:cs="仿宋_GB2312"/>
          <w:b w:val="0"/>
          <w:bCs w:val="0"/>
          <w:strike w:val="0"/>
          <w:color w:val="000000"/>
          <w:sz w:val="32"/>
          <w:szCs w:val="32"/>
          <w:highlight w:val="none"/>
        </w:rPr>
        <w:t>执法既有实践经验，采取定量计算的方式，设定处罚裁量阶次。</w:t>
      </w:r>
    </w:p>
    <w:p w14:paraId="1E514FEA">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color w:val="000000"/>
          <w:sz w:val="32"/>
          <w:szCs w:val="32"/>
          <w:highlight w:val="none"/>
          <w:lang w:val="en-US" w:eastAsia="zh-CN"/>
        </w:rPr>
      </w:pPr>
      <w:r>
        <w:rPr>
          <w:rFonts w:hint="eastAsia" w:ascii="仿宋_GB2312" w:hAnsi="仿宋_GB2312" w:eastAsia="仿宋_GB2312" w:cs="仿宋_GB2312"/>
          <w:b w:val="0"/>
          <w:bCs w:val="0"/>
          <w:strike w:val="0"/>
          <w:color w:val="000000"/>
          <w:sz w:val="32"/>
          <w:szCs w:val="32"/>
          <w:highlight w:val="none"/>
          <w:lang w:val="en-US" w:eastAsia="zh-CN"/>
        </w:rPr>
        <w:t>定量计算的公式为：</w:t>
      </w:r>
      <w:r>
        <w:rPr>
          <w:rFonts w:hint="eastAsia" w:ascii="仿宋_GB2312" w:hAnsi="仿宋_GB2312" w:eastAsia="仿宋_GB2312" w:cs="仿宋_GB2312"/>
          <w:b w:val="0"/>
          <w:bCs w:val="0"/>
          <w:strike w:val="0"/>
          <w:dstrike w:val="0"/>
          <w:color w:val="000000"/>
          <w:sz w:val="32"/>
          <w:szCs w:val="32"/>
          <w:highlight w:val="none"/>
          <w:lang w:val="en-US" w:eastAsia="zh-CN"/>
        </w:rPr>
        <w:t>罚款数额=罚款基数×（基准系数+情节系数）</w:t>
      </w:r>
      <w:r>
        <w:rPr>
          <w:rFonts w:hint="eastAsia" w:ascii="仿宋_GB2312" w:hAnsi="仿宋_GB2312" w:eastAsia="仿宋_GB2312" w:cs="仿宋_GB2312"/>
          <w:b w:val="0"/>
          <w:bCs w:val="0"/>
          <w:strike w:val="0"/>
          <w:color w:val="000000"/>
          <w:sz w:val="32"/>
          <w:szCs w:val="32"/>
          <w:highlight w:val="none"/>
          <w:lang w:val="en-US" w:eastAsia="zh-CN"/>
        </w:rPr>
        <w:t>。</w:t>
      </w:r>
    </w:p>
    <w:p w14:paraId="408B3997">
      <w:pPr>
        <w:keepNext w:val="0"/>
        <w:keepLines w:val="0"/>
        <w:pageBreakBefore w:val="0"/>
        <w:widowControl/>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trike w:val="0"/>
          <w:color w:val="000000"/>
          <w:sz w:val="32"/>
          <w:szCs w:val="32"/>
          <w:highlight w:val="none"/>
          <w:lang w:eastAsia="zh-CN"/>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eastAsia="zh-CN"/>
        </w:rPr>
        <w:t>2</w:t>
      </w:r>
      <w:r>
        <w:rPr>
          <w:rFonts w:hint="eastAsia" w:ascii="仿宋_GB2312" w:hAnsi="仿宋_GB2312" w:eastAsia="仿宋_GB2312" w:cs="仿宋_GB2312"/>
          <w:b w:val="0"/>
          <w:bCs w:val="0"/>
          <w:strike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实施定量处罚计算公式中的罚款基数，指法定最低的罚款额度或者《</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val="en-US" w:eastAsia="zh-CN"/>
        </w:rPr>
        <w:t>城市管理综合行政执法行政</w:t>
      </w:r>
      <w:r>
        <w:rPr>
          <w:rFonts w:hint="eastAsia" w:ascii="仿宋_GB2312" w:hAnsi="仿宋_GB2312" w:eastAsia="仿宋_GB2312" w:cs="仿宋_GB2312"/>
          <w:color w:val="000000"/>
          <w:sz w:val="32"/>
          <w:szCs w:val="32"/>
          <w:highlight w:val="none"/>
        </w:rPr>
        <w:t>处罚裁量基准表</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（以下简称《基准表》）</w:t>
      </w:r>
      <w:r>
        <w:rPr>
          <w:rFonts w:hint="eastAsia" w:ascii="仿宋_GB2312" w:hAnsi="仿宋_GB2312" w:eastAsia="仿宋_GB2312" w:cs="仿宋_GB2312"/>
          <w:b w:val="0"/>
          <w:bCs w:val="0"/>
          <w:color w:val="000000"/>
          <w:sz w:val="32"/>
          <w:szCs w:val="32"/>
          <w:highlight w:val="none"/>
        </w:rPr>
        <w:t>设定的罚款额度</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基准系数为1</w:t>
      </w:r>
      <w:r>
        <w:rPr>
          <w:rFonts w:hint="eastAsia" w:ascii="仿宋_GB2312" w:hAnsi="仿宋_GB2312" w:eastAsia="仿宋_GB2312" w:cs="仿宋_GB2312"/>
          <w:b w:val="0"/>
          <w:bCs w:val="0"/>
          <w:color w:val="000000"/>
          <w:sz w:val="32"/>
          <w:szCs w:val="32"/>
          <w:highlight w:val="none"/>
          <w:lang w:eastAsia="zh-CN"/>
        </w:rPr>
        <w:t>或者《基准表》设定的数值，</w:t>
      </w:r>
      <w:r>
        <w:rPr>
          <w:rFonts w:hint="eastAsia" w:ascii="仿宋_GB2312" w:hAnsi="仿宋_GB2312" w:eastAsia="仿宋_GB2312" w:cs="仿宋_GB2312"/>
          <w:color w:val="000000"/>
          <w:sz w:val="32"/>
          <w:szCs w:val="32"/>
          <w:highlight w:val="none"/>
          <w:lang w:val="en-US" w:eastAsia="zh-CN"/>
        </w:rPr>
        <w:t>情节系数</w:t>
      </w:r>
      <w:r>
        <w:rPr>
          <w:rFonts w:hint="eastAsia" w:ascii="仿宋_GB2312" w:hAnsi="仿宋_GB2312" w:eastAsia="仿宋_GB2312" w:cs="仿宋_GB2312"/>
          <w:b w:val="0"/>
          <w:bCs w:val="0"/>
          <w:color w:val="000000"/>
          <w:sz w:val="32"/>
          <w:szCs w:val="32"/>
          <w:highlight w:val="none"/>
          <w:lang w:eastAsia="zh-CN"/>
        </w:rPr>
        <w:t>依据违法行为的</w:t>
      </w:r>
      <w:r>
        <w:rPr>
          <w:rFonts w:hint="eastAsia" w:ascii="仿宋_GB2312" w:hAnsi="仿宋_GB2312" w:eastAsia="仿宋_GB2312" w:cs="仿宋_GB2312"/>
          <w:b w:val="0"/>
          <w:bCs w:val="0"/>
          <w:color w:val="000000"/>
          <w:sz w:val="32"/>
          <w:szCs w:val="32"/>
          <w:highlight w:val="none"/>
        </w:rPr>
        <w:t>违法事实、</w:t>
      </w:r>
      <w:r>
        <w:rPr>
          <w:rFonts w:hint="eastAsia" w:ascii="仿宋_GB2312" w:hAnsi="仿宋_GB2312" w:eastAsia="仿宋_GB2312" w:cs="仿宋_GB2312"/>
          <w:b w:val="0"/>
          <w:bCs w:val="0"/>
          <w:color w:val="000000"/>
          <w:sz w:val="32"/>
          <w:szCs w:val="32"/>
          <w:highlight w:val="none"/>
          <w:lang w:eastAsia="zh-CN"/>
        </w:rPr>
        <w:t>违法</w:t>
      </w:r>
      <w:r>
        <w:rPr>
          <w:rFonts w:hint="eastAsia" w:ascii="仿宋_GB2312" w:hAnsi="仿宋_GB2312" w:eastAsia="仿宋_GB2312" w:cs="仿宋_GB2312"/>
          <w:b w:val="0"/>
          <w:bCs w:val="0"/>
          <w:color w:val="000000"/>
          <w:sz w:val="32"/>
          <w:szCs w:val="32"/>
          <w:highlight w:val="none"/>
        </w:rPr>
        <w:t>性质、</w:t>
      </w:r>
      <w:r>
        <w:rPr>
          <w:rFonts w:hint="eastAsia" w:ascii="仿宋_GB2312" w:hAnsi="仿宋_GB2312" w:eastAsia="仿宋_GB2312" w:cs="仿宋_GB2312"/>
          <w:b w:val="0"/>
          <w:bCs w:val="0"/>
          <w:color w:val="000000"/>
          <w:sz w:val="32"/>
          <w:szCs w:val="32"/>
          <w:highlight w:val="none"/>
          <w:lang w:eastAsia="zh-CN"/>
        </w:rPr>
        <w:t>主观过错、</w:t>
      </w:r>
      <w:r>
        <w:rPr>
          <w:rFonts w:hint="eastAsia" w:ascii="仿宋_GB2312" w:hAnsi="仿宋_GB2312" w:eastAsia="仿宋_GB2312" w:cs="仿宋_GB2312"/>
          <w:b w:val="0"/>
          <w:bCs w:val="0"/>
          <w:color w:val="000000"/>
          <w:sz w:val="32"/>
          <w:szCs w:val="32"/>
          <w:highlight w:val="none"/>
        </w:rPr>
        <w:t>社会危害</w:t>
      </w:r>
      <w:r>
        <w:rPr>
          <w:rFonts w:hint="eastAsia" w:ascii="仿宋_GB2312" w:hAnsi="仿宋_GB2312" w:eastAsia="仿宋_GB2312" w:cs="仿宋_GB2312"/>
          <w:b w:val="0"/>
          <w:bCs w:val="0"/>
          <w:color w:val="000000"/>
          <w:sz w:val="32"/>
          <w:szCs w:val="32"/>
          <w:highlight w:val="none"/>
          <w:lang w:eastAsia="zh-CN"/>
        </w:rPr>
        <w:t>、改正情况、历史违法情形</w:t>
      </w:r>
      <w:r>
        <w:rPr>
          <w:rFonts w:hint="eastAsia" w:ascii="仿宋_GB2312" w:hAnsi="仿宋_GB2312" w:eastAsia="仿宋_GB2312" w:cs="仿宋_GB2312"/>
          <w:b w:val="0"/>
          <w:bCs w:val="0"/>
          <w:color w:val="000000"/>
          <w:sz w:val="32"/>
          <w:szCs w:val="32"/>
          <w:highlight w:val="none"/>
        </w:rPr>
        <w:t>等因素</w:t>
      </w:r>
      <w:r>
        <w:rPr>
          <w:rFonts w:hint="eastAsia" w:ascii="仿宋_GB2312" w:hAnsi="仿宋_GB2312" w:eastAsia="仿宋_GB2312" w:cs="仿宋_GB2312"/>
          <w:b w:val="0"/>
          <w:bCs w:val="0"/>
          <w:color w:val="000000"/>
          <w:sz w:val="32"/>
          <w:szCs w:val="32"/>
          <w:highlight w:val="none"/>
          <w:lang w:eastAsia="zh-CN"/>
        </w:rPr>
        <w:t>确定，具体</w:t>
      </w:r>
      <w:r>
        <w:rPr>
          <w:rFonts w:hint="eastAsia" w:ascii="仿宋_GB2312" w:hAnsi="仿宋_GB2312" w:eastAsia="仿宋_GB2312" w:cs="仿宋_GB2312"/>
          <w:strike w:val="0"/>
          <w:color w:val="000000"/>
          <w:sz w:val="32"/>
          <w:szCs w:val="32"/>
          <w:highlight w:val="none"/>
          <w:lang w:eastAsia="zh-CN"/>
        </w:rPr>
        <w:t>按照《基准表》中规定的情节，并结合本《基准》的一般性规定执行。</w:t>
      </w:r>
    </w:p>
    <w:p w14:paraId="453BF752">
      <w:pPr>
        <w:keepNext w:val="0"/>
        <w:keepLines w:val="0"/>
        <w:pageBreakBefore w:val="0"/>
        <w:widowControl/>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b w:val="0"/>
          <w:bCs w:val="0"/>
          <w:strike w:val="0"/>
          <w:color w:val="000000"/>
          <w:sz w:val="32"/>
          <w:szCs w:val="32"/>
          <w:highlight w:val="none"/>
          <w:lang w:val="en-US" w:eastAsia="zh-CN"/>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3 违法行为存在以下情节的，计入系数，并累加计算：</w:t>
      </w:r>
    </w:p>
    <w:p w14:paraId="26DB9D0B">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 xml:space="preserve">3.1 </w:t>
      </w:r>
      <w:r>
        <w:rPr>
          <w:rFonts w:hint="eastAsia" w:ascii="仿宋_GB2312" w:hAnsi="仿宋_GB2312" w:eastAsia="仿宋_GB2312" w:cs="仿宋_GB2312"/>
          <w:b w:val="0"/>
          <w:bCs w:val="0"/>
          <w:strike w:val="0"/>
          <w:color w:val="000000"/>
          <w:sz w:val="32"/>
          <w:szCs w:val="32"/>
          <w:highlight w:val="none"/>
        </w:rPr>
        <w:t>拒不改正或者继续实施违法行为的，</w:t>
      </w:r>
      <w:r>
        <w:rPr>
          <w:rFonts w:hint="eastAsia" w:ascii="仿宋_GB2312" w:hAnsi="仿宋_GB2312" w:eastAsia="仿宋_GB2312" w:cs="仿宋_GB2312"/>
          <w:b w:val="0"/>
          <w:bCs w:val="0"/>
          <w:strike w:val="0"/>
          <w:color w:val="000000"/>
          <w:sz w:val="32"/>
          <w:szCs w:val="32"/>
          <w:highlight w:val="none"/>
          <w:lang w:eastAsia="zh-CN"/>
        </w:rPr>
        <w:t>系数</w:t>
      </w:r>
      <w:r>
        <w:rPr>
          <w:rFonts w:hint="eastAsia" w:ascii="仿宋_GB2312" w:hAnsi="仿宋_GB2312" w:eastAsia="仿宋_GB2312" w:cs="仿宋_GB2312"/>
          <w:b w:val="0"/>
          <w:bCs w:val="0"/>
          <w:strike w:val="0"/>
          <w:color w:val="000000"/>
          <w:sz w:val="32"/>
          <w:szCs w:val="32"/>
          <w:highlight w:val="none"/>
        </w:rPr>
        <w:t>为1；相关执法案由明确规定以“逾期不改正”等情形为违法行为构成要件的除外。</w:t>
      </w:r>
    </w:p>
    <w:p w14:paraId="75560B9E">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val="0"/>
          <w:color w:val="000000"/>
          <w:sz w:val="32"/>
          <w:szCs w:val="32"/>
          <w:highlight w:val="none"/>
          <w:u w:val="none"/>
          <w:lang w:eastAsia="zh-CN"/>
        </w:rPr>
      </w:pPr>
      <w:r>
        <w:rPr>
          <w:rFonts w:hint="eastAsia" w:ascii="仿宋_GB2312" w:hAnsi="仿宋_GB2312" w:eastAsia="仿宋_GB2312" w:cs="仿宋_GB2312"/>
          <w:b w:val="0"/>
          <w:bCs w:val="0"/>
          <w:strike w:val="0"/>
          <w:color w:val="000000"/>
          <w:sz w:val="32"/>
          <w:szCs w:val="32"/>
          <w:highlight w:val="none"/>
          <w:u w:val="none"/>
          <w:lang w:val="en-US" w:eastAsia="zh-CN"/>
        </w:rPr>
        <w:t>2</w:t>
      </w:r>
      <w:r>
        <w:rPr>
          <w:rFonts w:hint="eastAsia" w:ascii="仿宋_GB2312" w:hAnsi="仿宋_GB2312" w:eastAsia="仿宋_GB2312" w:cs="仿宋_GB2312"/>
          <w:b w:val="0"/>
          <w:bCs w:val="0"/>
          <w:strike w:val="0"/>
          <w:color w:val="000000"/>
          <w:sz w:val="32"/>
          <w:szCs w:val="32"/>
          <w:highlight w:val="none"/>
          <w:u w:val="none"/>
        </w:rPr>
        <w:t>.</w:t>
      </w:r>
      <w:r>
        <w:rPr>
          <w:rFonts w:hint="eastAsia" w:ascii="仿宋_GB2312" w:hAnsi="仿宋_GB2312" w:eastAsia="仿宋_GB2312" w:cs="仿宋_GB2312"/>
          <w:b w:val="0"/>
          <w:bCs w:val="0"/>
          <w:strike w:val="0"/>
          <w:color w:val="000000"/>
          <w:sz w:val="32"/>
          <w:szCs w:val="32"/>
          <w:highlight w:val="none"/>
          <w:u w:val="none"/>
          <w:lang w:val="en-US" w:eastAsia="zh-CN"/>
        </w:rPr>
        <w:t>1</w:t>
      </w:r>
      <w:r>
        <w:rPr>
          <w:rFonts w:hint="eastAsia" w:ascii="仿宋_GB2312" w:hAnsi="仿宋_GB2312" w:eastAsia="仿宋_GB2312" w:cs="仿宋_GB2312"/>
          <w:b w:val="0"/>
          <w:bCs w:val="0"/>
          <w:strike w:val="0"/>
          <w:color w:val="000000"/>
          <w:sz w:val="32"/>
          <w:szCs w:val="32"/>
          <w:highlight w:val="none"/>
          <w:u w:val="none"/>
        </w:rPr>
        <w:t>.</w:t>
      </w:r>
      <w:r>
        <w:rPr>
          <w:rFonts w:hint="eastAsia" w:ascii="仿宋_GB2312" w:hAnsi="仿宋_GB2312" w:eastAsia="仿宋_GB2312" w:cs="仿宋_GB2312"/>
          <w:b w:val="0"/>
          <w:bCs w:val="0"/>
          <w:strike w:val="0"/>
          <w:color w:val="000000"/>
          <w:sz w:val="32"/>
          <w:szCs w:val="32"/>
          <w:highlight w:val="none"/>
          <w:u w:val="none"/>
          <w:lang w:eastAsia="zh-CN"/>
        </w:rPr>
        <w:t>3</w:t>
      </w:r>
      <w:r>
        <w:rPr>
          <w:rFonts w:hint="eastAsia" w:ascii="仿宋_GB2312" w:hAnsi="仿宋_GB2312" w:eastAsia="仿宋_GB2312" w:cs="仿宋_GB2312"/>
          <w:b w:val="0"/>
          <w:bCs w:val="0"/>
          <w:strike w:val="0"/>
          <w:color w:val="000000"/>
          <w:sz w:val="32"/>
          <w:szCs w:val="32"/>
          <w:highlight w:val="none"/>
          <w:u w:val="none"/>
          <w:lang w:val="en-US" w:eastAsia="zh-CN"/>
        </w:rPr>
        <w:t xml:space="preserve">.2 </w:t>
      </w:r>
      <w:r>
        <w:rPr>
          <w:rFonts w:hint="eastAsia" w:ascii="仿宋_GB2312" w:hAnsi="仿宋_GB2312" w:eastAsia="仿宋_GB2312" w:cs="仿宋_GB2312"/>
          <w:b w:val="0"/>
          <w:bCs w:val="0"/>
          <w:strike w:val="0"/>
          <w:color w:val="000000"/>
          <w:sz w:val="32"/>
          <w:szCs w:val="32"/>
          <w:highlight w:val="none"/>
          <w:u w:val="none"/>
        </w:rPr>
        <w:t>拒不配合调查取证，或者隐匿、伪造、销毁证据，妨碍</w:t>
      </w:r>
      <w:r>
        <w:rPr>
          <w:rFonts w:hint="eastAsia" w:ascii="仿宋_GB2312" w:hAnsi="仿宋_GB2312" w:eastAsia="仿宋_GB2312" w:cs="仿宋_GB2312"/>
          <w:b w:val="0"/>
          <w:bCs w:val="0"/>
          <w:strike w:val="0"/>
          <w:color w:val="000000"/>
          <w:sz w:val="32"/>
          <w:szCs w:val="32"/>
          <w:highlight w:val="none"/>
          <w:u w:val="none"/>
          <w:lang w:eastAsia="zh-CN"/>
        </w:rPr>
        <w:t>行政</w:t>
      </w:r>
      <w:r>
        <w:rPr>
          <w:rFonts w:hint="eastAsia" w:ascii="仿宋_GB2312" w:hAnsi="仿宋_GB2312" w:eastAsia="仿宋_GB2312" w:cs="仿宋_GB2312"/>
          <w:b w:val="0"/>
          <w:bCs w:val="0"/>
          <w:strike w:val="0"/>
          <w:color w:val="000000"/>
          <w:sz w:val="32"/>
          <w:szCs w:val="32"/>
          <w:highlight w:val="none"/>
          <w:u w:val="none"/>
        </w:rPr>
        <w:t>执法机关查处违法行为的，</w:t>
      </w:r>
      <w:r>
        <w:rPr>
          <w:rFonts w:hint="eastAsia" w:ascii="仿宋_GB2312" w:hAnsi="仿宋_GB2312" w:eastAsia="仿宋_GB2312" w:cs="仿宋_GB2312"/>
          <w:b w:val="0"/>
          <w:bCs w:val="0"/>
          <w:strike w:val="0"/>
          <w:color w:val="000000"/>
          <w:sz w:val="32"/>
          <w:szCs w:val="32"/>
          <w:highlight w:val="none"/>
          <w:u w:val="none"/>
          <w:lang w:eastAsia="zh-CN"/>
        </w:rPr>
        <w:t>系数</w:t>
      </w:r>
      <w:r>
        <w:rPr>
          <w:rFonts w:hint="eastAsia" w:ascii="仿宋_GB2312" w:hAnsi="仿宋_GB2312" w:eastAsia="仿宋_GB2312" w:cs="仿宋_GB2312"/>
          <w:b w:val="0"/>
          <w:bCs w:val="0"/>
          <w:strike w:val="0"/>
          <w:color w:val="000000"/>
          <w:sz w:val="32"/>
          <w:szCs w:val="32"/>
          <w:highlight w:val="none"/>
        </w:rPr>
        <w:t>为</w:t>
      </w:r>
      <w:r>
        <w:rPr>
          <w:rFonts w:hint="eastAsia" w:ascii="仿宋_GB2312" w:hAnsi="仿宋_GB2312" w:eastAsia="仿宋_GB2312" w:cs="仿宋_GB2312"/>
          <w:b w:val="0"/>
          <w:bCs w:val="0"/>
          <w:strike w:val="0"/>
          <w:color w:val="000000"/>
          <w:sz w:val="32"/>
          <w:szCs w:val="32"/>
          <w:highlight w:val="none"/>
          <w:u w:val="none"/>
        </w:rPr>
        <w:t>1。</w:t>
      </w:r>
      <w:r>
        <w:rPr>
          <w:rFonts w:hint="eastAsia" w:ascii="仿宋_GB2312" w:hAnsi="仿宋_GB2312" w:eastAsia="仿宋_GB2312" w:cs="仿宋_GB2312"/>
          <w:b w:val="0"/>
          <w:bCs w:val="0"/>
          <w:strike w:val="0"/>
          <w:color w:val="000000"/>
          <w:sz w:val="32"/>
          <w:szCs w:val="32"/>
          <w:highlight w:val="none"/>
        </w:rPr>
        <w:t>相关执法案由明确规定以</w:t>
      </w:r>
      <w:r>
        <w:rPr>
          <w:rFonts w:hint="eastAsia" w:ascii="仿宋_GB2312" w:hAnsi="仿宋_GB2312" w:eastAsia="仿宋_GB2312" w:cs="仿宋_GB2312"/>
          <w:b w:val="0"/>
          <w:bCs w:val="0"/>
          <w:strike w:val="0"/>
          <w:color w:val="000000"/>
          <w:sz w:val="32"/>
          <w:szCs w:val="32"/>
          <w:highlight w:val="none"/>
          <w:lang w:eastAsia="zh-CN"/>
        </w:rPr>
        <w:t>上述</w:t>
      </w:r>
      <w:r>
        <w:rPr>
          <w:rFonts w:hint="eastAsia" w:ascii="仿宋_GB2312" w:hAnsi="仿宋_GB2312" w:eastAsia="仿宋_GB2312" w:cs="仿宋_GB2312"/>
          <w:b w:val="0"/>
          <w:bCs w:val="0"/>
          <w:strike w:val="0"/>
          <w:color w:val="000000"/>
          <w:sz w:val="32"/>
          <w:szCs w:val="32"/>
          <w:highlight w:val="none"/>
        </w:rPr>
        <w:t>情形为违法行为构成要件的除外</w:t>
      </w:r>
      <w:r>
        <w:rPr>
          <w:rFonts w:hint="eastAsia" w:ascii="仿宋_GB2312" w:hAnsi="仿宋_GB2312" w:eastAsia="仿宋_GB2312" w:cs="仿宋_GB2312"/>
          <w:b w:val="0"/>
          <w:bCs w:val="0"/>
          <w:strike w:val="0"/>
          <w:color w:val="000000"/>
          <w:sz w:val="32"/>
          <w:szCs w:val="32"/>
          <w:highlight w:val="none"/>
          <w:lang w:eastAsia="zh-CN"/>
        </w:rPr>
        <w:t>。</w:t>
      </w:r>
    </w:p>
    <w:p w14:paraId="08999D8E">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lang w:eastAsia="zh-CN"/>
        </w:rPr>
        <w:t>3</w:t>
      </w:r>
      <w:r>
        <w:rPr>
          <w:rFonts w:hint="eastAsia" w:ascii="仿宋_GB2312" w:hAnsi="仿宋_GB2312" w:eastAsia="仿宋_GB2312" w:cs="仿宋_GB2312"/>
          <w:b w:val="0"/>
          <w:bCs w:val="0"/>
          <w:color w:val="000000"/>
          <w:sz w:val="32"/>
          <w:szCs w:val="32"/>
          <w:highlight w:val="none"/>
        </w:rPr>
        <w:t>.3</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一年度内</w:t>
      </w:r>
      <w:r>
        <w:rPr>
          <w:rFonts w:hint="eastAsia" w:ascii="仿宋_GB2312" w:hAnsi="仿宋_GB2312" w:eastAsia="仿宋_GB2312" w:cs="仿宋_GB2312"/>
          <w:b w:val="0"/>
          <w:bCs w:val="0"/>
          <w:color w:val="000000"/>
          <w:sz w:val="32"/>
          <w:szCs w:val="32"/>
          <w:highlight w:val="none"/>
          <w:lang w:eastAsia="zh-CN"/>
        </w:rPr>
        <w:t>已</w:t>
      </w:r>
      <w:r>
        <w:rPr>
          <w:rFonts w:hint="eastAsia" w:ascii="仿宋_GB2312" w:hAnsi="仿宋_GB2312" w:eastAsia="仿宋_GB2312" w:cs="仿宋_GB2312"/>
          <w:b w:val="0"/>
          <w:bCs w:val="0"/>
          <w:color w:val="000000"/>
          <w:sz w:val="32"/>
          <w:szCs w:val="32"/>
          <w:highlight w:val="none"/>
        </w:rPr>
        <w:t>有</w:t>
      </w:r>
      <w:r>
        <w:rPr>
          <w:rFonts w:hint="eastAsia" w:ascii="仿宋_GB2312" w:hAnsi="仿宋_GB2312" w:eastAsia="仿宋_GB2312" w:cs="仿宋_GB2312"/>
          <w:b w:val="0"/>
          <w:bCs w:val="0"/>
          <w:strike w:val="0"/>
          <w:color w:val="000000"/>
          <w:sz w:val="32"/>
          <w:szCs w:val="32"/>
          <w:highlight w:val="none"/>
          <w:lang w:val="en-US"/>
        </w:rPr>
        <w:t>1</w:t>
      </w:r>
      <w:r>
        <w:rPr>
          <w:rFonts w:hint="eastAsia" w:ascii="仿宋_GB2312" w:hAnsi="仿宋_GB2312" w:eastAsia="仿宋_GB2312" w:cs="仿宋_GB2312"/>
          <w:b w:val="0"/>
          <w:bCs w:val="0"/>
          <w:color w:val="000000"/>
          <w:sz w:val="32"/>
          <w:szCs w:val="32"/>
          <w:highlight w:val="none"/>
        </w:rPr>
        <w:t>次同类性质违法行为，并受到</w:t>
      </w:r>
      <w:r>
        <w:rPr>
          <w:rFonts w:hint="eastAsia" w:ascii="仿宋_GB2312" w:hAnsi="仿宋_GB2312" w:eastAsia="仿宋_GB2312" w:cs="仿宋_GB2312"/>
          <w:b w:val="0"/>
          <w:bCs w:val="0"/>
          <w:color w:val="000000"/>
          <w:sz w:val="32"/>
          <w:szCs w:val="32"/>
          <w:highlight w:val="none"/>
          <w:lang w:eastAsia="zh-CN"/>
        </w:rPr>
        <w:t>过市、区城市管理综合行政执法部门以及</w:t>
      </w:r>
      <w:r>
        <w:rPr>
          <w:rFonts w:hint="eastAsia" w:ascii="仿宋_GB2312" w:hAnsi="仿宋_GB2312" w:eastAsia="仿宋_GB2312" w:cs="仿宋_GB2312"/>
          <w:b w:val="0"/>
          <w:bCs w:val="0"/>
          <w:color w:val="000000"/>
          <w:sz w:val="32"/>
          <w:szCs w:val="32"/>
          <w:highlight w:val="none"/>
        </w:rPr>
        <w:t>街道办事处、乡镇人民政府书面告诫或者处罚的，</w:t>
      </w:r>
      <w:r>
        <w:rPr>
          <w:rFonts w:hint="eastAsia" w:ascii="仿宋_GB2312" w:hAnsi="仿宋_GB2312" w:eastAsia="仿宋_GB2312" w:cs="仿宋_GB2312"/>
          <w:b w:val="0"/>
          <w:bCs w:val="0"/>
          <w:color w:val="000000"/>
          <w:sz w:val="32"/>
          <w:szCs w:val="32"/>
          <w:highlight w:val="none"/>
          <w:lang w:eastAsia="zh-CN"/>
        </w:rPr>
        <w:t>系数为</w:t>
      </w:r>
      <w:r>
        <w:rPr>
          <w:rFonts w:hint="eastAsia" w:ascii="仿宋_GB2312" w:hAnsi="仿宋_GB2312" w:eastAsia="仿宋_GB2312" w:cs="仿宋_GB2312"/>
          <w:b w:val="0"/>
          <w:bCs w:val="0"/>
          <w:color w:val="000000"/>
          <w:sz w:val="32"/>
          <w:szCs w:val="32"/>
          <w:highlight w:val="none"/>
        </w:rPr>
        <w:t>1；一年度内</w:t>
      </w:r>
      <w:r>
        <w:rPr>
          <w:rFonts w:hint="eastAsia" w:ascii="仿宋_GB2312" w:hAnsi="仿宋_GB2312" w:eastAsia="仿宋_GB2312" w:cs="仿宋_GB2312"/>
          <w:b w:val="0"/>
          <w:bCs w:val="0"/>
          <w:color w:val="000000"/>
          <w:sz w:val="32"/>
          <w:szCs w:val="32"/>
          <w:highlight w:val="none"/>
          <w:lang w:eastAsia="zh-CN"/>
        </w:rPr>
        <w:t>已</w:t>
      </w:r>
      <w:r>
        <w:rPr>
          <w:rFonts w:hint="eastAsia" w:ascii="仿宋_GB2312" w:hAnsi="仿宋_GB2312" w:eastAsia="仿宋_GB2312" w:cs="仿宋_GB2312"/>
          <w:b w:val="0"/>
          <w:bCs w:val="0"/>
          <w:color w:val="000000"/>
          <w:sz w:val="32"/>
          <w:szCs w:val="32"/>
          <w:highlight w:val="none"/>
        </w:rPr>
        <w:t>有</w:t>
      </w: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次同类性质违法行为，并受到</w:t>
      </w:r>
      <w:r>
        <w:rPr>
          <w:rFonts w:hint="eastAsia" w:ascii="仿宋_GB2312" w:hAnsi="仿宋_GB2312" w:eastAsia="仿宋_GB2312" w:cs="仿宋_GB2312"/>
          <w:b w:val="0"/>
          <w:bCs w:val="0"/>
          <w:color w:val="000000"/>
          <w:sz w:val="32"/>
          <w:szCs w:val="32"/>
          <w:highlight w:val="none"/>
          <w:lang w:eastAsia="zh-CN"/>
        </w:rPr>
        <w:t>过市、区城市管理综合行政执法部门以及</w:t>
      </w:r>
      <w:r>
        <w:rPr>
          <w:rFonts w:hint="eastAsia" w:ascii="仿宋_GB2312" w:hAnsi="仿宋_GB2312" w:eastAsia="仿宋_GB2312" w:cs="仿宋_GB2312"/>
          <w:b w:val="0"/>
          <w:bCs w:val="0"/>
          <w:color w:val="000000"/>
          <w:sz w:val="32"/>
          <w:szCs w:val="32"/>
          <w:highlight w:val="none"/>
        </w:rPr>
        <w:t>街道办事处、乡镇人民政府书面告诫或者处罚的，</w:t>
      </w:r>
      <w:r>
        <w:rPr>
          <w:rFonts w:hint="eastAsia" w:ascii="仿宋_GB2312" w:hAnsi="仿宋_GB2312" w:eastAsia="仿宋_GB2312" w:cs="仿宋_GB2312"/>
          <w:b w:val="0"/>
          <w:bCs w:val="0"/>
          <w:color w:val="000000"/>
          <w:sz w:val="32"/>
          <w:szCs w:val="32"/>
          <w:highlight w:val="none"/>
          <w:lang w:eastAsia="zh-CN"/>
        </w:rPr>
        <w:t>系数为</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eastAsia="zh-CN"/>
        </w:rPr>
        <w:t>已有</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次</w:t>
      </w:r>
      <w:r>
        <w:rPr>
          <w:rFonts w:hint="eastAsia" w:ascii="仿宋_GB2312" w:hAnsi="仿宋_GB2312" w:eastAsia="仿宋_GB2312" w:cs="仿宋_GB2312"/>
          <w:b w:val="0"/>
          <w:bCs w:val="0"/>
          <w:color w:val="000000"/>
          <w:sz w:val="32"/>
          <w:szCs w:val="32"/>
          <w:highlight w:val="none"/>
          <w:lang w:eastAsia="zh-CN"/>
        </w:rPr>
        <w:t>的</w:t>
      </w:r>
      <w:r>
        <w:rPr>
          <w:rFonts w:hint="eastAsia" w:ascii="仿宋_GB2312" w:hAnsi="仿宋_GB2312" w:eastAsia="仿宋_GB2312" w:cs="仿宋_GB2312"/>
          <w:b w:val="0"/>
          <w:bCs w:val="0"/>
          <w:strike w:val="0"/>
          <w:color w:val="000000"/>
          <w:sz w:val="32"/>
          <w:szCs w:val="32"/>
          <w:highlight w:val="none"/>
          <w:lang w:eastAsia="zh-CN"/>
        </w:rPr>
        <w:t>，系数为</w:t>
      </w:r>
      <w:r>
        <w:rPr>
          <w:rFonts w:hint="eastAsia" w:ascii="仿宋_GB2312" w:hAnsi="仿宋_GB2312" w:eastAsia="仿宋_GB2312" w:cs="仿宋_GB2312"/>
          <w:b w:val="0"/>
          <w:bCs w:val="0"/>
          <w:strike w:val="0"/>
          <w:color w:val="000000"/>
          <w:sz w:val="32"/>
          <w:szCs w:val="32"/>
          <w:highlight w:val="none"/>
          <w:lang w:val="en-US" w:eastAsia="zh-CN"/>
        </w:rPr>
        <w:t>3,以此类推</w:t>
      </w:r>
      <w:r>
        <w:rPr>
          <w:rFonts w:hint="eastAsia" w:ascii="仿宋_GB2312" w:hAnsi="仿宋_GB2312" w:eastAsia="仿宋_GB2312" w:cs="仿宋_GB2312"/>
          <w:b w:val="0"/>
          <w:bCs w:val="0"/>
          <w:color w:val="000000"/>
          <w:sz w:val="32"/>
          <w:szCs w:val="32"/>
          <w:highlight w:val="none"/>
        </w:rPr>
        <w:t>。</w:t>
      </w:r>
    </w:p>
    <w:p w14:paraId="00CC3824">
      <w:pPr>
        <w:keepNext w:val="0"/>
        <w:keepLines w:val="0"/>
        <w:pageBreakBefore w:val="0"/>
        <w:widowControl/>
        <w:shd w:val="clear" w:color="auto" w:fill="FFFFFF"/>
        <w:kinsoku/>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b w:val="0"/>
          <w:bCs w:val="0"/>
          <w:color w:val="000000"/>
          <w:spacing w:val="-10"/>
          <w:kern w:val="0"/>
          <w:sz w:val="32"/>
          <w:szCs w:val="32"/>
          <w:highlight w:val="none"/>
        </w:rPr>
      </w:pPr>
      <w:r>
        <w:rPr>
          <w:rFonts w:hint="eastAsia" w:ascii="仿宋_GB2312" w:hAnsi="仿宋_GB2312" w:eastAsia="仿宋_GB2312" w:cs="仿宋_GB2312"/>
          <w:b w:val="0"/>
          <w:bCs w:val="0"/>
          <w:color w:val="000000"/>
          <w:kern w:val="0"/>
          <w:sz w:val="32"/>
          <w:szCs w:val="32"/>
          <w:highlight w:val="none"/>
          <w:lang w:val="en-US" w:eastAsia="zh-CN"/>
        </w:rPr>
        <w:t>2</w:t>
      </w:r>
      <w:r>
        <w:rPr>
          <w:rFonts w:hint="eastAsia" w:ascii="仿宋_GB2312" w:hAnsi="仿宋_GB2312" w:eastAsia="仿宋_GB2312" w:cs="仿宋_GB2312"/>
          <w:b w:val="0"/>
          <w:bCs w:val="0"/>
          <w:color w:val="000000"/>
          <w:kern w:val="0"/>
          <w:sz w:val="32"/>
          <w:szCs w:val="32"/>
          <w:highlight w:val="none"/>
        </w:rPr>
        <w:t>.</w:t>
      </w:r>
      <w:r>
        <w:rPr>
          <w:rFonts w:hint="eastAsia" w:ascii="仿宋_GB2312" w:hAnsi="仿宋_GB2312" w:eastAsia="仿宋_GB2312" w:cs="仿宋_GB2312"/>
          <w:b w:val="0"/>
          <w:bCs w:val="0"/>
          <w:color w:val="000000"/>
          <w:kern w:val="0"/>
          <w:sz w:val="32"/>
          <w:szCs w:val="32"/>
          <w:highlight w:val="none"/>
          <w:lang w:val="en-US" w:eastAsia="zh-CN"/>
        </w:rPr>
        <w:t>1.</w:t>
      </w:r>
      <w:r>
        <w:rPr>
          <w:rFonts w:hint="eastAsia" w:ascii="仿宋_GB2312" w:hAnsi="仿宋_GB2312" w:eastAsia="仿宋_GB2312" w:cs="仿宋_GB2312"/>
          <w:b w:val="0"/>
          <w:bCs w:val="0"/>
          <w:color w:val="000000"/>
          <w:kern w:val="0"/>
          <w:sz w:val="32"/>
          <w:szCs w:val="32"/>
          <w:highlight w:val="none"/>
          <w:lang w:eastAsia="zh-CN"/>
        </w:rPr>
        <w:t>3</w:t>
      </w:r>
      <w:r>
        <w:rPr>
          <w:rFonts w:hint="eastAsia" w:ascii="仿宋_GB2312" w:hAnsi="仿宋_GB2312" w:eastAsia="仿宋_GB2312" w:cs="仿宋_GB2312"/>
          <w:b w:val="0"/>
          <w:bCs w:val="0"/>
          <w:color w:val="000000"/>
          <w:kern w:val="0"/>
          <w:sz w:val="32"/>
          <w:szCs w:val="32"/>
          <w:highlight w:val="none"/>
        </w:rPr>
        <w:t>.4</w:t>
      </w:r>
      <w:r>
        <w:rPr>
          <w:rFonts w:hint="default" w:ascii="仿宋_GB2312" w:hAnsi="仿宋_GB2312" w:eastAsia="仿宋_GB2312" w:cs="仿宋_GB2312"/>
          <w:b w:val="0"/>
          <w:bCs w:val="0"/>
          <w:color w:val="000000"/>
          <w:kern w:val="0"/>
          <w:sz w:val="32"/>
          <w:szCs w:val="32"/>
          <w:highlight w:val="none"/>
          <w:lang w:val="en-US"/>
        </w:rPr>
        <w:t xml:space="preserve"> </w:t>
      </w:r>
      <w:r>
        <w:rPr>
          <w:rFonts w:hint="eastAsia" w:ascii="仿宋_GB2312" w:hAnsi="仿宋_GB2312" w:eastAsia="仿宋_GB2312" w:cs="仿宋_GB2312"/>
          <w:b w:val="0"/>
          <w:bCs w:val="0"/>
          <w:color w:val="000000"/>
          <w:kern w:val="0"/>
          <w:sz w:val="32"/>
          <w:szCs w:val="32"/>
          <w:highlight w:val="none"/>
        </w:rPr>
        <w:t>违法行为发生在国家和本市批准或组织的重大活动、会议、庆典等期间，</w:t>
      </w:r>
      <w:r>
        <w:rPr>
          <w:rFonts w:hint="eastAsia" w:ascii="仿宋_GB2312" w:hAnsi="仿宋_GB2312" w:eastAsia="仿宋_GB2312" w:cs="仿宋_GB2312"/>
          <w:b w:val="0"/>
          <w:bCs w:val="0"/>
          <w:color w:val="000000"/>
          <w:kern w:val="0"/>
          <w:sz w:val="32"/>
          <w:szCs w:val="32"/>
          <w:highlight w:val="none"/>
          <w:lang w:eastAsia="zh-CN"/>
        </w:rPr>
        <w:t>系数</w:t>
      </w:r>
      <w:r>
        <w:rPr>
          <w:rFonts w:hint="eastAsia" w:ascii="仿宋_GB2312" w:hAnsi="仿宋_GB2312" w:eastAsia="仿宋_GB2312" w:cs="仿宋_GB2312"/>
          <w:b w:val="0"/>
          <w:bCs w:val="0"/>
          <w:color w:val="000000"/>
          <w:sz w:val="32"/>
          <w:szCs w:val="32"/>
          <w:highlight w:val="none"/>
        </w:rPr>
        <w:t>为</w:t>
      </w:r>
      <w:r>
        <w:rPr>
          <w:rFonts w:hint="eastAsia" w:ascii="仿宋_GB2312" w:hAnsi="仿宋_GB2312" w:eastAsia="仿宋_GB2312" w:cs="仿宋_GB2312"/>
          <w:b w:val="0"/>
          <w:bCs w:val="0"/>
          <w:color w:val="000000"/>
          <w:kern w:val="0"/>
          <w:sz w:val="32"/>
          <w:szCs w:val="32"/>
          <w:highlight w:val="none"/>
        </w:rPr>
        <w:t>1。上述活动或者期间存在固定场所和执法保障范围的，该</w:t>
      </w:r>
      <w:r>
        <w:rPr>
          <w:rFonts w:hint="eastAsia" w:ascii="仿宋_GB2312" w:hAnsi="仿宋_GB2312" w:eastAsia="仿宋_GB2312" w:cs="仿宋_GB2312"/>
          <w:b w:val="0"/>
          <w:bCs w:val="0"/>
          <w:color w:val="000000"/>
          <w:kern w:val="0"/>
          <w:sz w:val="32"/>
          <w:szCs w:val="32"/>
          <w:highlight w:val="none"/>
          <w:lang w:eastAsia="zh-CN"/>
        </w:rPr>
        <w:t>系数</w:t>
      </w:r>
      <w:r>
        <w:rPr>
          <w:rFonts w:hint="eastAsia" w:ascii="仿宋_GB2312" w:hAnsi="仿宋_GB2312" w:eastAsia="仿宋_GB2312" w:cs="仿宋_GB2312"/>
          <w:b w:val="0"/>
          <w:bCs w:val="0"/>
          <w:color w:val="000000"/>
          <w:kern w:val="0"/>
          <w:sz w:val="32"/>
          <w:szCs w:val="32"/>
          <w:highlight w:val="none"/>
        </w:rPr>
        <w:t>仅适用于固定场所周边和执法保障范围。</w:t>
      </w:r>
    </w:p>
    <w:p w14:paraId="04618DEE">
      <w:pPr>
        <w:keepNext w:val="0"/>
        <w:keepLines w:val="0"/>
        <w:pageBreakBefore w:val="0"/>
        <w:shd w:val="clear" w:color="auto" w:fill="FFFFFF"/>
        <w:kinsoku/>
        <w:overflowPunct/>
        <w:topLinePunct w:val="0"/>
        <w:autoSpaceDE/>
        <w:autoSpaceDN/>
        <w:bidi w:val="0"/>
        <w:adjustRightInd/>
        <w:snapToGrid w:val="0"/>
        <w:spacing w:line="560" w:lineRule="exact"/>
        <w:ind w:firstLine="627" w:firstLineChars="196"/>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rPr>
        <w:t>2</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1.3</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 xml:space="preserve">5 </w:t>
      </w:r>
      <w:r>
        <w:rPr>
          <w:rFonts w:hint="eastAsia" w:ascii="仿宋_GB2312" w:hAnsi="仿宋_GB2312" w:eastAsia="仿宋_GB2312" w:cs="仿宋_GB2312"/>
          <w:b w:val="0"/>
          <w:bCs w:val="0"/>
          <w:color w:val="000000"/>
          <w:kern w:val="2"/>
          <w:sz w:val="32"/>
          <w:szCs w:val="32"/>
          <w:highlight w:val="none"/>
        </w:rPr>
        <w:t>违法行为发生在</w:t>
      </w:r>
      <w:r>
        <w:rPr>
          <w:rFonts w:hint="eastAsia" w:ascii="仿宋_GB2312" w:hAnsi="仿宋_GB2312" w:eastAsia="仿宋_GB2312" w:cs="仿宋_GB2312"/>
          <w:b w:val="0"/>
          <w:bCs w:val="0"/>
          <w:color w:val="000000"/>
          <w:sz w:val="32"/>
          <w:szCs w:val="32"/>
          <w:highlight w:val="none"/>
        </w:rPr>
        <w:t>一类严格控制地区，系数为2；二类重点管理地区，系数为1；三类日常管理地区，系数为0。</w:t>
      </w:r>
      <w:r>
        <w:rPr>
          <w:rFonts w:hint="eastAsia" w:ascii="仿宋_GB2312" w:hAnsi="仿宋_GB2312" w:eastAsia="仿宋_GB2312" w:cs="仿宋_GB2312"/>
          <w:b w:val="0"/>
          <w:bCs w:val="0"/>
          <w:color w:val="000000"/>
          <w:sz w:val="32"/>
          <w:szCs w:val="32"/>
          <w:highlight w:val="none"/>
          <w:lang w:eastAsia="zh-CN"/>
        </w:rPr>
        <w:t>三</w:t>
      </w:r>
      <w:r>
        <w:rPr>
          <w:rFonts w:hint="eastAsia" w:ascii="仿宋_GB2312" w:hAnsi="仿宋_GB2312" w:eastAsia="仿宋_GB2312" w:cs="仿宋_GB2312"/>
          <w:b w:val="0"/>
          <w:bCs w:val="0"/>
          <w:color w:val="000000"/>
          <w:sz w:val="32"/>
          <w:szCs w:val="32"/>
          <w:highlight w:val="none"/>
        </w:rPr>
        <w:t>类地区</w:t>
      </w:r>
      <w:r>
        <w:rPr>
          <w:rFonts w:hint="eastAsia" w:ascii="仿宋_GB2312" w:hAnsi="仿宋_GB2312" w:eastAsia="仿宋_GB2312" w:cs="仿宋_GB2312"/>
          <w:b w:val="0"/>
          <w:bCs w:val="0"/>
          <w:color w:val="000000"/>
          <w:sz w:val="32"/>
          <w:szCs w:val="32"/>
          <w:highlight w:val="none"/>
          <w:lang w:eastAsia="zh-CN"/>
        </w:rPr>
        <w:t>台账</w:t>
      </w:r>
      <w:r>
        <w:rPr>
          <w:rFonts w:hint="eastAsia" w:ascii="仿宋_GB2312" w:hAnsi="仿宋_GB2312" w:eastAsia="仿宋_GB2312" w:cs="仿宋_GB2312"/>
          <w:b w:val="0"/>
          <w:bCs w:val="0"/>
          <w:color w:val="000000"/>
          <w:sz w:val="32"/>
          <w:szCs w:val="32"/>
          <w:highlight w:val="none"/>
        </w:rPr>
        <w:t>，按照《</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val="en-US" w:eastAsia="zh-CN"/>
        </w:rPr>
        <w:t>城市管理综合行政执法行政</w:t>
      </w:r>
      <w:r>
        <w:rPr>
          <w:rFonts w:hint="eastAsia" w:ascii="仿宋_GB2312" w:hAnsi="仿宋_GB2312" w:eastAsia="仿宋_GB2312" w:cs="仿宋_GB2312"/>
          <w:b w:val="0"/>
          <w:bCs w:val="0"/>
          <w:color w:val="000000"/>
          <w:sz w:val="32"/>
          <w:szCs w:val="32"/>
          <w:highlight w:val="none"/>
        </w:rPr>
        <w:t>处罚裁量区域分类管理</w:t>
      </w:r>
      <w:r>
        <w:rPr>
          <w:rFonts w:hint="eastAsia" w:ascii="仿宋_GB2312" w:hAnsi="仿宋_GB2312" w:eastAsia="仿宋_GB2312" w:cs="仿宋_GB2312"/>
          <w:b w:val="0"/>
          <w:bCs w:val="0"/>
          <w:color w:val="000000"/>
          <w:sz w:val="32"/>
          <w:szCs w:val="32"/>
          <w:highlight w:val="none"/>
          <w:lang w:eastAsia="zh-CN"/>
        </w:rPr>
        <w:t>台账</w:t>
      </w:r>
      <w:r>
        <w:rPr>
          <w:rFonts w:hint="eastAsia" w:ascii="仿宋_GB2312" w:hAnsi="仿宋_GB2312" w:eastAsia="仿宋_GB2312" w:cs="仿宋_GB2312"/>
          <w:b w:val="0"/>
          <w:bCs w:val="0"/>
          <w:color w:val="000000"/>
          <w:sz w:val="32"/>
          <w:szCs w:val="32"/>
          <w:highlight w:val="none"/>
        </w:rPr>
        <w:t>》（以下简称</w:t>
      </w:r>
      <w:r>
        <w:rPr>
          <w:rFonts w:hint="eastAsia" w:ascii="仿宋_GB2312" w:hAnsi="仿宋_GB2312" w:eastAsia="仿宋_GB2312" w:cs="仿宋_GB2312"/>
          <w:b w:val="0"/>
          <w:bCs w:val="0"/>
          <w:color w:val="000000"/>
          <w:sz w:val="32"/>
          <w:szCs w:val="32"/>
          <w:highlight w:val="none"/>
          <w:lang w:eastAsia="zh-CN"/>
        </w:rPr>
        <w:t>《台账》</w:t>
      </w:r>
      <w:r>
        <w:rPr>
          <w:rFonts w:hint="eastAsia" w:ascii="仿宋_GB2312" w:hAnsi="仿宋_GB2312" w:eastAsia="仿宋_GB2312" w:cs="仿宋_GB2312"/>
          <w:b w:val="0"/>
          <w:bCs w:val="0"/>
          <w:color w:val="000000"/>
          <w:sz w:val="32"/>
          <w:szCs w:val="32"/>
          <w:highlight w:val="none"/>
        </w:rPr>
        <w:t>）的规定执行。</w:t>
      </w:r>
      <w:r>
        <w:rPr>
          <w:rFonts w:hint="eastAsia" w:ascii="仿宋_GB2312" w:hAnsi="仿宋_GB2312" w:eastAsia="仿宋_GB2312" w:cs="仿宋_GB2312"/>
          <w:strike w:val="0"/>
          <w:color w:val="000000"/>
          <w:sz w:val="32"/>
          <w:szCs w:val="32"/>
          <w:highlight w:val="none"/>
          <w:lang w:eastAsia="zh-CN"/>
        </w:rPr>
        <w:t>《基准表》中</w:t>
      </w:r>
      <w:r>
        <w:rPr>
          <w:rFonts w:hint="eastAsia" w:ascii="仿宋_GB2312" w:hAnsi="仿宋_GB2312" w:eastAsia="仿宋_GB2312" w:cs="仿宋_GB2312"/>
          <w:b w:val="0"/>
          <w:bCs w:val="0"/>
          <w:strike w:val="0"/>
          <w:color w:val="000000"/>
          <w:sz w:val="32"/>
          <w:szCs w:val="32"/>
          <w:highlight w:val="none"/>
        </w:rPr>
        <w:t>相关执法案由明确</w:t>
      </w:r>
      <w:r>
        <w:rPr>
          <w:rFonts w:hint="eastAsia" w:ascii="仿宋_GB2312" w:hAnsi="仿宋_GB2312" w:eastAsia="仿宋_GB2312" w:cs="仿宋_GB2312"/>
          <w:b w:val="0"/>
          <w:bCs w:val="0"/>
          <w:strike w:val="0"/>
          <w:color w:val="000000"/>
          <w:sz w:val="32"/>
          <w:szCs w:val="32"/>
          <w:highlight w:val="none"/>
          <w:lang w:eastAsia="zh-CN"/>
        </w:rPr>
        <w:t>标注不适用区域台账的</w:t>
      </w:r>
      <w:r>
        <w:rPr>
          <w:rFonts w:hint="eastAsia" w:ascii="仿宋_GB2312" w:hAnsi="仿宋_GB2312" w:eastAsia="仿宋_GB2312" w:cs="仿宋_GB2312"/>
          <w:b w:val="0"/>
          <w:bCs w:val="0"/>
          <w:strike w:val="0"/>
          <w:color w:val="000000"/>
          <w:sz w:val="32"/>
          <w:szCs w:val="32"/>
          <w:highlight w:val="none"/>
        </w:rPr>
        <w:t>除外。</w:t>
      </w:r>
    </w:p>
    <w:p w14:paraId="3F3298CB">
      <w:pPr>
        <w:keepNext w:val="0"/>
        <w:keepLines w:val="0"/>
        <w:pageBreakBefore w:val="0"/>
        <w:shd w:val="clear" w:color="auto" w:fill="FFFFFF"/>
        <w:kinsoku/>
        <w:overflowPunct/>
        <w:topLinePunct w:val="0"/>
        <w:autoSpaceDE/>
        <w:autoSpaceDN/>
        <w:bidi w:val="0"/>
        <w:adjustRightInd/>
        <w:snapToGrid w:val="0"/>
        <w:spacing w:line="560" w:lineRule="exact"/>
        <w:ind w:firstLine="627" w:firstLineChars="196"/>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《台账》由</w:t>
      </w:r>
      <w:r>
        <w:rPr>
          <w:rFonts w:hint="eastAsia" w:ascii="仿宋_GB2312" w:hAnsi="仿宋_GB2312" w:eastAsia="仿宋_GB2312" w:cs="仿宋_GB2312"/>
          <w:b w:val="0"/>
          <w:bCs w:val="0"/>
          <w:color w:val="000000"/>
          <w:sz w:val="32"/>
          <w:szCs w:val="32"/>
          <w:highlight w:val="none"/>
        </w:rPr>
        <w:t>各区</w:t>
      </w:r>
      <w:r>
        <w:rPr>
          <w:rFonts w:hint="eastAsia" w:ascii="仿宋_GB2312" w:hAnsi="仿宋_GB2312" w:eastAsia="仿宋_GB2312" w:cs="仿宋_GB2312"/>
          <w:b w:val="0"/>
          <w:bCs w:val="0"/>
          <w:color w:val="000000"/>
          <w:sz w:val="32"/>
          <w:szCs w:val="32"/>
          <w:highlight w:val="none"/>
          <w:lang w:eastAsia="zh-CN"/>
        </w:rPr>
        <w:t>城市管理综合行政执法部门</w:t>
      </w:r>
      <w:r>
        <w:rPr>
          <w:rFonts w:hint="eastAsia" w:ascii="仿宋_GB2312" w:hAnsi="仿宋_GB2312" w:eastAsia="仿宋_GB2312" w:cs="仿宋_GB2312"/>
          <w:color w:val="000000"/>
          <w:sz w:val="32"/>
          <w:szCs w:val="32"/>
          <w:highlight w:val="none"/>
          <w:lang w:val="en-US" w:eastAsia="zh-CN"/>
        </w:rPr>
        <w:t>根据需要动态调整</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报送市城管执法局，并向社会公示</w:t>
      </w:r>
      <w:r>
        <w:rPr>
          <w:rFonts w:hint="eastAsia" w:ascii="仿宋_GB2312" w:hAnsi="仿宋_GB2312" w:eastAsia="仿宋_GB2312" w:cs="仿宋_GB2312"/>
          <w:b w:val="0"/>
          <w:bCs w:val="0"/>
          <w:color w:val="000000"/>
          <w:sz w:val="32"/>
          <w:szCs w:val="32"/>
          <w:highlight w:val="none"/>
        </w:rPr>
        <w:t>。市政府</w:t>
      </w:r>
      <w:r>
        <w:rPr>
          <w:rFonts w:hint="eastAsia" w:ascii="仿宋_GB2312" w:hAnsi="仿宋_GB2312" w:eastAsia="仿宋_GB2312" w:cs="仿宋_GB2312"/>
          <w:b w:val="0"/>
          <w:bCs w:val="0"/>
          <w:color w:val="000000"/>
          <w:sz w:val="32"/>
          <w:szCs w:val="32"/>
          <w:highlight w:val="none"/>
          <w:lang w:eastAsia="zh-CN"/>
        </w:rPr>
        <w:t>或者市有关部门</w:t>
      </w:r>
      <w:r>
        <w:rPr>
          <w:rFonts w:hint="eastAsia" w:ascii="仿宋_GB2312" w:hAnsi="仿宋_GB2312" w:eastAsia="仿宋_GB2312" w:cs="仿宋_GB2312"/>
          <w:b w:val="0"/>
          <w:bCs w:val="0"/>
          <w:color w:val="000000"/>
          <w:sz w:val="32"/>
          <w:szCs w:val="32"/>
          <w:highlight w:val="none"/>
        </w:rPr>
        <w:t>对全市重点地区、主要大街等</w:t>
      </w:r>
      <w:r>
        <w:rPr>
          <w:rFonts w:hint="eastAsia" w:ascii="仿宋_GB2312" w:hAnsi="仿宋_GB2312" w:eastAsia="仿宋_GB2312" w:cs="仿宋_GB2312"/>
          <w:b w:val="0"/>
          <w:bCs w:val="0"/>
          <w:color w:val="000000"/>
          <w:sz w:val="32"/>
          <w:szCs w:val="32"/>
          <w:highlight w:val="none"/>
          <w:lang w:eastAsia="zh-CN"/>
        </w:rPr>
        <w:t>已</w:t>
      </w:r>
      <w:r>
        <w:rPr>
          <w:rFonts w:hint="eastAsia" w:ascii="仿宋_GB2312" w:hAnsi="仿宋_GB2312" w:eastAsia="仿宋_GB2312" w:cs="仿宋_GB2312"/>
          <w:b w:val="0"/>
          <w:bCs w:val="0"/>
          <w:color w:val="000000"/>
          <w:sz w:val="32"/>
          <w:szCs w:val="32"/>
          <w:highlight w:val="none"/>
        </w:rPr>
        <w:t>有规定的，</w:t>
      </w:r>
      <w:r>
        <w:rPr>
          <w:rFonts w:hint="eastAsia" w:ascii="仿宋_GB2312" w:hAnsi="仿宋_GB2312" w:eastAsia="仿宋_GB2312" w:cs="仿宋_GB2312"/>
          <w:b w:val="0"/>
          <w:bCs w:val="0"/>
          <w:color w:val="000000"/>
          <w:sz w:val="32"/>
          <w:szCs w:val="32"/>
          <w:highlight w:val="none"/>
          <w:lang w:eastAsia="zh-CN"/>
        </w:rPr>
        <w:t>或者相关区域属于我市环境秩序治理重点点位的，</w:t>
      </w:r>
      <w:r>
        <w:rPr>
          <w:rFonts w:hint="eastAsia" w:ascii="仿宋_GB2312" w:hAnsi="仿宋_GB2312" w:eastAsia="仿宋_GB2312" w:cs="仿宋_GB2312"/>
          <w:b w:val="0"/>
          <w:bCs w:val="0"/>
          <w:color w:val="000000"/>
          <w:sz w:val="32"/>
          <w:szCs w:val="32"/>
          <w:highlight w:val="none"/>
        </w:rPr>
        <w:t>原则上对应纳入</w:t>
      </w:r>
      <w:r>
        <w:rPr>
          <w:rFonts w:hint="eastAsia" w:ascii="仿宋_GB2312" w:hAnsi="仿宋_GB2312" w:eastAsia="仿宋_GB2312" w:cs="仿宋_GB2312"/>
          <w:b w:val="0"/>
          <w:bCs w:val="0"/>
          <w:color w:val="000000"/>
          <w:sz w:val="32"/>
          <w:szCs w:val="32"/>
          <w:highlight w:val="none"/>
          <w:lang w:eastAsia="zh-CN"/>
        </w:rPr>
        <w:t>一类、二类台账</w:t>
      </w:r>
      <w:r>
        <w:rPr>
          <w:rFonts w:hint="eastAsia" w:ascii="仿宋_GB2312" w:hAnsi="仿宋_GB2312" w:eastAsia="仿宋_GB2312" w:cs="仿宋_GB2312"/>
          <w:b w:val="0"/>
          <w:bCs w:val="0"/>
          <w:color w:val="000000"/>
          <w:sz w:val="32"/>
          <w:szCs w:val="32"/>
          <w:highlight w:val="none"/>
        </w:rPr>
        <w:t>，实施严格管理和执法；</w:t>
      </w:r>
      <w:r>
        <w:rPr>
          <w:rFonts w:hint="eastAsia" w:ascii="仿宋_GB2312" w:hAnsi="仿宋_GB2312" w:eastAsia="仿宋_GB2312" w:cs="仿宋_GB2312"/>
          <w:b w:val="0"/>
          <w:bCs w:val="0"/>
          <w:color w:val="000000"/>
          <w:sz w:val="32"/>
          <w:szCs w:val="32"/>
          <w:highlight w:val="none"/>
          <w:lang w:eastAsia="zh-CN"/>
        </w:rPr>
        <w:t>除上述情形外，</w:t>
      </w:r>
      <w:r>
        <w:rPr>
          <w:rFonts w:hint="eastAsia" w:ascii="仿宋_GB2312" w:hAnsi="仿宋_GB2312" w:eastAsia="仿宋_GB2312" w:cs="仿宋_GB2312"/>
          <w:b w:val="0"/>
          <w:bCs w:val="0"/>
          <w:color w:val="000000"/>
          <w:sz w:val="32"/>
          <w:szCs w:val="32"/>
          <w:highlight w:val="none"/>
        </w:rPr>
        <w:t>各区</w:t>
      </w:r>
      <w:r>
        <w:rPr>
          <w:rFonts w:hint="eastAsia" w:ascii="仿宋_GB2312" w:hAnsi="仿宋_GB2312" w:eastAsia="仿宋_GB2312" w:cs="仿宋_GB2312"/>
          <w:b w:val="0"/>
          <w:bCs w:val="0"/>
          <w:color w:val="000000"/>
          <w:sz w:val="32"/>
          <w:szCs w:val="32"/>
          <w:highlight w:val="none"/>
          <w:lang w:eastAsia="zh-CN"/>
        </w:rPr>
        <w:t>城市管理综合行政执法部门也</w:t>
      </w:r>
      <w:r>
        <w:rPr>
          <w:rFonts w:hint="eastAsia" w:ascii="仿宋_GB2312" w:hAnsi="仿宋_GB2312" w:eastAsia="仿宋_GB2312" w:cs="仿宋_GB2312"/>
          <w:b w:val="0"/>
          <w:bCs w:val="0"/>
          <w:color w:val="000000"/>
          <w:sz w:val="32"/>
          <w:szCs w:val="32"/>
          <w:highlight w:val="none"/>
        </w:rPr>
        <w:t>可结合</w:t>
      </w:r>
      <w:r>
        <w:rPr>
          <w:rFonts w:hint="eastAsia" w:ascii="仿宋_GB2312" w:hAnsi="仿宋_GB2312" w:eastAsia="仿宋_GB2312" w:cs="仿宋_GB2312"/>
          <w:b w:val="0"/>
          <w:bCs w:val="0"/>
          <w:color w:val="000000"/>
          <w:sz w:val="32"/>
          <w:szCs w:val="32"/>
          <w:highlight w:val="none"/>
          <w:lang w:eastAsia="zh-CN"/>
        </w:rPr>
        <w:t>辖区以及各</w:t>
      </w:r>
      <w:r>
        <w:rPr>
          <w:rFonts w:hint="eastAsia" w:ascii="仿宋_GB2312" w:hAnsi="仿宋_GB2312" w:eastAsia="仿宋_GB2312" w:cs="仿宋_GB2312"/>
          <w:b w:val="0"/>
          <w:bCs w:val="0"/>
          <w:color w:val="000000"/>
          <w:sz w:val="32"/>
          <w:szCs w:val="32"/>
          <w:highlight w:val="none"/>
        </w:rPr>
        <w:t>街道办事处、乡镇人民政府</w:t>
      </w:r>
      <w:r>
        <w:rPr>
          <w:rFonts w:hint="eastAsia" w:ascii="仿宋_GB2312" w:hAnsi="仿宋_GB2312" w:eastAsia="仿宋_GB2312" w:cs="仿宋_GB2312"/>
          <w:b w:val="0"/>
          <w:bCs w:val="0"/>
          <w:color w:val="000000"/>
          <w:sz w:val="32"/>
          <w:szCs w:val="32"/>
          <w:highlight w:val="none"/>
          <w:lang w:eastAsia="zh-CN"/>
        </w:rPr>
        <w:t>工作</w:t>
      </w:r>
      <w:r>
        <w:rPr>
          <w:rFonts w:hint="eastAsia" w:ascii="仿宋_GB2312" w:hAnsi="仿宋_GB2312" w:eastAsia="仿宋_GB2312" w:cs="仿宋_GB2312"/>
          <w:b w:val="0"/>
          <w:bCs w:val="0"/>
          <w:color w:val="000000"/>
          <w:sz w:val="32"/>
          <w:szCs w:val="32"/>
          <w:highlight w:val="none"/>
        </w:rPr>
        <w:t>实际，</w:t>
      </w:r>
      <w:r>
        <w:rPr>
          <w:rFonts w:hint="eastAsia" w:ascii="仿宋_GB2312" w:hAnsi="仿宋_GB2312" w:eastAsia="仿宋_GB2312" w:cs="仿宋_GB2312"/>
          <w:b w:val="0"/>
          <w:bCs w:val="0"/>
          <w:color w:val="000000"/>
          <w:sz w:val="32"/>
          <w:szCs w:val="32"/>
          <w:highlight w:val="none"/>
          <w:lang w:eastAsia="zh-CN"/>
        </w:rPr>
        <w:t>将其他相关区域</w:t>
      </w:r>
      <w:r>
        <w:rPr>
          <w:rFonts w:hint="eastAsia" w:ascii="仿宋_GB2312" w:hAnsi="仿宋_GB2312" w:eastAsia="仿宋_GB2312" w:cs="仿宋_GB2312"/>
          <w:b w:val="0"/>
          <w:bCs w:val="0"/>
          <w:color w:val="000000"/>
          <w:sz w:val="32"/>
          <w:szCs w:val="32"/>
          <w:highlight w:val="none"/>
        </w:rPr>
        <w:t>纳入</w:t>
      </w:r>
      <w:r>
        <w:rPr>
          <w:rFonts w:hint="eastAsia" w:ascii="仿宋_GB2312" w:hAnsi="仿宋_GB2312" w:eastAsia="仿宋_GB2312" w:cs="仿宋_GB2312"/>
          <w:b w:val="0"/>
          <w:bCs w:val="0"/>
          <w:color w:val="000000"/>
          <w:sz w:val="32"/>
          <w:szCs w:val="32"/>
          <w:highlight w:val="none"/>
          <w:lang w:eastAsia="zh-CN"/>
        </w:rPr>
        <w:t>一类、二类台账</w:t>
      </w:r>
      <w:r>
        <w:rPr>
          <w:rFonts w:hint="eastAsia" w:ascii="仿宋_GB2312" w:hAnsi="仿宋_GB2312" w:eastAsia="仿宋_GB2312" w:cs="仿宋_GB2312"/>
          <w:b w:val="0"/>
          <w:bCs w:val="0"/>
          <w:color w:val="000000"/>
          <w:sz w:val="32"/>
          <w:szCs w:val="32"/>
          <w:highlight w:val="none"/>
        </w:rPr>
        <w:t>，实施严格管理和执法</w:t>
      </w:r>
      <w:r>
        <w:rPr>
          <w:rFonts w:hint="eastAsia" w:ascii="仿宋_GB2312" w:hAnsi="仿宋_GB2312" w:eastAsia="仿宋_GB2312" w:cs="仿宋_GB2312"/>
          <w:b w:val="0"/>
          <w:bCs w:val="0"/>
          <w:color w:val="000000"/>
          <w:sz w:val="32"/>
          <w:szCs w:val="32"/>
          <w:highlight w:val="none"/>
          <w:lang w:eastAsia="zh-CN"/>
        </w:rPr>
        <w:t>。</w:t>
      </w:r>
    </w:p>
    <w:p w14:paraId="238E3BA3">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rPr>
        <w:t>2</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 xml:space="preserve">1.4 </w:t>
      </w:r>
      <w:r>
        <w:rPr>
          <w:rFonts w:hint="eastAsia" w:ascii="仿宋_GB2312" w:hAnsi="仿宋_GB2312" w:eastAsia="仿宋_GB2312" w:cs="仿宋_GB2312"/>
          <w:b w:val="0"/>
          <w:bCs w:val="0"/>
          <w:color w:val="000000"/>
          <w:kern w:val="0"/>
          <w:sz w:val="32"/>
          <w:szCs w:val="32"/>
          <w:highlight w:val="none"/>
          <w:lang w:val="en-US" w:eastAsia="zh-CN"/>
        </w:rPr>
        <w:t>特定</w:t>
      </w:r>
      <w:r>
        <w:rPr>
          <w:rFonts w:hint="eastAsia" w:ascii="仿宋_GB2312" w:hAnsi="仿宋_GB2312" w:eastAsia="仿宋_GB2312" w:cs="仿宋_GB2312"/>
          <w:b w:val="0"/>
          <w:bCs w:val="0"/>
          <w:color w:val="000000"/>
          <w:kern w:val="2"/>
          <w:sz w:val="32"/>
          <w:szCs w:val="32"/>
          <w:highlight w:val="none"/>
        </w:rPr>
        <w:t>违法行为</w:t>
      </w:r>
      <w:r>
        <w:rPr>
          <w:rFonts w:hint="eastAsia" w:ascii="仿宋_GB2312" w:hAnsi="仿宋_GB2312" w:eastAsia="仿宋_GB2312" w:cs="仿宋_GB2312"/>
          <w:b w:val="0"/>
          <w:bCs w:val="0"/>
          <w:color w:val="000000"/>
          <w:sz w:val="32"/>
          <w:szCs w:val="32"/>
          <w:highlight w:val="none"/>
          <w:lang w:eastAsia="zh-CN"/>
        </w:rPr>
        <w:t>结合与</w:t>
      </w:r>
      <w:r>
        <w:rPr>
          <w:rFonts w:hint="eastAsia" w:ascii="仿宋_GB2312" w:hAnsi="仿宋_GB2312" w:eastAsia="仿宋_GB2312" w:cs="仿宋_GB2312"/>
          <w:b w:val="0"/>
          <w:bCs w:val="0"/>
          <w:color w:val="000000"/>
          <w:sz w:val="32"/>
          <w:szCs w:val="32"/>
          <w:highlight w:val="none"/>
        </w:rPr>
        <w:t>违法行为密切相关的面积、体积、数量、长度、位置、距离、持续时间等</w:t>
      </w:r>
      <w:r>
        <w:rPr>
          <w:rFonts w:hint="eastAsia" w:ascii="仿宋_GB2312" w:hAnsi="仿宋_GB2312" w:eastAsia="仿宋_GB2312" w:cs="仿宋_GB2312"/>
          <w:b w:val="0"/>
          <w:bCs w:val="0"/>
          <w:color w:val="000000"/>
          <w:sz w:val="32"/>
          <w:szCs w:val="32"/>
          <w:highlight w:val="none"/>
          <w:lang w:eastAsia="zh-CN"/>
        </w:rPr>
        <w:t>情节</w:t>
      </w:r>
      <w:r>
        <w:rPr>
          <w:rFonts w:hint="eastAsia" w:ascii="仿宋_GB2312" w:hAnsi="仿宋_GB2312" w:eastAsia="仿宋_GB2312" w:cs="仿宋_GB2312"/>
          <w:b w:val="0"/>
          <w:bCs w:val="0"/>
          <w:color w:val="000000"/>
          <w:sz w:val="32"/>
          <w:szCs w:val="32"/>
          <w:highlight w:val="none"/>
        </w:rPr>
        <w:t>确认</w:t>
      </w:r>
      <w:r>
        <w:rPr>
          <w:rFonts w:hint="eastAsia" w:ascii="仿宋_GB2312" w:hAnsi="仿宋_GB2312" w:eastAsia="仿宋_GB2312" w:cs="仿宋_GB2312"/>
          <w:b w:val="0"/>
          <w:bCs w:val="0"/>
          <w:color w:val="000000"/>
          <w:sz w:val="32"/>
          <w:szCs w:val="32"/>
          <w:highlight w:val="none"/>
          <w:lang w:eastAsia="zh-CN"/>
        </w:rPr>
        <w:t>系数，具体按照</w:t>
      </w:r>
      <w:r>
        <w:rPr>
          <w:rFonts w:hint="eastAsia" w:ascii="仿宋_GB2312" w:hAnsi="仿宋_GB2312" w:eastAsia="仿宋_GB2312" w:cs="仿宋_GB2312"/>
          <w:b w:val="0"/>
          <w:bCs w:val="0"/>
          <w:color w:val="000000"/>
          <w:sz w:val="32"/>
          <w:szCs w:val="32"/>
          <w:highlight w:val="none"/>
        </w:rPr>
        <w:t>《基准表》的规定执行。</w:t>
      </w:r>
    </w:p>
    <w:p w14:paraId="3CF54F86">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仿宋_GB2312" w:eastAsia="仿宋_GB2312" w:cs="仿宋_GB2312"/>
          <w:b w:val="0"/>
          <w:bCs w:val="0"/>
          <w:color w:val="000000"/>
          <w:kern w:val="2"/>
          <w:sz w:val="32"/>
          <w:szCs w:val="32"/>
          <w:highlight w:val="none"/>
          <w:lang w:val="en-US" w:eastAsia="zh-CN"/>
        </w:rPr>
        <w:t>2</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 xml:space="preserve">1.5 </w:t>
      </w:r>
      <w:r>
        <w:rPr>
          <w:rFonts w:hint="eastAsia" w:ascii="仿宋_GB2312" w:hAnsi="仿宋_GB2312" w:eastAsia="仿宋_GB2312" w:cs="仿宋_GB2312"/>
          <w:b w:val="0"/>
          <w:bCs w:val="0"/>
          <w:color w:val="000000"/>
          <w:sz w:val="32"/>
          <w:szCs w:val="32"/>
          <w:highlight w:val="none"/>
        </w:rPr>
        <w:t>《基准表》未规定的或者存在其他特殊情况的，执法人员可以结合案件实际情况，补充取证，提出处罚建议，报经案件审理委员会</w:t>
      </w:r>
      <w:r>
        <w:rPr>
          <w:rFonts w:hint="eastAsia" w:ascii="仿宋_GB2312" w:hAnsi="仿宋_GB2312" w:eastAsia="仿宋_GB2312" w:cs="仿宋_GB2312"/>
          <w:b w:val="0"/>
          <w:bCs w:val="0"/>
          <w:color w:val="000000"/>
          <w:sz w:val="32"/>
          <w:szCs w:val="32"/>
          <w:highlight w:val="none"/>
          <w:lang w:eastAsia="zh-CN"/>
        </w:rPr>
        <w:t>依法</w:t>
      </w:r>
      <w:r>
        <w:rPr>
          <w:rFonts w:hint="eastAsia" w:ascii="仿宋_GB2312" w:hAnsi="仿宋_GB2312" w:eastAsia="仿宋_GB2312" w:cs="仿宋_GB2312"/>
          <w:b w:val="0"/>
          <w:bCs w:val="0"/>
          <w:color w:val="000000"/>
          <w:sz w:val="32"/>
          <w:szCs w:val="32"/>
          <w:highlight w:val="none"/>
        </w:rPr>
        <w:t>调整</w:t>
      </w:r>
      <w:r>
        <w:rPr>
          <w:rFonts w:hint="eastAsia" w:ascii="仿宋_GB2312" w:hAnsi="仿宋_GB2312" w:eastAsia="仿宋_GB2312" w:cs="仿宋_GB2312"/>
          <w:b w:val="0"/>
          <w:bCs w:val="0"/>
          <w:color w:val="000000"/>
          <w:sz w:val="32"/>
          <w:szCs w:val="32"/>
          <w:highlight w:val="none"/>
          <w:lang w:eastAsia="zh-CN"/>
        </w:rPr>
        <w:t>确定最终的处理</w:t>
      </w:r>
      <w:r>
        <w:rPr>
          <w:rFonts w:hint="eastAsia" w:ascii="仿宋_GB2312" w:hAnsi="等线" w:eastAsia="仿宋_GB2312" w:cs="Times New Roman"/>
          <w:b w:val="0"/>
          <w:bCs w:val="0"/>
          <w:color w:val="000000"/>
          <w:sz w:val="32"/>
          <w:szCs w:val="32"/>
          <w:highlight w:val="none"/>
          <w:lang w:eastAsia="zh-CN"/>
        </w:rPr>
        <w:t>决定</w:t>
      </w:r>
      <w:r>
        <w:rPr>
          <w:rFonts w:hint="eastAsia" w:ascii="仿宋_GB2312" w:hAnsi="等线" w:eastAsia="仿宋_GB2312" w:cs="Times New Roman"/>
          <w:b w:val="0"/>
          <w:bCs w:val="0"/>
          <w:color w:val="000000"/>
          <w:sz w:val="32"/>
          <w:szCs w:val="32"/>
          <w:highlight w:val="none"/>
        </w:rPr>
        <w:t>。</w:t>
      </w:r>
    </w:p>
    <w:p w14:paraId="350B1964">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rPr>
      </w:pPr>
    </w:p>
    <w:p w14:paraId="5CEA2C2E">
      <w:pPr>
        <w:keepNext w:val="0"/>
        <w:keepLines w:val="0"/>
        <w:pageBreakBefore w:val="0"/>
        <w:kinsoku/>
        <w:overflowPunct/>
        <w:topLinePunct w:val="0"/>
        <w:autoSpaceDE/>
        <w:autoSpaceDN/>
        <w:bidi w:val="0"/>
        <w:adjustRightInd/>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2.2</w:t>
      </w:r>
      <w:r>
        <w:rPr>
          <w:rFonts w:hint="eastAsia" w:ascii="黑体" w:hAnsi="黑体" w:eastAsia="黑体" w:cs="Times New Roman"/>
          <w:b w:val="0"/>
          <w:bCs w:val="0"/>
          <w:color w:val="000000"/>
          <w:sz w:val="32"/>
          <w:szCs w:val="32"/>
          <w:highlight w:val="none"/>
        </w:rPr>
        <w:t xml:space="preserve"> 特别要求</w:t>
      </w:r>
    </w:p>
    <w:p w14:paraId="51464795">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根据公式确定罚款数额时，应同时遵循以下基本原则：</w:t>
      </w:r>
    </w:p>
    <w:p w14:paraId="7A50DB6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1</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符合《中华人民共和国行政处罚法》规定不得给予行政处罚</w:t>
      </w:r>
      <w:r>
        <w:rPr>
          <w:rFonts w:hint="eastAsia" w:ascii="仿宋_GB2312" w:hAnsi="仿宋_GB2312" w:eastAsia="仿宋_GB2312" w:cs="仿宋_GB2312"/>
          <w:b w:val="0"/>
          <w:bCs w:val="0"/>
          <w:color w:val="000000"/>
          <w:sz w:val="32"/>
          <w:szCs w:val="32"/>
          <w:highlight w:val="none"/>
          <w:lang w:eastAsia="zh-CN"/>
        </w:rPr>
        <w:t>情形的，行政机关不得给予行政处罚；符合《</w:t>
      </w:r>
      <w:r>
        <w:rPr>
          <w:rFonts w:hint="eastAsia" w:ascii="仿宋_GB2312" w:hAnsi="仿宋_GB2312" w:eastAsia="仿宋_GB2312" w:cs="仿宋_GB2312"/>
          <w:b w:val="0"/>
          <w:bCs w:val="0"/>
          <w:color w:val="000000"/>
          <w:sz w:val="32"/>
          <w:szCs w:val="32"/>
          <w:highlight w:val="none"/>
        </w:rPr>
        <w:t>中华人民共和国行政处罚法》</w:t>
      </w:r>
      <w:r>
        <w:rPr>
          <w:rFonts w:hint="eastAsia" w:ascii="仿宋_GB2312" w:hAnsi="仿宋_GB2312" w:eastAsia="仿宋_GB2312" w:cs="仿宋_GB2312"/>
          <w:b w:val="0"/>
          <w:bCs w:val="0"/>
          <w:color w:val="000000"/>
          <w:sz w:val="32"/>
          <w:szCs w:val="32"/>
          <w:highlight w:val="none"/>
          <w:lang w:eastAsia="zh-CN"/>
        </w:rPr>
        <w:t>规定</w:t>
      </w:r>
      <w:r>
        <w:rPr>
          <w:rFonts w:hint="eastAsia" w:ascii="仿宋_GB2312" w:hAnsi="仿宋_GB2312" w:eastAsia="仿宋_GB2312" w:cs="仿宋_GB2312"/>
          <w:b w:val="0"/>
          <w:bCs w:val="0"/>
          <w:color w:val="000000"/>
          <w:sz w:val="32"/>
          <w:szCs w:val="32"/>
          <w:highlight w:val="none"/>
        </w:rPr>
        <w:t>可以不予行政处罚情形的，</w:t>
      </w:r>
      <w:r>
        <w:rPr>
          <w:rFonts w:hint="eastAsia" w:ascii="仿宋_GB2312" w:hAnsi="仿宋_GB2312" w:eastAsia="仿宋_GB2312" w:cs="仿宋_GB2312"/>
          <w:b w:val="0"/>
          <w:bCs w:val="0"/>
          <w:color w:val="000000"/>
          <w:sz w:val="32"/>
          <w:szCs w:val="32"/>
          <w:highlight w:val="none"/>
          <w:lang w:eastAsia="zh-CN"/>
        </w:rPr>
        <w:t>行政机关</w:t>
      </w:r>
      <w:r>
        <w:rPr>
          <w:rFonts w:hint="eastAsia" w:ascii="仿宋_GB2312" w:hAnsi="仿宋_GB2312" w:eastAsia="仿宋_GB2312" w:cs="仿宋_GB2312"/>
          <w:b w:val="0"/>
          <w:bCs w:val="0"/>
          <w:color w:val="000000"/>
          <w:sz w:val="32"/>
          <w:szCs w:val="32"/>
          <w:highlight w:val="none"/>
        </w:rPr>
        <w:t>酌情不予行政处罚。</w:t>
      </w:r>
    </w:p>
    <w:p w14:paraId="5F8321C4">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2</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符合《中华人民共和国行政处罚法》规定的法定从轻情节的，最终处罚额度不得超过法定处罚幅度的中限；符合法定减轻处罚情节的，按照相关规定处罚。</w:t>
      </w:r>
    </w:p>
    <w:p w14:paraId="3ADC82FB">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dstrike/>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3</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strike w:val="0"/>
          <w:color w:val="000000"/>
          <w:sz w:val="32"/>
          <w:szCs w:val="32"/>
          <w:highlight w:val="none"/>
        </w:rPr>
        <w:t>违法行为发生在一类严格控制地区</w:t>
      </w:r>
      <w:r>
        <w:rPr>
          <w:rFonts w:hint="eastAsia" w:ascii="仿宋_GB2312" w:hAnsi="仿宋_GB2312" w:eastAsia="仿宋_GB2312" w:cs="仿宋_GB2312"/>
          <w:b w:val="0"/>
          <w:bCs w:val="0"/>
          <w:strike w:val="0"/>
          <w:color w:val="000000"/>
          <w:sz w:val="32"/>
          <w:szCs w:val="32"/>
          <w:highlight w:val="none"/>
          <w:lang w:eastAsia="zh-CN"/>
        </w:rPr>
        <w:t>，</w:t>
      </w:r>
      <w:r>
        <w:rPr>
          <w:rFonts w:hint="eastAsia" w:ascii="仿宋_GB2312" w:hAnsi="仿宋_GB2312" w:eastAsia="仿宋_GB2312" w:cs="仿宋_GB2312"/>
          <w:b w:val="0"/>
          <w:bCs w:val="0"/>
          <w:strike w:val="0"/>
          <w:color w:val="000000"/>
          <w:sz w:val="32"/>
          <w:szCs w:val="32"/>
          <w:highlight w:val="none"/>
        </w:rPr>
        <w:t>同时又存在多种</w:t>
      </w:r>
      <w:r>
        <w:rPr>
          <w:rFonts w:hint="eastAsia" w:ascii="仿宋_GB2312" w:hAnsi="仿宋_GB2312" w:eastAsia="仿宋_GB2312" w:cs="仿宋_GB2312"/>
          <w:b w:val="0"/>
          <w:bCs w:val="0"/>
          <w:strike w:val="0"/>
          <w:color w:val="000000"/>
          <w:sz w:val="32"/>
          <w:szCs w:val="32"/>
          <w:highlight w:val="none"/>
          <w:lang w:eastAsia="zh-CN"/>
        </w:rPr>
        <w:t>情节系数</w:t>
      </w:r>
      <w:r>
        <w:rPr>
          <w:rFonts w:hint="eastAsia" w:ascii="仿宋_GB2312" w:hAnsi="仿宋_GB2312" w:eastAsia="仿宋_GB2312" w:cs="仿宋_GB2312"/>
          <w:b w:val="0"/>
          <w:bCs w:val="0"/>
          <w:strike w:val="0"/>
          <w:color w:val="000000"/>
          <w:sz w:val="32"/>
          <w:szCs w:val="32"/>
          <w:highlight w:val="none"/>
        </w:rPr>
        <w:t>情形的，或者</w:t>
      </w:r>
      <w:r>
        <w:rPr>
          <w:rFonts w:hint="eastAsia" w:ascii="仿宋_GB2312" w:hAnsi="仿宋_GB2312" w:eastAsia="仿宋_GB2312" w:cs="仿宋_GB2312"/>
          <w:b w:val="0"/>
          <w:bCs w:val="0"/>
          <w:color w:val="000000"/>
          <w:sz w:val="32"/>
          <w:szCs w:val="32"/>
          <w:highlight w:val="none"/>
        </w:rPr>
        <w:t>违法行为性质恶劣，社会影响较大，危害程度较高，而根据公式确定的罚款数额仍未达到法定处罚幅度中限标准的，报经案件审理委员会审议，可在法定处罚幅度中限标准以上实施处罚。</w:t>
      </w:r>
    </w:p>
    <w:p w14:paraId="528D88C8">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4</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无论何种情形，最终罚款数额不得超过法定处罚幅度的上限。</w:t>
      </w:r>
    </w:p>
    <w:p w14:paraId="3C994C0F">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default" w:ascii="仿宋_GB2312" w:hAnsi="等线" w:eastAsia="仿宋_GB2312" w:cs="Times New Roman"/>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2.2.5</w:t>
      </w:r>
      <w:r>
        <w:rPr>
          <w:rFonts w:hint="default"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eastAsia="zh-CN"/>
        </w:rPr>
        <w:t>严格按照法律规定和违法事实实施罚款，不得随意给予顶格罚款或者高额罚款，不得随意降低对违法行为的认定门槛，不得随意扩大违法行为的范围。</w:t>
      </w:r>
    </w:p>
    <w:p w14:paraId="66F46BC7">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ascii="仿宋_GB2312" w:hAnsi="等线" w:eastAsia="仿宋_GB2312" w:cs="Times New Roman"/>
          <w:b w:val="0"/>
          <w:bCs w:val="0"/>
          <w:color w:val="000000"/>
          <w:sz w:val="32"/>
          <w:szCs w:val="32"/>
          <w:highlight w:val="none"/>
        </w:rPr>
      </w:pPr>
    </w:p>
    <w:p w14:paraId="78644E56">
      <w:pPr>
        <w:keepNext w:val="0"/>
        <w:keepLines w:val="0"/>
        <w:pageBreakBefore w:val="0"/>
        <w:kinsoku/>
        <w:overflowPunct/>
        <w:topLinePunct w:val="0"/>
        <w:autoSpaceDE/>
        <w:autoSpaceDN/>
        <w:bidi w:val="0"/>
        <w:adjustRightInd/>
        <w:spacing w:line="560" w:lineRule="exact"/>
        <w:jc w:val="center"/>
        <w:rPr>
          <w:rFonts w:hint="eastAsia" w:ascii="黑体" w:hAnsi="黑体" w:eastAsia="黑体" w:cs="Times New Roman"/>
          <w:b w:val="0"/>
          <w:bCs w:val="0"/>
          <w:color w:val="000000"/>
          <w:sz w:val="32"/>
          <w:szCs w:val="32"/>
          <w:highlight w:val="none"/>
          <w:lang w:val="en-US" w:eastAsia="zh-CN"/>
        </w:rPr>
      </w:pPr>
      <w:r>
        <w:rPr>
          <w:rFonts w:hint="eastAsia" w:ascii="黑体" w:hAnsi="黑体" w:eastAsia="黑体" w:cs="Times New Roman"/>
          <w:b w:val="0"/>
          <w:bCs w:val="0"/>
          <w:color w:val="000000"/>
          <w:sz w:val="32"/>
          <w:szCs w:val="32"/>
          <w:highlight w:val="none"/>
          <w:lang w:val="en-US" w:eastAsia="zh-CN"/>
        </w:rPr>
        <w:t>2.3不予处罚、从轻、减轻或者从重处罚的适用</w:t>
      </w:r>
    </w:p>
    <w:p w14:paraId="1F30996B">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 xml:space="preserve">2.3.1 </w:t>
      </w:r>
      <w:r>
        <w:rPr>
          <w:rFonts w:hint="eastAsia" w:ascii="仿宋_GB2312" w:hAnsi="仿宋_GB2312" w:eastAsia="仿宋_GB2312" w:cs="仿宋_GB2312"/>
          <w:b/>
          <w:bCs/>
          <w:color w:val="000000"/>
          <w:sz w:val="32"/>
          <w:szCs w:val="32"/>
          <w:highlight w:val="none"/>
        </w:rPr>
        <w:t>有下列情形之一的，不得给予行政处罚：</w:t>
      </w:r>
    </w:p>
    <w:p w14:paraId="01E63D6A">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.1 </w:t>
      </w:r>
      <w:r>
        <w:rPr>
          <w:rFonts w:hint="eastAsia" w:ascii="仿宋_GB2312" w:hAnsi="仿宋_GB2312" w:eastAsia="仿宋_GB2312" w:cs="仿宋_GB2312"/>
          <w:b w:val="0"/>
          <w:bCs w:val="0"/>
          <w:color w:val="000000"/>
          <w:sz w:val="32"/>
          <w:szCs w:val="32"/>
          <w:highlight w:val="none"/>
        </w:rPr>
        <w:t>违法事实不能成立</w:t>
      </w:r>
      <w:r>
        <w:rPr>
          <w:rFonts w:hint="eastAsia" w:ascii="仿宋_GB2312" w:hAnsi="仿宋_GB2312" w:eastAsia="仿宋_GB2312" w:cs="仿宋_GB2312"/>
          <w:b w:val="0"/>
          <w:bCs w:val="0"/>
          <w:color w:val="000000"/>
          <w:sz w:val="32"/>
          <w:szCs w:val="32"/>
          <w:highlight w:val="none"/>
          <w:lang w:eastAsia="zh-CN"/>
        </w:rPr>
        <w:t>，或者</w:t>
      </w:r>
      <w:r>
        <w:rPr>
          <w:rFonts w:hint="eastAsia" w:ascii="仿宋_GB2312" w:hAnsi="仿宋_GB2312" w:eastAsia="仿宋_GB2312" w:cs="仿宋_GB2312"/>
          <w:b w:val="0"/>
          <w:bCs w:val="0"/>
          <w:color w:val="000000"/>
          <w:sz w:val="32"/>
          <w:szCs w:val="32"/>
          <w:highlight w:val="none"/>
        </w:rPr>
        <w:t>违法事实不清、证据不足的；</w:t>
      </w:r>
    </w:p>
    <w:p w14:paraId="29CC1039">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1.2 </w:t>
      </w:r>
      <w:r>
        <w:rPr>
          <w:rFonts w:hint="eastAsia" w:ascii="仿宋_GB2312" w:hAnsi="仿宋_GB2312" w:eastAsia="仿宋_GB2312" w:cs="仿宋_GB2312"/>
          <w:b w:val="0"/>
          <w:bCs w:val="0"/>
          <w:color w:val="000000"/>
          <w:sz w:val="32"/>
          <w:szCs w:val="32"/>
          <w:highlight w:val="none"/>
        </w:rPr>
        <w:t>违法行为人未满14周岁的；</w:t>
      </w:r>
    </w:p>
    <w:p w14:paraId="6EDDE217">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1.3 </w:t>
      </w:r>
      <w:r>
        <w:rPr>
          <w:rFonts w:hint="eastAsia" w:ascii="仿宋_GB2312" w:hAnsi="仿宋_GB2312" w:eastAsia="仿宋_GB2312" w:cs="仿宋_GB2312"/>
          <w:b w:val="0"/>
          <w:bCs w:val="0"/>
          <w:color w:val="000000"/>
          <w:sz w:val="32"/>
          <w:szCs w:val="32"/>
          <w:highlight w:val="none"/>
        </w:rPr>
        <w:t>精神病人、智力残疾人在不能辨认或者不能控制自己行为时实施违法行为的；</w:t>
      </w:r>
    </w:p>
    <w:p w14:paraId="613200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2.3.1.4 违法行为在两年内未被发现，或者</w:t>
      </w:r>
      <w:r>
        <w:rPr>
          <w:rFonts w:hint="eastAsia" w:ascii="仿宋_GB2312" w:hAnsi="仿宋_GB2312" w:eastAsia="仿宋_GB2312" w:cs="仿宋_GB2312"/>
          <w:b w:val="0"/>
          <w:bCs w:val="0"/>
          <w:color w:val="000000"/>
          <w:kern w:val="2"/>
          <w:sz w:val="32"/>
          <w:szCs w:val="32"/>
          <w:highlight w:val="none"/>
          <w:lang w:val="en-US" w:eastAsia="zh-CN" w:bidi="ar-SA"/>
        </w:rPr>
        <w:t>涉及公民生命健康安全、金融安全且有危害后果的违法行为在五年内未被发现，</w:t>
      </w:r>
      <w:r>
        <w:rPr>
          <w:rFonts w:hint="eastAsia" w:ascii="仿宋_GB2312" w:hAnsi="仿宋_GB2312" w:eastAsia="仿宋_GB2312" w:cs="仿宋_GB2312"/>
          <w:b w:val="0"/>
          <w:bCs w:val="0"/>
          <w:color w:val="000000"/>
          <w:kern w:val="0"/>
          <w:sz w:val="32"/>
          <w:szCs w:val="32"/>
          <w:highlight w:val="none"/>
          <w:lang w:val="en-US" w:eastAsia="zh-CN" w:bidi="ar-SA"/>
        </w:rPr>
        <w:t>法律未作其他规定的；</w:t>
      </w:r>
    </w:p>
    <w:p w14:paraId="34FBF7F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1.5 </w:t>
      </w:r>
      <w:r>
        <w:rPr>
          <w:rFonts w:hint="eastAsia" w:ascii="仿宋_GB2312" w:hAnsi="仿宋_GB2312" w:eastAsia="仿宋_GB2312" w:cs="仿宋_GB2312"/>
          <w:b w:val="0"/>
          <w:bCs w:val="0"/>
          <w:color w:val="000000"/>
          <w:sz w:val="32"/>
          <w:szCs w:val="32"/>
          <w:highlight w:val="none"/>
        </w:rPr>
        <w:t>违法行为轻微并及时改正，没有造成社会危害后果的；</w:t>
      </w:r>
    </w:p>
    <w:p w14:paraId="637D3E9D">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1.6 </w:t>
      </w:r>
      <w:r>
        <w:rPr>
          <w:rFonts w:hint="eastAsia" w:ascii="仿宋_GB2312" w:hAnsi="仿宋_GB2312" w:eastAsia="仿宋_GB2312" w:cs="仿宋_GB2312"/>
          <w:b w:val="0"/>
          <w:bCs w:val="0"/>
          <w:color w:val="000000"/>
          <w:sz w:val="32"/>
          <w:szCs w:val="32"/>
          <w:highlight w:val="none"/>
        </w:rPr>
        <w:t>当事人有证据足以证明没有主观过错，法律、行政法规</w:t>
      </w:r>
      <w:r>
        <w:rPr>
          <w:rFonts w:hint="eastAsia" w:ascii="仿宋_GB2312" w:hAnsi="仿宋_GB2312" w:eastAsia="仿宋_GB2312" w:cs="仿宋_GB2312"/>
          <w:b w:val="0"/>
          <w:bCs w:val="0"/>
          <w:color w:val="000000"/>
          <w:sz w:val="32"/>
          <w:szCs w:val="32"/>
          <w:highlight w:val="none"/>
          <w:lang w:eastAsia="zh-CN"/>
        </w:rPr>
        <w:t>未</w:t>
      </w:r>
      <w:r>
        <w:rPr>
          <w:rFonts w:hint="eastAsia" w:ascii="仿宋_GB2312" w:hAnsi="仿宋_GB2312" w:eastAsia="仿宋_GB2312" w:cs="仿宋_GB2312"/>
          <w:b w:val="0"/>
          <w:bCs w:val="0"/>
          <w:color w:val="000000"/>
          <w:sz w:val="32"/>
          <w:szCs w:val="32"/>
          <w:highlight w:val="none"/>
        </w:rPr>
        <w:t>另</w:t>
      </w:r>
      <w:r>
        <w:rPr>
          <w:rFonts w:hint="eastAsia" w:ascii="仿宋_GB2312" w:hAnsi="仿宋_GB2312" w:eastAsia="仿宋_GB2312" w:cs="仿宋_GB2312"/>
          <w:b w:val="0"/>
          <w:bCs w:val="0"/>
          <w:color w:val="000000"/>
          <w:sz w:val="32"/>
          <w:szCs w:val="32"/>
          <w:highlight w:val="none"/>
          <w:lang w:eastAsia="zh-CN"/>
        </w:rPr>
        <w:t>作</w:t>
      </w:r>
      <w:r>
        <w:rPr>
          <w:rFonts w:hint="eastAsia" w:ascii="仿宋_GB2312" w:hAnsi="仿宋_GB2312" w:eastAsia="仿宋_GB2312" w:cs="仿宋_GB2312"/>
          <w:b w:val="0"/>
          <w:bCs w:val="0"/>
          <w:color w:val="000000"/>
          <w:sz w:val="32"/>
          <w:szCs w:val="32"/>
          <w:highlight w:val="none"/>
        </w:rPr>
        <w:t>其他规定的；</w:t>
      </w:r>
    </w:p>
    <w:p w14:paraId="4B4BEA13">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1.7 </w:t>
      </w:r>
      <w:r>
        <w:rPr>
          <w:rFonts w:hint="eastAsia" w:ascii="仿宋_GB2312" w:hAnsi="仿宋_GB2312" w:eastAsia="仿宋_GB2312" w:cs="仿宋_GB2312"/>
          <w:b w:val="0"/>
          <w:bCs w:val="0"/>
          <w:color w:val="000000"/>
          <w:sz w:val="32"/>
          <w:szCs w:val="32"/>
          <w:highlight w:val="none"/>
        </w:rPr>
        <w:t>其他依法不予行政处罚的情形</w:t>
      </w:r>
      <w:r>
        <w:rPr>
          <w:rFonts w:hint="eastAsia" w:ascii="仿宋_GB2312" w:hAnsi="仿宋_GB2312" w:eastAsia="仿宋_GB2312" w:cs="仿宋_GB2312"/>
          <w:b w:val="0"/>
          <w:bCs w:val="0"/>
          <w:color w:val="000000"/>
          <w:sz w:val="32"/>
          <w:szCs w:val="32"/>
          <w:highlight w:val="none"/>
          <w:lang w:eastAsia="zh-CN"/>
        </w:rPr>
        <w:t>。</w:t>
      </w:r>
    </w:p>
    <w:p w14:paraId="795F9C6B">
      <w:pPr>
        <w:keepNext w:val="0"/>
        <w:keepLines w:val="0"/>
        <w:pageBreakBefore w:val="0"/>
        <w:kinsoku/>
        <w:overflowPunct/>
        <w:topLinePunct w:val="0"/>
        <w:autoSpaceDE/>
        <w:autoSpaceDN/>
        <w:bidi w:val="0"/>
        <w:adjustRightInd/>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.2</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bCs/>
          <w:color w:val="000000"/>
          <w:sz w:val="32"/>
          <w:szCs w:val="32"/>
          <w:highlight w:val="none"/>
        </w:rPr>
        <w:t>有下列情形之一的，</w:t>
      </w:r>
      <w:r>
        <w:rPr>
          <w:rFonts w:hint="eastAsia" w:ascii="仿宋_GB2312" w:hAnsi="仿宋_GB2312" w:eastAsia="仿宋_GB2312" w:cs="仿宋_GB2312"/>
          <w:b/>
          <w:bCs/>
          <w:color w:val="000000"/>
          <w:sz w:val="32"/>
          <w:szCs w:val="32"/>
          <w:highlight w:val="none"/>
          <w:lang w:eastAsia="zh-CN"/>
        </w:rPr>
        <w:t>可以不</w:t>
      </w:r>
      <w:r>
        <w:rPr>
          <w:rFonts w:hint="eastAsia" w:ascii="仿宋_GB2312" w:hAnsi="仿宋_GB2312" w:eastAsia="仿宋_GB2312" w:cs="仿宋_GB2312"/>
          <w:b/>
          <w:bCs/>
          <w:color w:val="000000"/>
          <w:sz w:val="32"/>
          <w:szCs w:val="32"/>
          <w:highlight w:val="none"/>
        </w:rPr>
        <w:t>予行政处罚：</w:t>
      </w:r>
    </w:p>
    <w:p w14:paraId="2DB20521">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 xml:space="preserve">2.3.2.1 </w:t>
      </w:r>
      <w:r>
        <w:rPr>
          <w:rFonts w:hint="eastAsia" w:ascii="仿宋_GB2312" w:hAnsi="仿宋_GB2312" w:eastAsia="仿宋_GB2312" w:cs="仿宋_GB2312"/>
          <w:b w:val="0"/>
          <w:bCs w:val="0"/>
          <w:color w:val="000000"/>
          <w:sz w:val="32"/>
          <w:szCs w:val="32"/>
          <w:highlight w:val="none"/>
        </w:rPr>
        <w:t>初次违法且危害后果轻微并及时改正的</w:t>
      </w:r>
      <w:r>
        <w:rPr>
          <w:rFonts w:hint="eastAsia" w:ascii="仿宋_GB2312" w:hAnsi="仿宋_GB2312" w:eastAsia="仿宋_GB2312" w:cs="仿宋_GB2312"/>
          <w:b w:val="0"/>
          <w:bCs w:val="0"/>
          <w:color w:val="000000"/>
          <w:sz w:val="32"/>
          <w:szCs w:val="32"/>
          <w:highlight w:val="none"/>
          <w:lang w:eastAsia="zh-CN"/>
        </w:rPr>
        <w:t>；</w:t>
      </w:r>
    </w:p>
    <w:p w14:paraId="1528E82D">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2.3.2.2 </w:t>
      </w:r>
      <w:r>
        <w:rPr>
          <w:rFonts w:hint="eastAsia" w:ascii="仿宋_GB2312" w:hAnsi="仿宋_GB2312" w:eastAsia="仿宋_GB2312" w:cs="仿宋_GB2312"/>
          <w:b w:val="0"/>
          <w:bCs w:val="0"/>
          <w:color w:val="000000"/>
          <w:sz w:val="32"/>
          <w:szCs w:val="32"/>
          <w:highlight w:val="none"/>
          <w:lang w:eastAsia="zh-CN"/>
        </w:rPr>
        <w:t>法律法规规章及行政规范性文件规定的</w:t>
      </w:r>
      <w:r>
        <w:rPr>
          <w:rFonts w:hint="eastAsia" w:ascii="仿宋_GB2312" w:hAnsi="仿宋_GB2312" w:eastAsia="仿宋_GB2312" w:cs="仿宋_GB2312"/>
          <w:b w:val="0"/>
          <w:bCs w:val="0"/>
          <w:color w:val="000000"/>
          <w:sz w:val="32"/>
          <w:szCs w:val="32"/>
          <w:highlight w:val="none"/>
        </w:rPr>
        <w:t>其他可以</w:t>
      </w:r>
      <w:r>
        <w:rPr>
          <w:rFonts w:hint="eastAsia" w:ascii="仿宋_GB2312" w:hAnsi="仿宋_GB2312" w:eastAsia="仿宋_GB2312" w:cs="仿宋_GB2312"/>
          <w:b w:val="0"/>
          <w:bCs w:val="0"/>
          <w:color w:val="000000"/>
          <w:sz w:val="32"/>
          <w:szCs w:val="32"/>
          <w:highlight w:val="none"/>
          <w:lang w:val="en-US" w:eastAsia="zh-CN"/>
        </w:rPr>
        <w:t>不予行政</w:t>
      </w:r>
      <w:r>
        <w:rPr>
          <w:rFonts w:hint="eastAsia" w:ascii="仿宋_GB2312" w:hAnsi="仿宋_GB2312" w:eastAsia="仿宋_GB2312" w:cs="仿宋_GB2312"/>
          <w:b w:val="0"/>
          <w:bCs w:val="0"/>
          <w:color w:val="000000"/>
          <w:sz w:val="32"/>
          <w:szCs w:val="32"/>
          <w:highlight w:val="none"/>
        </w:rPr>
        <w:t>处罚的情形。</w:t>
      </w:r>
    </w:p>
    <w:p w14:paraId="31B859FD">
      <w:pPr>
        <w:keepNext w:val="0"/>
        <w:keepLines w:val="0"/>
        <w:pageBreakBefore w:val="0"/>
        <w:shd w:val="clear" w:color="auto" w:fill="FFFFFF"/>
        <w:kinsoku/>
        <w:overflowPunct/>
        <w:topLinePunct w:val="0"/>
        <w:autoSpaceDE/>
        <w:autoSpaceDN/>
        <w:bidi w:val="0"/>
        <w:adjustRightInd/>
        <w:snapToGrid w:val="0"/>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.3</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bCs/>
          <w:color w:val="000000"/>
          <w:sz w:val="32"/>
          <w:szCs w:val="32"/>
          <w:highlight w:val="none"/>
        </w:rPr>
        <w:t xml:space="preserve">有下列情形之一的，应当从轻或者减轻处罚： </w:t>
      </w:r>
    </w:p>
    <w:p w14:paraId="3171BB6C">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 xml:space="preserve">已满十四周岁不满十八周岁的未成年人有违法行为的； </w:t>
      </w:r>
    </w:p>
    <w:p w14:paraId="6C994ABC">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 xml:space="preserve">主动消除或者减轻违法行为危害后果的； </w:t>
      </w:r>
    </w:p>
    <w:p w14:paraId="77D2EBD1">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.3</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 xml:space="preserve">受他人胁迫或者诱骗实施违法行为的； </w:t>
      </w:r>
    </w:p>
    <w:p w14:paraId="66D9CBE5">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i w:val="0"/>
          <w:i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i w:val="0"/>
          <w:iCs w:val="0"/>
          <w:color w:val="000000"/>
          <w:sz w:val="32"/>
          <w:szCs w:val="32"/>
          <w:highlight w:val="none"/>
        </w:rPr>
        <w:t>4</w:t>
      </w:r>
      <w:r>
        <w:rPr>
          <w:rFonts w:hint="eastAsia" w:ascii="仿宋_GB2312" w:hAnsi="仿宋_GB2312" w:eastAsia="仿宋_GB2312" w:cs="仿宋_GB2312"/>
          <w:b w:val="0"/>
          <w:bCs w:val="0"/>
          <w:i w:val="0"/>
          <w:iCs w:val="0"/>
          <w:color w:val="000000"/>
          <w:sz w:val="32"/>
          <w:szCs w:val="32"/>
          <w:highlight w:val="none"/>
          <w:lang w:val="en-US" w:eastAsia="zh-CN"/>
        </w:rPr>
        <w:t xml:space="preserve"> </w:t>
      </w:r>
      <w:r>
        <w:rPr>
          <w:rFonts w:hint="eastAsia" w:ascii="仿宋_GB2312" w:hAnsi="仿宋_GB2312" w:eastAsia="仿宋_GB2312" w:cs="仿宋_GB2312"/>
          <w:b w:val="0"/>
          <w:bCs w:val="0"/>
          <w:i w:val="0"/>
          <w:iCs w:val="0"/>
          <w:color w:val="000000"/>
          <w:sz w:val="32"/>
          <w:szCs w:val="32"/>
          <w:highlight w:val="none"/>
        </w:rPr>
        <w:t>主动供述行政机关尚未掌握的违法行为的；</w:t>
      </w:r>
    </w:p>
    <w:p w14:paraId="5A840389">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i w:val="0"/>
          <w:i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i w:val="0"/>
          <w:iCs w:val="0"/>
          <w:color w:val="000000"/>
          <w:sz w:val="32"/>
          <w:szCs w:val="32"/>
          <w:highlight w:val="none"/>
        </w:rPr>
        <w:t>5</w:t>
      </w:r>
      <w:r>
        <w:rPr>
          <w:rFonts w:hint="eastAsia" w:ascii="仿宋_GB2312" w:hAnsi="仿宋_GB2312" w:eastAsia="仿宋_GB2312" w:cs="仿宋_GB2312"/>
          <w:b w:val="0"/>
          <w:bCs w:val="0"/>
          <w:i w:val="0"/>
          <w:iCs w:val="0"/>
          <w:color w:val="000000"/>
          <w:sz w:val="32"/>
          <w:szCs w:val="32"/>
          <w:highlight w:val="none"/>
          <w:lang w:val="en-US" w:eastAsia="zh-CN"/>
        </w:rPr>
        <w:t xml:space="preserve"> </w:t>
      </w:r>
      <w:r>
        <w:rPr>
          <w:rFonts w:hint="eastAsia" w:ascii="仿宋_GB2312" w:hAnsi="仿宋_GB2312" w:eastAsia="仿宋_GB2312" w:cs="仿宋_GB2312"/>
          <w:b w:val="0"/>
          <w:bCs w:val="0"/>
          <w:i w:val="0"/>
          <w:iCs w:val="0"/>
          <w:color w:val="000000"/>
          <w:sz w:val="32"/>
          <w:szCs w:val="32"/>
          <w:highlight w:val="none"/>
        </w:rPr>
        <w:t>配合</w:t>
      </w:r>
      <w:r>
        <w:rPr>
          <w:rFonts w:hint="eastAsia" w:ascii="仿宋_GB2312" w:hAnsi="仿宋_GB2312" w:eastAsia="仿宋_GB2312" w:cs="仿宋_GB2312"/>
          <w:b w:val="0"/>
          <w:bCs w:val="0"/>
          <w:i w:val="0"/>
          <w:iCs w:val="0"/>
          <w:color w:val="000000"/>
          <w:sz w:val="32"/>
          <w:szCs w:val="32"/>
          <w:highlight w:val="none"/>
          <w:lang w:eastAsia="zh-CN"/>
        </w:rPr>
        <w:t>行政</w:t>
      </w:r>
      <w:r>
        <w:rPr>
          <w:rFonts w:hint="eastAsia" w:ascii="仿宋_GB2312" w:hAnsi="仿宋_GB2312" w:eastAsia="仿宋_GB2312" w:cs="仿宋_GB2312"/>
          <w:b w:val="0"/>
          <w:bCs w:val="0"/>
          <w:i w:val="0"/>
          <w:iCs w:val="0"/>
          <w:color w:val="000000"/>
          <w:sz w:val="32"/>
          <w:szCs w:val="32"/>
          <w:highlight w:val="none"/>
        </w:rPr>
        <w:t>机关查处违法行为有立功表现的；</w:t>
      </w:r>
    </w:p>
    <w:p w14:paraId="3B6880AC">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i w:val="0"/>
          <w:iCs w:val="0"/>
          <w:color w:val="000000"/>
          <w:sz w:val="32"/>
          <w:szCs w:val="32"/>
          <w:highlight w:val="none"/>
        </w:rPr>
        <w:t>6</w:t>
      </w:r>
      <w:r>
        <w:rPr>
          <w:rFonts w:hint="eastAsia" w:ascii="仿宋_GB2312" w:hAnsi="仿宋_GB2312" w:eastAsia="仿宋_GB2312" w:cs="仿宋_GB2312"/>
          <w:b w:val="0"/>
          <w:bCs w:val="0"/>
          <w:i w:val="0"/>
          <w:iCs w:val="0"/>
          <w:color w:val="000000"/>
          <w:sz w:val="32"/>
          <w:szCs w:val="32"/>
          <w:highlight w:val="none"/>
          <w:lang w:val="en-US" w:eastAsia="zh-CN"/>
        </w:rPr>
        <w:t xml:space="preserve"> </w:t>
      </w:r>
      <w:r>
        <w:rPr>
          <w:rFonts w:hint="eastAsia" w:ascii="仿宋_GB2312" w:hAnsi="仿宋_GB2312" w:eastAsia="仿宋_GB2312" w:cs="仿宋_GB2312"/>
          <w:b w:val="0"/>
          <w:bCs w:val="0"/>
          <w:i w:val="0"/>
          <w:iCs w:val="0"/>
          <w:color w:val="000000"/>
          <w:sz w:val="32"/>
          <w:szCs w:val="32"/>
          <w:highlight w:val="none"/>
        </w:rPr>
        <w:t>法律法规规章规定其他应当从轻或者减轻行政处罚的</w:t>
      </w:r>
      <w:r>
        <w:rPr>
          <w:rFonts w:hint="eastAsia" w:ascii="仿宋_GB2312" w:hAnsi="仿宋_GB2312" w:eastAsia="仿宋_GB2312" w:cs="仿宋_GB2312"/>
          <w:b w:val="0"/>
          <w:bCs w:val="0"/>
          <w:color w:val="000000"/>
          <w:sz w:val="32"/>
          <w:szCs w:val="32"/>
          <w:highlight w:val="none"/>
        </w:rPr>
        <w:t>。</w:t>
      </w:r>
    </w:p>
    <w:p w14:paraId="7187185E">
      <w:pPr>
        <w:keepNext w:val="0"/>
        <w:keepLines w:val="0"/>
        <w:pageBreakBefore w:val="0"/>
        <w:shd w:val="clear" w:color="auto" w:fill="FFFFFF"/>
        <w:kinsoku/>
        <w:overflowPunct/>
        <w:topLinePunct w:val="0"/>
        <w:autoSpaceDE/>
        <w:autoSpaceDN/>
        <w:bidi w:val="0"/>
        <w:adjustRightInd/>
        <w:snapToGrid w:val="0"/>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.4</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bCs/>
          <w:color w:val="000000"/>
          <w:sz w:val="32"/>
          <w:szCs w:val="32"/>
          <w:highlight w:val="none"/>
        </w:rPr>
        <w:t>有下列情形之一的，可以从轻或者减轻处罚：</w:t>
      </w:r>
    </w:p>
    <w:p w14:paraId="06722BA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.4.1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尚未完全丧失辨认或者控制自己行为能力的精神病人、智力残疾人有违法行为的；</w:t>
      </w:r>
    </w:p>
    <w:p w14:paraId="4A866303">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.4.</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 xml:space="preserve"> </w:t>
      </w:r>
      <w:r>
        <w:rPr>
          <w:rFonts w:hint="eastAsia" w:ascii="仿宋_GB2312" w:hAnsi="仿宋_GB2312" w:eastAsia="仿宋_GB2312" w:cs="仿宋_GB2312"/>
          <w:b w:val="0"/>
          <w:bCs w:val="0"/>
          <w:color w:val="000000"/>
          <w:sz w:val="32"/>
          <w:szCs w:val="32"/>
          <w:highlight w:val="none"/>
          <w:lang w:eastAsia="zh-CN"/>
        </w:rPr>
        <w:t>法律法规规章及行政规范性文件规定的</w:t>
      </w:r>
      <w:r>
        <w:rPr>
          <w:rFonts w:hint="eastAsia" w:ascii="仿宋_GB2312" w:hAnsi="仿宋_GB2312" w:eastAsia="仿宋_GB2312" w:cs="仿宋_GB2312"/>
          <w:b w:val="0"/>
          <w:bCs w:val="0"/>
          <w:color w:val="000000"/>
          <w:sz w:val="32"/>
          <w:szCs w:val="32"/>
          <w:highlight w:val="none"/>
        </w:rPr>
        <w:t>其他可以从轻或者减轻处罚的情形。</w:t>
      </w:r>
    </w:p>
    <w:p w14:paraId="4CFCC5F7">
      <w:pPr>
        <w:keepNext w:val="0"/>
        <w:keepLines w:val="0"/>
        <w:pageBreakBefore w:val="0"/>
        <w:kinsoku/>
        <w:overflowPunct/>
        <w:topLinePunct w:val="0"/>
        <w:autoSpaceDE/>
        <w:autoSpaceDN/>
        <w:bidi w:val="0"/>
        <w:adjustRightInd/>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 xml:space="preserve">5 </w:t>
      </w:r>
      <w:r>
        <w:rPr>
          <w:rFonts w:hint="eastAsia" w:ascii="仿宋_GB2312" w:hAnsi="仿宋_GB2312" w:eastAsia="仿宋_GB2312" w:cs="仿宋_GB2312"/>
          <w:b/>
          <w:bCs/>
          <w:color w:val="000000"/>
          <w:sz w:val="32"/>
          <w:szCs w:val="32"/>
          <w:highlight w:val="none"/>
        </w:rPr>
        <w:t>有下列情形之一的，可以依法从重处罚：</w:t>
      </w:r>
    </w:p>
    <w:p w14:paraId="1394612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dstrike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对违反重大传染病疫情等突发事件应对措施的行为，依法快速、从重处罚</w:t>
      </w:r>
      <w:r>
        <w:rPr>
          <w:rFonts w:hint="eastAsia" w:ascii="仿宋_GB2312" w:hAnsi="仿宋_GB2312" w:eastAsia="仿宋_GB2312" w:cs="仿宋_GB2312"/>
          <w:b w:val="0"/>
          <w:bCs w:val="0"/>
          <w:color w:val="000000"/>
          <w:sz w:val="32"/>
          <w:szCs w:val="32"/>
          <w:highlight w:val="none"/>
          <w:lang w:eastAsia="zh-CN"/>
        </w:rPr>
        <w:t>；</w:t>
      </w:r>
    </w:p>
    <w:p w14:paraId="65C2331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 xml:space="preserve">2 </w:t>
      </w:r>
      <w:r>
        <w:rPr>
          <w:rFonts w:hint="eastAsia" w:ascii="仿宋_GB2312" w:hAnsi="仿宋_GB2312" w:eastAsia="仿宋_GB2312" w:cs="仿宋_GB2312"/>
          <w:b w:val="0"/>
          <w:bCs w:val="0"/>
          <w:color w:val="000000"/>
          <w:sz w:val="32"/>
          <w:szCs w:val="32"/>
          <w:highlight w:val="none"/>
          <w:lang w:eastAsia="zh-CN"/>
        </w:rPr>
        <w:t>法律法规规章规定其他</w:t>
      </w:r>
      <w:r>
        <w:rPr>
          <w:rFonts w:hint="eastAsia" w:ascii="仿宋_GB2312" w:hAnsi="仿宋_GB2312" w:eastAsia="仿宋_GB2312" w:cs="仿宋_GB2312"/>
          <w:b w:val="0"/>
          <w:bCs w:val="0"/>
          <w:color w:val="000000"/>
          <w:sz w:val="32"/>
          <w:szCs w:val="32"/>
          <w:highlight w:val="none"/>
        </w:rPr>
        <w:t>可以从重处罚的情形。</w:t>
      </w:r>
    </w:p>
    <w:p w14:paraId="16F7F019">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2.3.6 违法行为构成犯罪，人民法院判处罚金时，行政机关尚未给予当事人罚款的，不再给予罚款。</w:t>
      </w:r>
    </w:p>
    <w:p w14:paraId="3AB1450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2.3.7</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对当事人的违法行为依法不予行政处罚的，行政机关</w:t>
      </w:r>
      <w:r>
        <w:rPr>
          <w:rFonts w:hint="eastAsia" w:ascii="仿宋_GB2312" w:hAnsi="仿宋_GB2312" w:eastAsia="仿宋_GB2312" w:cs="仿宋_GB2312"/>
          <w:b w:val="0"/>
          <w:bCs w:val="0"/>
          <w:color w:val="000000"/>
          <w:sz w:val="32"/>
          <w:szCs w:val="32"/>
          <w:highlight w:val="none"/>
          <w:lang w:eastAsia="zh-CN"/>
        </w:rPr>
        <w:t>应当</w:t>
      </w:r>
      <w:r>
        <w:rPr>
          <w:rFonts w:hint="eastAsia" w:ascii="仿宋_GB2312" w:hAnsi="仿宋_GB2312" w:eastAsia="仿宋_GB2312" w:cs="仿宋_GB2312"/>
          <w:b w:val="0"/>
          <w:bCs w:val="0"/>
          <w:color w:val="000000"/>
          <w:sz w:val="32"/>
          <w:szCs w:val="32"/>
          <w:highlight w:val="none"/>
        </w:rPr>
        <w:t>对当事人进行教育。</w:t>
      </w:r>
    </w:p>
    <w:p w14:paraId="4726B498">
      <w:pPr>
        <w:keepNext w:val="0"/>
        <w:keepLines w:val="0"/>
        <w:pageBreakBefore w:val="0"/>
        <w:numPr>
          <w:ilvl w:val="0"/>
          <w:numId w:val="0"/>
        </w:numPr>
        <w:kinsoku/>
        <w:overflowPunct/>
        <w:topLinePunct w:val="0"/>
        <w:autoSpaceDE/>
        <w:autoSpaceDN/>
        <w:bidi w:val="0"/>
        <w:adjustRightInd/>
        <w:spacing w:line="560" w:lineRule="exact"/>
        <w:ind w:leftChars="0"/>
        <w:jc w:val="center"/>
        <w:rPr>
          <w:rFonts w:hint="eastAsia" w:ascii="黑体" w:hAnsi="黑体" w:eastAsia="黑体" w:cs="Times New Roman"/>
          <w:b w:val="0"/>
          <w:bCs w:val="0"/>
          <w:color w:val="000000"/>
          <w:sz w:val="32"/>
          <w:szCs w:val="32"/>
          <w:highlight w:val="none"/>
          <w:lang w:val="en-US" w:eastAsia="zh-CN"/>
        </w:rPr>
      </w:pPr>
    </w:p>
    <w:p w14:paraId="7F7AB608">
      <w:pPr>
        <w:keepNext w:val="0"/>
        <w:keepLines w:val="0"/>
        <w:pageBreakBefore w:val="0"/>
        <w:numPr>
          <w:ilvl w:val="0"/>
          <w:numId w:val="0"/>
        </w:numPr>
        <w:kinsoku/>
        <w:overflowPunct/>
        <w:topLinePunct w:val="0"/>
        <w:autoSpaceDE/>
        <w:autoSpaceDN/>
        <w:bidi w:val="0"/>
        <w:adjustRightInd/>
        <w:spacing w:line="560" w:lineRule="exact"/>
        <w:ind w:leftChars="0"/>
        <w:jc w:val="center"/>
        <w:rPr>
          <w:rFonts w:ascii="仿宋_GB2312" w:hAnsi="等线" w:eastAsia="仿宋_GB2312"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2.4 </w:t>
      </w:r>
      <w:r>
        <w:rPr>
          <w:rFonts w:hint="eastAsia" w:ascii="黑体" w:hAnsi="黑体" w:eastAsia="黑体" w:cs="Times New Roman"/>
          <w:b w:val="0"/>
          <w:bCs w:val="0"/>
          <w:color w:val="000000"/>
          <w:sz w:val="32"/>
          <w:szCs w:val="32"/>
          <w:highlight w:val="none"/>
        </w:rPr>
        <w:t>各违法行为的处罚依据和裁量档次</w:t>
      </w:r>
    </w:p>
    <w:p w14:paraId="7C95AC4C">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eastAsia="仿宋_GB2312" w:cs="Times New Roman"/>
          <w:b w:val="0"/>
          <w:bCs w:val="0"/>
          <w:color w:val="000000"/>
          <w:sz w:val="32"/>
          <w:szCs w:val="32"/>
          <w:highlight w:val="none"/>
          <w:lang w:eastAsia="zh-CN"/>
        </w:rPr>
        <w:t>城市管理综合行政</w:t>
      </w:r>
      <w:r>
        <w:rPr>
          <w:rFonts w:hint="eastAsia" w:ascii="仿宋_GB2312" w:hAnsi="等线" w:eastAsia="仿宋_GB2312" w:cs="Times New Roman"/>
          <w:b w:val="0"/>
          <w:bCs w:val="0"/>
          <w:color w:val="000000"/>
          <w:sz w:val="32"/>
          <w:szCs w:val="32"/>
          <w:highlight w:val="none"/>
        </w:rPr>
        <w:t>执法</w:t>
      </w:r>
      <w:r>
        <w:rPr>
          <w:rFonts w:hint="eastAsia" w:ascii="仿宋_GB2312" w:hAnsi="等线" w:eastAsia="仿宋_GB2312" w:cs="Times New Roman"/>
          <w:b w:val="0"/>
          <w:bCs w:val="0"/>
          <w:color w:val="000000"/>
          <w:sz w:val="32"/>
          <w:szCs w:val="32"/>
          <w:highlight w:val="none"/>
          <w:lang w:eastAsia="zh-CN"/>
        </w:rPr>
        <w:t>部门以及城市管理综合行政执法部门下放街道办事处、乡镇人民政府相关执法职权涉及的</w:t>
      </w:r>
      <w:r>
        <w:rPr>
          <w:rFonts w:hint="eastAsia" w:ascii="仿宋_GB2312" w:hAnsi="等线" w:eastAsia="仿宋_GB2312" w:cs="Times New Roman"/>
          <w:b w:val="0"/>
          <w:bCs w:val="0"/>
          <w:color w:val="000000"/>
          <w:sz w:val="32"/>
          <w:szCs w:val="32"/>
          <w:highlight w:val="none"/>
        </w:rPr>
        <w:t>违法行为的执法依据、处罚裁量档次、裁量</w:t>
      </w:r>
      <w:r>
        <w:rPr>
          <w:rFonts w:hint="eastAsia" w:ascii="仿宋_GB2312" w:hAnsi="等线" w:eastAsia="仿宋_GB2312" w:cs="Times New Roman"/>
          <w:b w:val="0"/>
          <w:bCs w:val="0"/>
          <w:color w:val="000000"/>
          <w:sz w:val="32"/>
          <w:szCs w:val="32"/>
          <w:highlight w:val="none"/>
          <w:lang w:eastAsia="zh-CN"/>
        </w:rPr>
        <w:t>系数</w:t>
      </w:r>
      <w:r>
        <w:rPr>
          <w:rFonts w:hint="eastAsia" w:ascii="仿宋_GB2312" w:hAnsi="等线" w:eastAsia="仿宋_GB2312" w:cs="Times New Roman"/>
          <w:b w:val="0"/>
          <w:bCs w:val="0"/>
          <w:color w:val="000000"/>
          <w:sz w:val="32"/>
          <w:szCs w:val="32"/>
          <w:highlight w:val="none"/>
        </w:rPr>
        <w:t>和裁量计算公式，详见《基准表》的具体规定。</w:t>
      </w:r>
    </w:p>
    <w:p w14:paraId="012DEF4C">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eastAsia="仿宋_GB2312" w:cs="Times New Roman"/>
          <w:b w:val="0"/>
          <w:bCs w:val="0"/>
          <w:color w:val="000000"/>
          <w:sz w:val="32"/>
          <w:szCs w:val="32"/>
          <w:highlight w:val="none"/>
        </w:rPr>
        <w:t>符合《中华人民共和国行政处罚法》和《基准》规定的不予处罚，以及应当或者可以从轻、减轻、从重处罚等情形的，可以按照规定，跨越《基准》和《基准表》规定的裁量档阶或者公式计算结果实施处罚。</w:t>
      </w:r>
    </w:p>
    <w:p w14:paraId="48FD4984">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p>
    <w:p w14:paraId="0285D833">
      <w:pPr>
        <w:keepNext w:val="0"/>
        <w:keepLines w:val="0"/>
        <w:pageBreakBefore w:val="0"/>
        <w:shd w:val="clear" w:color="auto" w:fill="FFFFFF"/>
        <w:kinsoku/>
        <w:overflowPunct/>
        <w:topLinePunct w:val="0"/>
        <w:autoSpaceDE/>
        <w:autoSpaceDN/>
        <w:bidi w:val="0"/>
        <w:adjustRightInd/>
        <w:snapToGrid w:val="0"/>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2.5 </w:t>
      </w:r>
      <w:r>
        <w:rPr>
          <w:rFonts w:hint="eastAsia" w:ascii="黑体" w:hAnsi="黑体" w:eastAsia="黑体" w:cs="Times New Roman"/>
          <w:b w:val="0"/>
          <w:bCs w:val="0"/>
          <w:color w:val="000000"/>
          <w:sz w:val="32"/>
          <w:szCs w:val="32"/>
          <w:highlight w:val="none"/>
        </w:rPr>
        <w:t>执法人员的取证要求</w:t>
      </w:r>
    </w:p>
    <w:p w14:paraId="5A3C06EC">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2.5.</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执法人员</w:t>
      </w:r>
      <w:r>
        <w:rPr>
          <w:rFonts w:hint="eastAsia" w:ascii="仿宋_GB2312" w:hAnsi="仿宋_GB2312" w:eastAsia="仿宋_GB2312" w:cs="仿宋_GB2312"/>
          <w:b w:val="0"/>
          <w:bCs w:val="0"/>
          <w:color w:val="000000"/>
          <w:sz w:val="32"/>
          <w:szCs w:val="32"/>
          <w:highlight w:val="none"/>
        </w:rPr>
        <w:t>应当</w:t>
      </w:r>
      <w:r>
        <w:rPr>
          <w:rFonts w:hint="eastAsia" w:ascii="仿宋_GB2312" w:hAnsi="仿宋_GB2312" w:eastAsia="仿宋_GB2312" w:cs="仿宋_GB2312"/>
          <w:b w:val="0"/>
          <w:bCs w:val="0"/>
          <w:color w:val="000000"/>
          <w:sz w:val="32"/>
          <w:szCs w:val="32"/>
          <w:highlight w:val="none"/>
          <w:lang w:eastAsia="zh-CN"/>
        </w:rPr>
        <w:t>依据</w:t>
      </w:r>
      <w:r>
        <w:rPr>
          <w:rFonts w:hint="eastAsia" w:ascii="仿宋_GB2312" w:hAnsi="仿宋_GB2312" w:eastAsia="仿宋_GB2312" w:cs="仿宋_GB2312"/>
          <w:b w:val="0"/>
          <w:bCs w:val="0"/>
          <w:strike w:val="0"/>
          <w:color w:val="000000"/>
          <w:sz w:val="32"/>
          <w:szCs w:val="32"/>
          <w:highlight w:val="none"/>
          <w:lang w:eastAsia="zh-CN"/>
        </w:rPr>
        <w:t>法律法规规章规定</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按照《基准》</w:t>
      </w:r>
      <w:r>
        <w:rPr>
          <w:rFonts w:hint="eastAsia" w:ascii="仿宋_GB2312" w:hAnsi="仿宋_GB2312" w:eastAsia="仿宋_GB2312" w:cs="仿宋_GB2312"/>
          <w:b w:val="0"/>
          <w:bCs w:val="0"/>
          <w:color w:val="000000"/>
          <w:sz w:val="32"/>
          <w:szCs w:val="32"/>
          <w:highlight w:val="none"/>
          <w:lang w:eastAsia="zh-CN"/>
        </w:rPr>
        <w:t>的要求</w:t>
      </w:r>
      <w:r>
        <w:rPr>
          <w:rFonts w:hint="eastAsia" w:ascii="仿宋_GB2312" w:hAnsi="仿宋_GB2312" w:eastAsia="仿宋_GB2312" w:cs="仿宋_GB2312"/>
          <w:b w:val="0"/>
          <w:bCs w:val="0"/>
          <w:color w:val="000000"/>
          <w:sz w:val="32"/>
          <w:szCs w:val="32"/>
          <w:highlight w:val="none"/>
        </w:rPr>
        <w:t>，并结合执法实践，依法、全面、客观、公正的收集与处罚裁量情节相关的证据，以证明违法行为的事实、性质、情节及社会危害程度，并排除不相关因素的干扰</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当事人有违法所得，除依法应当退赔的外，应当予以没收。</w:t>
      </w:r>
      <w:r>
        <w:rPr>
          <w:rFonts w:hint="eastAsia" w:ascii="仿宋_GB2312" w:hAnsi="仿宋_GB2312" w:eastAsia="仿宋_GB2312" w:cs="仿宋_GB2312"/>
          <w:b w:val="0"/>
          <w:bCs w:val="0"/>
          <w:color w:val="000000"/>
          <w:sz w:val="32"/>
          <w:szCs w:val="32"/>
          <w:highlight w:val="none"/>
          <w:lang w:eastAsia="zh-CN"/>
        </w:rPr>
        <w:t>对于当事人的违法所得和非法财物情况，执法人员</w:t>
      </w:r>
      <w:r>
        <w:rPr>
          <w:rFonts w:hint="eastAsia" w:ascii="仿宋_GB2312" w:hAnsi="仿宋_GB2312" w:eastAsia="仿宋_GB2312" w:cs="仿宋_GB2312"/>
          <w:b w:val="0"/>
          <w:bCs w:val="0"/>
          <w:color w:val="000000"/>
          <w:sz w:val="32"/>
          <w:szCs w:val="32"/>
          <w:highlight w:val="none"/>
          <w:lang w:val="en-US" w:eastAsia="zh-CN"/>
        </w:rPr>
        <w:t>应当严格调查取证。</w:t>
      </w:r>
    </w:p>
    <w:p w14:paraId="6571A934">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2.5.</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《基准》对相关执法案由的证据收集，未作</w:t>
      </w:r>
      <w:r>
        <w:rPr>
          <w:rFonts w:hint="eastAsia" w:ascii="仿宋_GB2312" w:hAnsi="仿宋_GB2312" w:eastAsia="仿宋_GB2312" w:cs="仿宋_GB2312"/>
          <w:b w:val="0"/>
          <w:bCs w:val="0"/>
          <w:color w:val="000000"/>
          <w:sz w:val="32"/>
          <w:szCs w:val="32"/>
          <w:highlight w:val="none"/>
          <w:lang w:eastAsia="zh-CN"/>
        </w:rPr>
        <w:t>详细</w:t>
      </w:r>
      <w:r>
        <w:rPr>
          <w:rFonts w:hint="eastAsia" w:ascii="仿宋_GB2312" w:hAnsi="仿宋_GB2312" w:eastAsia="仿宋_GB2312" w:cs="仿宋_GB2312"/>
          <w:b w:val="0"/>
          <w:bCs w:val="0"/>
          <w:color w:val="000000"/>
          <w:sz w:val="32"/>
          <w:szCs w:val="32"/>
          <w:highlight w:val="none"/>
        </w:rPr>
        <w:t>规定，或者规定与法律法规</w:t>
      </w:r>
      <w:r>
        <w:rPr>
          <w:rFonts w:hint="eastAsia" w:ascii="仿宋_GB2312" w:hAnsi="仿宋_GB2312" w:eastAsia="仿宋_GB2312" w:cs="仿宋_GB2312"/>
          <w:b w:val="0"/>
          <w:bCs w:val="0"/>
          <w:color w:val="000000"/>
          <w:sz w:val="32"/>
          <w:szCs w:val="32"/>
          <w:highlight w:val="none"/>
          <w:lang w:val="en-US" w:eastAsia="zh-CN"/>
        </w:rPr>
        <w:t>规章</w:t>
      </w:r>
      <w:r>
        <w:rPr>
          <w:rFonts w:hint="eastAsia" w:ascii="仿宋_GB2312" w:hAnsi="仿宋_GB2312" w:eastAsia="仿宋_GB2312" w:cs="仿宋_GB2312"/>
          <w:b w:val="0"/>
          <w:bCs w:val="0"/>
          <w:color w:val="000000"/>
          <w:sz w:val="32"/>
          <w:szCs w:val="32"/>
          <w:highlight w:val="none"/>
        </w:rPr>
        <w:t>不一致，</w:t>
      </w:r>
      <w:r>
        <w:rPr>
          <w:rFonts w:hint="eastAsia" w:ascii="仿宋_GB2312" w:hAnsi="仿宋_GB2312" w:eastAsia="仿宋_GB2312" w:cs="仿宋_GB2312"/>
          <w:b w:val="0"/>
          <w:bCs w:val="0"/>
          <w:color w:val="000000"/>
          <w:sz w:val="32"/>
          <w:szCs w:val="32"/>
          <w:highlight w:val="none"/>
          <w:lang w:val="en-US" w:eastAsia="zh-CN"/>
        </w:rPr>
        <w:t>或者适用《基准》可能出现明显不当，</w:t>
      </w:r>
      <w:r>
        <w:rPr>
          <w:rFonts w:hint="eastAsia" w:ascii="仿宋_GB2312" w:hAnsi="仿宋_GB2312" w:eastAsia="仿宋_GB2312" w:cs="仿宋_GB2312"/>
          <w:b w:val="0"/>
          <w:bCs w:val="0"/>
          <w:color w:val="000000"/>
          <w:sz w:val="32"/>
          <w:szCs w:val="32"/>
          <w:highlight w:val="none"/>
        </w:rPr>
        <w:t>或者存在其他特殊情形的，执法人员可以补充取证，说明理由，提出</w:t>
      </w:r>
      <w:r>
        <w:rPr>
          <w:rFonts w:hint="eastAsia" w:ascii="仿宋_GB2312" w:hAnsi="仿宋_GB2312" w:eastAsia="仿宋_GB2312" w:cs="仿宋_GB2312"/>
          <w:b w:val="0"/>
          <w:bCs w:val="0"/>
          <w:color w:val="000000"/>
          <w:sz w:val="32"/>
          <w:szCs w:val="32"/>
          <w:highlight w:val="none"/>
          <w:lang w:eastAsia="zh-CN"/>
        </w:rPr>
        <w:t>处理</w:t>
      </w:r>
      <w:r>
        <w:rPr>
          <w:rFonts w:hint="eastAsia" w:ascii="仿宋_GB2312" w:hAnsi="仿宋_GB2312" w:eastAsia="仿宋_GB2312" w:cs="仿宋_GB2312"/>
          <w:b w:val="0"/>
          <w:bCs w:val="0"/>
          <w:color w:val="000000"/>
          <w:sz w:val="32"/>
          <w:szCs w:val="32"/>
          <w:highlight w:val="none"/>
        </w:rPr>
        <w:t>建议，报案件审理委员会</w:t>
      </w:r>
      <w:r>
        <w:rPr>
          <w:rFonts w:hint="eastAsia" w:ascii="仿宋_GB2312" w:hAnsi="仿宋_GB2312" w:eastAsia="仿宋_GB2312" w:cs="仿宋_GB2312"/>
          <w:b w:val="0"/>
          <w:bCs w:val="0"/>
          <w:color w:val="000000"/>
          <w:sz w:val="32"/>
          <w:szCs w:val="32"/>
          <w:highlight w:val="none"/>
          <w:lang w:eastAsia="zh-CN"/>
        </w:rPr>
        <w:t>依法调整</w:t>
      </w:r>
      <w:r>
        <w:rPr>
          <w:rFonts w:hint="eastAsia" w:ascii="仿宋_GB2312" w:hAnsi="仿宋_GB2312" w:eastAsia="仿宋_GB2312" w:cs="仿宋_GB2312"/>
          <w:b w:val="0"/>
          <w:bCs w:val="0"/>
          <w:color w:val="000000"/>
          <w:sz w:val="32"/>
          <w:szCs w:val="32"/>
          <w:highlight w:val="none"/>
        </w:rPr>
        <w:t>确定最终</w:t>
      </w:r>
      <w:r>
        <w:rPr>
          <w:rFonts w:hint="eastAsia" w:ascii="仿宋_GB2312" w:hAnsi="仿宋_GB2312" w:eastAsia="仿宋_GB2312" w:cs="仿宋_GB2312"/>
          <w:b w:val="0"/>
          <w:bCs w:val="0"/>
          <w:color w:val="000000"/>
          <w:sz w:val="32"/>
          <w:szCs w:val="32"/>
          <w:highlight w:val="none"/>
          <w:lang w:eastAsia="zh-CN"/>
        </w:rPr>
        <w:t>的处理决定</w:t>
      </w:r>
      <w:r>
        <w:rPr>
          <w:rFonts w:hint="eastAsia" w:ascii="仿宋_GB2312" w:hAnsi="仿宋_GB2312" w:eastAsia="仿宋_GB2312" w:cs="仿宋_GB2312"/>
          <w:b w:val="0"/>
          <w:bCs w:val="0"/>
          <w:color w:val="000000"/>
          <w:sz w:val="32"/>
          <w:szCs w:val="32"/>
          <w:highlight w:val="none"/>
        </w:rPr>
        <w:t>。存在上述情形的，尤其是规定与法律法规</w:t>
      </w:r>
      <w:r>
        <w:rPr>
          <w:rFonts w:hint="eastAsia" w:ascii="仿宋_GB2312" w:hAnsi="仿宋_GB2312" w:eastAsia="仿宋_GB2312" w:cs="仿宋_GB2312"/>
          <w:b w:val="0"/>
          <w:bCs w:val="0"/>
          <w:color w:val="000000"/>
          <w:sz w:val="32"/>
          <w:szCs w:val="32"/>
          <w:highlight w:val="none"/>
          <w:lang w:val="en-US" w:eastAsia="zh-CN"/>
        </w:rPr>
        <w:t>规章</w:t>
      </w:r>
      <w:r>
        <w:rPr>
          <w:rFonts w:hint="eastAsia" w:ascii="仿宋_GB2312" w:hAnsi="仿宋_GB2312" w:eastAsia="仿宋_GB2312" w:cs="仿宋_GB2312"/>
          <w:b w:val="0"/>
          <w:bCs w:val="0"/>
          <w:color w:val="000000"/>
          <w:sz w:val="32"/>
          <w:szCs w:val="32"/>
          <w:highlight w:val="none"/>
        </w:rPr>
        <w:t>不一致的，</w:t>
      </w:r>
      <w:r>
        <w:rPr>
          <w:rFonts w:hint="eastAsia" w:ascii="仿宋_GB2312" w:hAnsi="仿宋_GB2312" w:eastAsia="仿宋_GB2312" w:cs="仿宋_GB2312"/>
          <w:b w:val="0"/>
          <w:bCs w:val="0"/>
          <w:color w:val="000000"/>
          <w:sz w:val="32"/>
          <w:szCs w:val="32"/>
          <w:highlight w:val="none"/>
          <w:lang w:val="en-US" w:eastAsia="zh-CN"/>
        </w:rPr>
        <w:t>各实施部门</w:t>
      </w:r>
      <w:r>
        <w:rPr>
          <w:rFonts w:hint="eastAsia" w:ascii="仿宋_GB2312" w:hAnsi="仿宋_GB2312" w:eastAsia="仿宋_GB2312" w:cs="仿宋_GB2312"/>
          <w:b w:val="0"/>
          <w:bCs w:val="0"/>
          <w:color w:val="000000"/>
          <w:sz w:val="32"/>
          <w:szCs w:val="32"/>
          <w:highlight w:val="none"/>
        </w:rPr>
        <w:t>应当及时向市城管执法局反馈情况。</w:t>
      </w:r>
    </w:p>
    <w:p w14:paraId="6D78B7A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2.5.</w:t>
      </w:r>
      <w:r>
        <w:rPr>
          <w:rFonts w:hint="eastAsia" w:ascii="仿宋_GB2312" w:hAnsi="仿宋_GB2312" w:eastAsia="仿宋_GB2312" w:cs="仿宋_GB2312"/>
          <w:b w:val="0"/>
          <w:bCs w:val="0"/>
          <w:color w:val="000000"/>
          <w:sz w:val="32"/>
          <w:szCs w:val="32"/>
          <w:highlight w:val="none"/>
        </w:rPr>
        <w:t>3</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案件审理委员会对执法人员提出的补充证据和处罚建议、理由等，应予以高度重视，并进行审议，经审议成立的，应当采纳。相关情况，应当在案卷文书中详细记载。</w:t>
      </w:r>
    </w:p>
    <w:p w14:paraId="4D8B6649">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lang w:eastAsia="zh-CN"/>
        </w:rPr>
      </w:pPr>
    </w:p>
    <w:p w14:paraId="50F10567">
      <w:pPr>
        <w:keepNext w:val="0"/>
        <w:keepLines w:val="0"/>
        <w:pageBreakBefore w:val="0"/>
        <w:shd w:val="clear" w:color="auto" w:fill="FFFFFF"/>
        <w:kinsoku/>
        <w:overflowPunct/>
        <w:topLinePunct w:val="0"/>
        <w:autoSpaceDE/>
        <w:autoSpaceDN/>
        <w:bidi w:val="0"/>
        <w:adjustRightInd/>
        <w:snapToGrid w:val="0"/>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2.6 </w:t>
      </w:r>
      <w:r>
        <w:rPr>
          <w:rFonts w:hint="eastAsia" w:ascii="黑体" w:hAnsi="黑体" w:eastAsia="黑体" w:cs="Times New Roman"/>
          <w:b w:val="0"/>
          <w:bCs w:val="0"/>
          <w:color w:val="000000"/>
          <w:sz w:val="32"/>
          <w:szCs w:val="32"/>
          <w:highlight w:val="none"/>
        </w:rPr>
        <w:t>当事人陈述申辩</w:t>
      </w:r>
    </w:p>
    <w:p w14:paraId="73524EA6">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2.6.</w:t>
      </w:r>
      <w:r>
        <w:rPr>
          <w:rFonts w:hint="eastAsia" w:ascii="仿宋_GB2312" w:hAnsi="等线" w:eastAsia="仿宋_GB2312" w:cs="Times New Roman"/>
          <w:b w:val="0"/>
          <w:bCs w:val="0"/>
          <w:color w:val="000000"/>
          <w:sz w:val="32"/>
          <w:szCs w:val="32"/>
          <w:highlight w:val="none"/>
        </w:rPr>
        <w:t>1</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lang w:eastAsia="zh-CN"/>
        </w:rPr>
        <w:t>执法部门</w:t>
      </w:r>
      <w:r>
        <w:rPr>
          <w:rFonts w:hint="eastAsia" w:ascii="仿宋_GB2312" w:hAnsi="等线" w:eastAsia="仿宋_GB2312" w:cs="Times New Roman"/>
          <w:b w:val="0"/>
          <w:bCs w:val="0"/>
          <w:color w:val="000000"/>
          <w:kern w:val="2"/>
          <w:sz w:val="32"/>
          <w:szCs w:val="32"/>
          <w:highlight w:val="none"/>
          <w:lang w:val="en-US" w:eastAsia="zh-CN" w:bidi="ar-SA"/>
        </w:rPr>
        <w:t>作出处罚决定之前，应当告知当事人拟作出的行政处罚内容及事实、理由、依据，并告知当事人依法享有的陈述、申辩、要求听证等权利，充分听取当事人的意见。</w:t>
      </w:r>
    </w:p>
    <w:p w14:paraId="658517F1">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2.6.</w:t>
      </w:r>
      <w:r>
        <w:rPr>
          <w:rFonts w:hint="eastAsia" w:ascii="仿宋_GB2312" w:hAnsi="等线" w:eastAsia="仿宋_GB2312" w:cs="Times New Roman"/>
          <w:b w:val="0"/>
          <w:bCs w:val="0"/>
          <w:color w:val="000000"/>
          <w:sz w:val="32"/>
          <w:szCs w:val="32"/>
          <w:highlight w:val="none"/>
        </w:rPr>
        <w:t>2</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rPr>
        <w:t>对当事人提出的事实、理由和证据，应当进行复核，经复核成立的，应当采纳；不成立的，告知相关事实、理由和依据。</w:t>
      </w:r>
    </w:p>
    <w:p w14:paraId="5600235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2.6.</w:t>
      </w:r>
      <w:r>
        <w:rPr>
          <w:rFonts w:hint="eastAsia" w:ascii="仿宋_GB2312" w:hAnsi="等线" w:eastAsia="仿宋_GB2312" w:cs="Times New Roman"/>
          <w:b w:val="0"/>
          <w:bCs w:val="0"/>
          <w:color w:val="000000"/>
          <w:sz w:val="32"/>
          <w:szCs w:val="32"/>
          <w:highlight w:val="none"/>
        </w:rPr>
        <w:t>3</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lang w:eastAsia="zh-CN"/>
        </w:rPr>
        <w:t>不得因当事人陈述、申辩而给予更重的处罚。</w:t>
      </w:r>
    </w:p>
    <w:p w14:paraId="052545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等线" w:eastAsia="仿宋_GB2312" w:cs="Times New Roman"/>
          <w:b w:val="0"/>
          <w:bCs w:val="0"/>
          <w:color w:val="000000"/>
          <w:kern w:val="2"/>
          <w:sz w:val="32"/>
          <w:szCs w:val="32"/>
          <w:highlight w:val="none"/>
          <w:lang w:val="en-US" w:eastAsia="zh-CN" w:bidi="ar-SA"/>
        </w:rPr>
      </w:pPr>
      <w:r>
        <w:rPr>
          <w:rFonts w:hint="eastAsia" w:ascii="仿宋_GB2312" w:hAnsi="宋体" w:cs="宋体"/>
          <w:b w:val="0"/>
          <w:bCs w:val="0"/>
          <w:color w:val="000000"/>
          <w:kern w:val="0"/>
          <w:sz w:val="32"/>
          <w:szCs w:val="32"/>
          <w:highlight w:val="none"/>
          <w:lang w:val="en-US" w:eastAsia="zh-CN" w:bidi="ar-SA"/>
        </w:rPr>
        <w:t>2.6.</w:t>
      </w:r>
      <w:r>
        <w:rPr>
          <w:rFonts w:hint="eastAsia" w:ascii="仿宋_GB2312" w:hAnsi="等线" w:eastAsia="仿宋_GB2312" w:cs="Times New Roman"/>
          <w:b w:val="0"/>
          <w:bCs w:val="0"/>
          <w:color w:val="000000"/>
          <w:kern w:val="2"/>
          <w:sz w:val="32"/>
          <w:szCs w:val="32"/>
          <w:highlight w:val="none"/>
          <w:lang w:val="en-US" w:eastAsia="zh-CN" w:bidi="ar-SA"/>
        </w:rPr>
        <w:t>4 作出行政处罚决定之前，未依法向当事人告知拟作出的行政处罚内容及事实、理由、依据，或者拒绝听取当事人的陈述、申辩，符合听证条件未按当事人要求举行听证的，不得作出处罚决定；当事人明确放弃陈述或者申辩权利的除外。</w:t>
      </w:r>
    </w:p>
    <w:p w14:paraId="6DA24410">
      <w:pPr>
        <w:keepNext w:val="0"/>
        <w:keepLines w:val="0"/>
        <w:pageBreakBefore w:val="0"/>
        <w:shd w:val="clear" w:color="auto" w:fill="FFFFFF"/>
        <w:kinsoku/>
        <w:overflowPunct/>
        <w:topLinePunct w:val="0"/>
        <w:autoSpaceDE/>
        <w:autoSpaceDN/>
        <w:bidi w:val="0"/>
        <w:adjustRightInd/>
        <w:snapToGrid w:val="0"/>
        <w:spacing w:line="560" w:lineRule="exact"/>
        <w:jc w:val="center"/>
        <w:rPr>
          <w:rFonts w:hint="eastAsia" w:ascii="黑体" w:hAnsi="黑体" w:eastAsia="黑体" w:cs="Times New Roman"/>
          <w:b w:val="0"/>
          <w:bCs w:val="0"/>
          <w:color w:val="000000"/>
          <w:sz w:val="32"/>
          <w:szCs w:val="32"/>
          <w:highlight w:val="none"/>
        </w:rPr>
      </w:pPr>
    </w:p>
    <w:p w14:paraId="232D687D">
      <w:pPr>
        <w:keepNext w:val="0"/>
        <w:keepLines w:val="0"/>
        <w:pageBreakBefore w:val="0"/>
        <w:shd w:val="clear" w:color="auto" w:fill="FFFFFF"/>
        <w:kinsoku/>
        <w:overflowPunct/>
        <w:topLinePunct w:val="0"/>
        <w:autoSpaceDE/>
        <w:autoSpaceDN/>
        <w:bidi w:val="0"/>
        <w:adjustRightInd/>
        <w:snapToGrid w:val="0"/>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2.7 </w:t>
      </w:r>
      <w:r>
        <w:rPr>
          <w:rFonts w:hint="eastAsia" w:ascii="黑体" w:hAnsi="黑体" w:eastAsia="黑体" w:cs="Times New Roman"/>
          <w:b w:val="0"/>
          <w:bCs w:val="0"/>
          <w:color w:val="000000"/>
          <w:sz w:val="32"/>
          <w:szCs w:val="32"/>
          <w:highlight w:val="none"/>
        </w:rPr>
        <w:t>案件审理委员会审议</w:t>
      </w:r>
    </w:p>
    <w:p w14:paraId="4A9BC50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lang w:eastAsia="zh-CN"/>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color w:val="000000"/>
          <w:sz w:val="32"/>
          <w:szCs w:val="32"/>
          <w:highlight w:val="none"/>
        </w:rPr>
        <w:t>1</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rPr>
        <w:t>对重大、疑难、复杂案件，</w:t>
      </w:r>
      <w:r>
        <w:rPr>
          <w:rFonts w:hint="eastAsia" w:ascii="仿宋_GB2312" w:hAnsi="等线" w:eastAsia="仿宋_GB2312" w:cs="Times New Roman"/>
          <w:b w:val="0"/>
          <w:bCs w:val="0"/>
          <w:color w:val="000000"/>
          <w:sz w:val="32"/>
          <w:szCs w:val="32"/>
          <w:highlight w:val="none"/>
          <w:lang w:val="en-US" w:eastAsia="zh-CN"/>
        </w:rPr>
        <w:t>或者适用《基准》可能出现明显不当，</w:t>
      </w:r>
      <w:r>
        <w:rPr>
          <w:rFonts w:hint="eastAsia" w:ascii="仿宋_GB2312" w:hAnsi="等线" w:eastAsia="仿宋_GB2312" w:cs="Times New Roman"/>
          <w:b w:val="0"/>
          <w:bCs w:val="0"/>
          <w:color w:val="000000"/>
          <w:sz w:val="32"/>
          <w:szCs w:val="32"/>
          <w:highlight w:val="none"/>
        </w:rPr>
        <w:t>或者存在其他特别情形的案件，经案件审理委员会</w:t>
      </w:r>
      <w:r>
        <w:rPr>
          <w:rFonts w:hint="eastAsia" w:ascii="仿宋_GB2312" w:hAnsi="等线" w:eastAsia="仿宋_GB2312" w:cs="Times New Roman"/>
          <w:b w:val="0"/>
          <w:bCs w:val="0"/>
          <w:color w:val="000000"/>
          <w:sz w:val="32"/>
          <w:szCs w:val="32"/>
          <w:highlight w:val="none"/>
          <w:lang w:eastAsia="zh-CN"/>
        </w:rPr>
        <w:t>集体讨论通过后</w:t>
      </w:r>
      <w:r>
        <w:rPr>
          <w:rFonts w:hint="eastAsia" w:ascii="仿宋_GB2312" w:hAnsi="等线" w:eastAsia="仿宋_GB2312" w:cs="Times New Roman"/>
          <w:b w:val="0"/>
          <w:bCs w:val="0"/>
          <w:color w:val="000000"/>
          <w:sz w:val="32"/>
          <w:szCs w:val="32"/>
          <w:highlight w:val="none"/>
        </w:rPr>
        <w:t>，可以依法调整确定最终的</w:t>
      </w:r>
      <w:r>
        <w:rPr>
          <w:rFonts w:hint="eastAsia" w:ascii="仿宋_GB2312" w:hAnsi="等线" w:eastAsia="仿宋_GB2312" w:cs="Times New Roman"/>
          <w:b w:val="0"/>
          <w:bCs w:val="0"/>
          <w:strike w:val="0"/>
          <w:dstrike w:val="0"/>
          <w:color w:val="000000"/>
          <w:sz w:val="32"/>
          <w:szCs w:val="32"/>
          <w:highlight w:val="none"/>
          <w:lang w:eastAsia="zh-CN"/>
        </w:rPr>
        <w:t>处理</w:t>
      </w:r>
      <w:r>
        <w:rPr>
          <w:rFonts w:hint="eastAsia" w:ascii="仿宋_GB2312" w:hAnsi="等线" w:eastAsia="仿宋_GB2312" w:cs="Times New Roman"/>
          <w:b w:val="0"/>
          <w:bCs w:val="0"/>
          <w:color w:val="000000"/>
          <w:sz w:val="32"/>
          <w:szCs w:val="32"/>
          <w:highlight w:val="none"/>
          <w:lang w:eastAsia="zh-CN"/>
        </w:rPr>
        <w:t>决定。</w:t>
      </w:r>
    </w:p>
    <w:p w14:paraId="19E9C2E5">
      <w:pPr>
        <w:keepNext w:val="0"/>
        <w:keepLines w:val="0"/>
        <w:pageBreakBefore w:val="0"/>
        <w:shd w:val="clear" w:color="auto" w:fill="FFFFFF"/>
        <w:kinsoku/>
        <w:overflowPunct/>
        <w:topLinePunct w:val="0"/>
        <w:autoSpaceDE/>
        <w:autoSpaceDN/>
        <w:bidi w:val="0"/>
        <w:adjustRightInd/>
        <w:snapToGrid w:val="0"/>
        <w:spacing w:line="560" w:lineRule="exact"/>
        <w:ind w:firstLine="627" w:firstLineChars="196"/>
        <w:rPr>
          <w:rFonts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color w:val="000000"/>
          <w:sz w:val="32"/>
          <w:szCs w:val="32"/>
          <w:highlight w:val="none"/>
        </w:rPr>
        <w:t>2</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rPr>
        <w:t>提请案件审理委员会审议时，应当做到案件事实和情节清楚、证据确凿</w:t>
      </w:r>
      <w:r>
        <w:rPr>
          <w:rFonts w:hint="eastAsia" w:ascii="仿宋_GB2312" w:hAnsi="等线" w:eastAsia="仿宋_GB2312" w:cs="Times New Roman"/>
          <w:b w:val="0"/>
          <w:bCs w:val="0"/>
          <w:color w:val="000000"/>
          <w:sz w:val="32"/>
          <w:szCs w:val="32"/>
          <w:highlight w:val="none"/>
          <w:lang w:eastAsia="zh-CN"/>
        </w:rPr>
        <w:t>、</w:t>
      </w:r>
      <w:r>
        <w:rPr>
          <w:rFonts w:hint="eastAsia" w:ascii="仿宋_GB2312" w:hAnsi="等线" w:eastAsia="仿宋_GB2312" w:cs="Times New Roman"/>
          <w:b w:val="0"/>
          <w:bCs w:val="0"/>
          <w:color w:val="000000"/>
          <w:sz w:val="32"/>
          <w:szCs w:val="32"/>
          <w:highlight w:val="none"/>
        </w:rPr>
        <w:t xml:space="preserve">适用法律法规规章准确、适用裁量基准适当、程序合法，承办人处理建议、当事人的陈述申辩意见及法制机构的审核意见明确、齐全。 </w:t>
      </w:r>
    </w:p>
    <w:p w14:paraId="0B895B55">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strike w:val="0"/>
          <w:dstrike w:val="0"/>
          <w:color w:val="000000"/>
          <w:kern w:val="2"/>
          <w:sz w:val="32"/>
          <w:szCs w:val="32"/>
          <w:highlight w:val="none"/>
          <w:lang w:val="en-US" w:eastAsia="zh-CN" w:bidi="ar-SA"/>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color w:val="000000"/>
          <w:sz w:val="32"/>
          <w:szCs w:val="32"/>
          <w:highlight w:val="none"/>
        </w:rPr>
        <w:t>3</w:t>
      </w:r>
      <w:r>
        <w:rPr>
          <w:rFonts w:hint="eastAsia" w:ascii="仿宋_GB2312" w:hAnsi="等线" w:eastAsia="仿宋_GB2312" w:cs="Times New Roman"/>
          <w:b w:val="0"/>
          <w:bCs w:val="0"/>
          <w:color w:val="000000"/>
          <w:sz w:val="32"/>
          <w:szCs w:val="32"/>
          <w:highlight w:val="none"/>
          <w:lang w:val="en-US" w:eastAsia="zh-CN"/>
        </w:rPr>
        <w:t xml:space="preserve"> </w:t>
      </w:r>
      <w:r>
        <w:rPr>
          <w:rFonts w:hint="default" w:ascii="仿宋_GB2312" w:hAnsi="等线" w:eastAsia="仿宋_GB2312" w:cs="Times New Roman"/>
          <w:b w:val="0"/>
          <w:bCs w:val="0"/>
          <w:strike w:val="0"/>
          <w:dstrike w:val="0"/>
          <w:color w:val="000000"/>
          <w:kern w:val="2"/>
          <w:sz w:val="32"/>
          <w:szCs w:val="32"/>
          <w:highlight w:val="none"/>
          <w:lang w:val="en" w:eastAsia="zh-CN" w:bidi="ar-SA"/>
        </w:rPr>
        <w:t>重大行政执法决定法制审核应当在作出行政执法决定前</w:t>
      </w:r>
      <w:r>
        <w:rPr>
          <w:rFonts w:hint="eastAsia" w:ascii="仿宋_GB2312" w:hAnsi="等线" w:eastAsia="仿宋_GB2312" w:cs="Times New Roman"/>
          <w:b w:val="0"/>
          <w:bCs w:val="0"/>
          <w:strike w:val="0"/>
          <w:dstrike w:val="0"/>
          <w:color w:val="000000"/>
          <w:kern w:val="2"/>
          <w:sz w:val="32"/>
          <w:szCs w:val="32"/>
          <w:highlight w:val="none"/>
          <w:lang w:val="en" w:eastAsia="zh-CN" w:bidi="ar-SA"/>
        </w:rPr>
        <w:t>进行</w:t>
      </w:r>
      <w:r>
        <w:rPr>
          <w:rFonts w:hint="default" w:ascii="仿宋_GB2312" w:hAnsi="等线" w:eastAsia="仿宋_GB2312" w:cs="Times New Roman"/>
          <w:b w:val="0"/>
          <w:bCs w:val="0"/>
          <w:strike w:val="0"/>
          <w:dstrike w:val="0"/>
          <w:color w:val="000000"/>
          <w:kern w:val="2"/>
          <w:sz w:val="32"/>
          <w:szCs w:val="32"/>
          <w:highlight w:val="none"/>
          <w:lang w:val="en" w:eastAsia="zh-CN" w:bidi="ar-SA"/>
        </w:rPr>
        <w:t>。未经法制审核，行政执法机关不得作出重大行政执法决定。主体、事实、程序存在合法性问题</w:t>
      </w:r>
      <w:r>
        <w:rPr>
          <w:rFonts w:hint="eastAsia" w:ascii="仿宋_GB2312" w:hAnsi="等线" w:eastAsia="仿宋_GB2312" w:cs="Times New Roman"/>
          <w:b w:val="0"/>
          <w:bCs w:val="0"/>
          <w:strike w:val="0"/>
          <w:dstrike w:val="0"/>
          <w:color w:val="000000"/>
          <w:kern w:val="2"/>
          <w:sz w:val="32"/>
          <w:szCs w:val="32"/>
          <w:highlight w:val="none"/>
          <w:lang w:val="en" w:eastAsia="zh-CN" w:bidi="ar-SA"/>
        </w:rPr>
        <w:t>，或者裁量存在明显不当</w:t>
      </w:r>
      <w:r>
        <w:rPr>
          <w:rFonts w:hint="default" w:ascii="仿宋_GB2312" w:hAnsi="等线" w:eastAsia="仿宋_GB2312" w:cs="Times New Roman"/>
          <w:b w:val="0"/>
          <w:bCs w:val="0"/>
          <w:strike w:val="0"/>
          <w:dstrike w:val="0"/>
          <w:color w:val="000000"/>
          <w:kern w:val="2"/>
          <w:sz w:val="32"/>
          <w:szCs w:val="32"/>
          <w:highlight w:val="none"/>
          <w:lang w:val="en" w:eastAsia="zh-CN" w:bidi="ar-SA"/>
        </w:rPr>
        <w:t>的，应当在纠正或者改正后</w:t>
      </w:r>
      <w:r>
        <w:rPr>
          <w:rFonts w:hint="eastAsia" w:ascii="仿宋_GB2312" w:hAnsi="等线" w:eastAsia="仿宋_GB2312" w:cs="Times New Roman"/>
          <w:b w:val="0"/>
          <w:bCs w:val="0"/>
          <w:strike w:val="0"/>
          <w:dstrike w:val="0"/>
          <w:color w:val="000000"/>
          <w:kern w:val="2"/>
          <w:sz w:val="32"/>
          <w:szCs w:val="32"/>
          <w:highlight w:val="none"/>
          <w:lang w:val="en" w:eastAsia="zh-CN" w:bidi="ar-SA"/>
        </w:rPr>
        <w:t>报请案件审理委员会集体审议。</w:t>
      </w:r>
      <w:r>
        <w:rPr>
          <w:rFonts w:hint="eastAsia" w:ascii="仿宋_GB2312" w:hAnsi="等线" w:eastAsia="仿宋_GB2312" w:cs="Times New Roman"/>
          <w:b w:val="0"/>
          <w:bCs w:val="0"/>
          <w:strike w:val="0"/>
          <w:dstrike w:val="0"/>
          <w:color w:val="000000"/>
          <w:kern w:val="2"/>
          <w:sz w:val="32"/>
          <w:szCs w:val="32"/>
          <w:highlight w:val="none"/>
          <w:lang w:val="en-US" w:eastAsia="zh-CN" w:bidi="ar-SA"/>
        </w:rPr>
        <w:t xml:space="preserve"> </w:t>
      </w:r>
    </w:p>
    <w:p w14:paraId="61FCE681">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kern w:val="2"/>
          <w:sz w:val="32"/>
          <w:szCs w:val="32"/>
          <w:highlight w:val="none"/>
          <w:lang w:val="en-US" w:eastAsia="zh-CN" w:bidi="ar-SA"/>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strike w:val="0"/>
          <w:dstrike w:val="0"/>
          <w:color w:val="000000"/>
          <w:kern w:val="2"/>
          <w:sz w:val="32"/>
          <w:szCs w:val="32"/>
          <w:highlight w:val="none"/>
          <w:lang w:val="en-US" w:eastAsia="zh-CN" w:bidi="ar-SA"/>
        </w:rPr>
        <w:t>4</w:t>
      </w:r>
      <w:r>
        <w:rPr>
          <w:rFonts w:hint="default" w:ascii="仿宋_GB2312" w:hAnsi="等线" w:eastAsia="仿宋_GB2312" w:cs="Times New Roman"/>
          <w:b w:val="0"/>
          <w:bCs w:val="0"/>
          <w:strike w:val="0"/>
          <w:dstrike w:val="0"/>
          <w:color w:val="000000"/>
          <w:kern w:val="2"/>
          <w:sz w:val="32"/>
          <w:szCs w:val="32"/>
          <w:highlight w:val="none"/>
          <w:lang w:val="en-US" w:eastAsia="zh-CN" w:bidi="ar-SA"/>
        </w:rPr>
        <w:t xml:space="preserve"> </w:t>
      </w:r>
      <w:r>
        <w:rPr>
          <w:rFonts w:hint="eastAsia" w:ascii="仿宋_GB2312" w:hAnsi="等线" w:eastAsia="仿宋_GB2312" w:cs="Times New Roman"/>
          <w:b w:val="0"/>
          <w:bCs w:val="0"/>
          <w:color w:val="000000"/>
          <w:sz w:val="32"/>
          <w:szCs w:val="32"/>
          <w:highlight w:val="none"/>
          <w:lang w:eastAsia="zh-CN"/>
        </w:rPr>
        <w:t>重大行政执法决定</w:t>
      </w:r>
      <w:r>
        <w:rPr>
          <w:rFonts w:hint="eastAsia" w:ascii="仿宋_GB2312" w:hAnsi="等线" w:eastAsia="仿宋_GB2312" w:cs="Times New Roman"/>
          <w:b w:val="0"/>
          <w:bCs w:val="0"/>
          <w:color w:val="000000"/>
          <w:sz w:val="32"/>
          <w:szCs w:val="32"/>
          <w:highlight w:val="none"/>
        </w:rPr>
        <w:t>集体审议时应当把裁量作为重要审议事项。</w:t>
      </w:r>
    </w:p>
    <w:p w14:paraId="336DB38F">
      <w:pPr>
        <w:keepNext w:val="0"/>
        <w:keepLines w:val="0"/>
        <w:pageBreakBefore w:val="0"/>
        <w:kinsoku/>
        <w:overflowPunct/>
        <w:topLinePunct w:val="0"/>
        <w:autoSpaceDE/>
        <w:autoSpaceDN/>
        <w:bidi w:val="0"/>
        <w:adjustRightInd/>
        <w:spacing w:line="560" w:lineRule="exact"/>
        <w:rPr>
          <w:rFonts w:hint="eastAsia" w:ascii="仿宋_GB2312" w:hAnsi="等线" w:eastAsia="仿宋_GB2312" w:cs="Times New Roman"/>
          <w:b w:val="0"/>
          <w:bCs w:val="0"/>
          <w:strike w:val="0"/>
          <w:dstrike w:val="0"/>
          <w:color w:val="000000"/>
          <w:kern w:val="2"/>
          <w:sz w:val="32"/>
          <w:szCs w:val="32"/>
          <w:highlight w:val="none"/>
          <w:lang w:val="en-US" w:eastAsia="zh-CN" w:bidi="ar-SA"/>
        </w:rPr>
      </w:pPr>
    </w:p>
    <w:p w14:paraId="7AC8C1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ascii="黑体" w:hAnsi="黑体" w:eastAsia="黑体" w:cs="Times New Roman"/>
          <w:b w:val="0"/>
          <w:bCs w:val="0"/>
          <w:color w:val="000000"/>
          <w:sz w:val="36"/>
          <w:szCs w:val="36"/>
          <w:highlight w:val="none"/>
        </w:rPr>
      </w:pPr>
      <w:r>
        <w:rPr>
          <w:rFonts w:hint="eastAsia" w:ascii="黑体" w:hAnsi="黑体" w:eastAsia="黑体" w:cs="Times New Roman"/>
          <w:b w:val="0"/>
          <w:bCs w:val="0"/>
          <w:color w:val="000000"/>
          <w:sz w:val="36"/>
          <w:szCs w:val="36"/>
          <w:highlight w:val="none"/>
          <w:lang w:val="en-US" w:eastAsia="zh-CN"/>
        </w:rPr>
        <w:t xml:space="preserve">3 </w:t>
      </w:r>
      <w:r>
        <w:rPr>
          <w:rFonts w:hint="eastAsia" w:ascii="黑体" w:hAnsi="黑体" w:eastAsia="黑体" w:cs="Times New Roman"/>
          <w:b w:val="0"/>
          <w:bCs w:val="0"/>
          <w:color w:val="000000"/>
          <w:sz w:val="36"/>
          <w:szCs w:val="36"/>
          <w:highlight w:val="none"/>
        </w:rPr>
        <w:t>实施</w:t>
      </w:r>
      <w:r>
        <w:rPr>
          <w:rFonts w:hint="eastAsia" w:ascii="黑体" w:hAnsi="黑体" w:eastAsia="黑体" w:cs="Times New Roman"/>
          <w:b w:val="0"/>
          <w:bCs w:val="0"/>
          <w:color w:val="000000"/>
          <w:sz w:val="36"/>
          <w:szCs w:val="36"/>
          <w:highlight w:val="none"/>
          <w:lang w:eastAsia="zh-CN"/>
        </w:rPr>
        <w:t>行政检查</w:t>
      </w:r>
      <w:r>
        <w:rPr>
          <w:rFonts w:hint="eastAsia" w:ascii="黑体" w:hAnsi="黑体" w:eastAsia="黑体" w:cs="Times New Roman"/>
          <w:b w:val="0"/>
          <w:bCs w:val="0"/>
          <w:color w:val="000000"/>
          <w:sz w:val="36"/>
          <w:szCs w:val="36"/>
          <w:highlight w:val="none"/>
        </w:rPr>
        <w:t>裁量的基本规则</w:t>
      </w:r>
    </w:p>
    <w:p w14:paraId="500726D9">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 xml:space="preserve">3.1 </w:t>
      </w:r>
      <w:r>
        <w:rPr>
          <w:rFonts w:hint="eastAsia" w:ascii="仿宋_GB2312" w:hAnsi="仿宋_GB2312" w:eastAsia="仿宋_GB2312" w:cs="仿宋_GB2312"/>
          <w:i w:val="0"/>
          <w:iCs w:val="0"/>
          <w:caps w:val="0"/>
          <w:color w:val="000000"/>
          <w:spacing w:val="0"/>
          <w:sz w:val="32"/>
          <w:szCs w:val="32"/>
          <w:highlight w:val="none"/>
          <w:shd w:val="clear" w:color="auto" w:fill="auto"/>
        </w:rPr>
        <w:t>规范行政检查</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行为</w:t>
      </w:r>
      <w:r>
        <w:rPr>
          <w:rFonts w:hint="eastAsia" w:ascii="仿宋_GB2312" w:hAnsi="仿宋_GB2312" w:eastAsia="仿宋_GB2312" w:cs="仿宋_GB2312"/>
          <w:i w:val="0"/>
          <w:iCs w:val="0"/>
          <w:caps w:val="0"/>
          <w:color w:val="000000"/>
          <w:spacing w:val="0"/>
          <w:sz w:val="32"/>
          <w:szCs w:val="32"/>
          <w:highlight w:val="none"/>
          <w:shd w:val="clear" w:color="auto" w:fill="auto"/>
        </w:rPr>
        <w:t>，</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有效</w:t>
      </w:r>
      <w:r>
        <w:rPr>
          <w:rFonts w:hint="eastAsia" w:ascii="仿宋_GB2312" w:hAnsi="仿宋_GB2312" w:eastAsia="仿宋_GB2312" w:cs="仿宋_GB2312"/>
          <w:i w:val="0"/>
          <w:iCs w:val="0"/>
          <w:caps w:val="0"/>
          <w:color w:val="000000"/>
          <w:spacing w:val="0"/>
          <w:sz w:val="32"/>
          <w:szCs w:val="32"/>
          <w:highlight w:val="none"/>
          <w:shd w:val="clear" w:color="auto" w:fill="auto"/>
        </w:rPr>
        <w:t>预防和纠正违法检查、随意检查、多头检查、重复检查、任性检查等问题</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w:t>
      </w:r>
    </w:p>
    <w:p w14:paraId="02A11CAC">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3.2</w:t>
      </w:r>
      <w:r>
        <w:rPr>
          <w:rFonts w:hint="default"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eastAsia="zh-CN"/>
        </w:rPr>
        <w:t>严格</w:t>
      </w:r>
      <w:r>
        <w:rPr>
          <w:rFonts w:hint="eastAsia" w:ascii="仿宋_GB2312" w:hAnsi="仿宋_GB2312" w:eastAsia="仿宋_GB2312" w:cs="仿宋_GB2312"/>
          <w:i w:val="0"/>
          <w:iCs w:val="0"/>
          <w:caps w:val="0"/>
          <w:color w:val="000000"/>
          <w:spacing w:val="0"/>
          <w:sz w:val="32"/>
          <w:szCs w:val="32"/>
          <w:highlight w:val="none"/>
          <w:shd w:val="clear" w:color="auto" w:fill="auto"/>
        </w:rPr>
        <w:t>按照法定职责实施检查</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bCs w:val="0"/>
          <w:color w:val="000000"/>
          <w:sz w:val="32"/>
          <w:szCs w:val="32"/>
          <w:highlight w:val="none"/>
          <w:lang w:val="en-US" w:eastAsia="zh-CN"/>
        </w:rPr>
        <w:t>动态</w:t>
      </w:r>
      <w:r>
        <w:rPr>
          <w:rFonts w:hint="eastAsia" w:ascii="仿宋_GB2312" w:hAnsi="仿宋_GB2312" w:eastAsia="仿宋_GB2312" w:cs="仿宋_GB2312"/>
          <w:b w:val="0"/>
          <w:bCs w:val="0"/>
          <w:color w:val="000000"/>
          <w:sz w:val="32"/>
          <w:szCs w:val="32"/>
          <w:highlight w:val="none"/>
          <w:lang w:eastAsia="zh-CN"/>
        </w:rPr>
        <w:t>完善城管执法领域检查单，明确检查项、检查内容、检查方式和检查标准等。</w:t>
      </w:r>
      <w:r>
        <w:rPr>
          <w:rFonts w:hint="eastAsia" w:ascii="仿宋_GB2312" w:hAnsi="仿宋_GB2312" w:eastAsia="仿宋_GB2312" w:cs="仿宋_GB2312"/>
          <w:b w:val="0"/>
          <w:bCs w:val="0"/>
          <w:color w:val="000000"/>
          <w:sz w:val="32"/>
          <w:szCs w:val="32"/>
          <w:highlight w:val="none"/>
          <w:lang w:val="en-US" w:eastAsia="zh-CN"/>
        </w:rPr>
        <w:t>运用城市管理综合执法大数据平台移动执法终端开展“掌端”检查。</w:t>
      </w:r>
    </w:p>
    <w:p w14:paraId="699DB99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i w:val="0"/>
          <w:iCs w:val="0"/>
          <w:caps w:val="0"/>
          <w:color w:val="000000"/>
          <w:spacing w:val="0"/>
          <w:sz w:val="32"/>
          <w:szCs w:val="32"/>
          <w:highlight w:val="none"/>
          <w:shd w:val="clear" w:color="auto" w:fill="auto"/>
        </w:rPr>
      </w:pPr>
      <w:r>
        <w:rPr>
          <w:rFonts w:hint="eastAsia" w:ascii="仿宋_GB2312" w:hAnsi="仿宋_GB2312" w:eastAsia="仿宋_GB2312" w:cs="仿宋_GB2312"/>
          <w:b w:val="0"/>
          <w:bCs w:val="0"/>
          <w:color w:val="000000"/>
          <w:sz w:val="32"/>
          <w:szCs w:val="32"/>
          <w:highlight w:val="none"/>
          <w:lang w:val="en-US" w:eastAsia="zh-CN"/>
        </w:rPr>
        <w:t>3.3 严格</w:t>
      </w:r>
      <w:r>
        <w:rPr>
          <w:rFonts w:hint="eastAsia" w:ascii="仿宋_GB2312" w:hAnsi="仿宋_GB2312" w:eastAsia="仿宋_GB2312" w:cs="仿宋_GB2312"/>
          <w:i w:val="0"/>
          <w:iCs w:val="0"/>
          <w:caps w:val="0"/>
          <w:color w:val="000000"/>
          <w:spacing w:val="0"/>
          <w:sz w:val="32"/>
          <w:szCs w:val="32"/>
          <w:highlight w:val="none"/>
          <w:shd w:val="clear" w:color="auto" w:fill="auto"/>
        </w:rPr>
        <w:t>规范检查标准。法律法规规章对检查标准有具体规定的，应当列明法律法规规章名称和具体条款；只作出原则性规定的，应当依据相关行政规范性文件和国家、地方、行业等标准细化量化，不得以相关标准中的推荐性、指导性条款作为确定检查标准和判定检查结果的依据。不同检查主体对同一检查项的检查标准</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不一致时</w:t>
      </w:r>
      <w:r>
        <w:rPr>
          <w:rFonts w:hint="eastAsia" w:ascii="仿宋_GB2312" w:hAnsi="仿宋_GB2312" w:eastAsia="仿宋_GB2312" w:cs="仿宋_GB2312"/>
          <w:i w:val="0"/>
          <w:iCs w:val="0"/>
          <w:caps w:val="0"/>
          <w:color w:val="000000"/>
          <w:spacing w:val="0"/>
          <w:sz w:val="32"/>
          <w:szCs w:val="32"/>
          <w:highlight w:val="none"/>
          <w:shd w:val="clear" w:color="auto" w:fill="auto"/>
        </w:rPr>
        <w:t>，</w:t>
      </w:r>
      <w:r>
        <w:rPr>
          <w:rFonts w:hint="eastAsia" w:ascii="仿宋_GB2312" w:hAnsi="仿宋_GB2312" w:eastAsia="仿宋_GB2312" w:cs="仿宋_GB2312"/>
          <w:color w:val="000000"/>
          <w:kern w:val="2"/>
          <w:sz w:val="32"/>
          <w:szCs w:val="32"/>
          <w:highlight w:val="none"/>
          <w:lang w:val="en-US" w:eastAsia="zh-CN" w:bidi="ar"/>
        </w:rPr>
        <w:t>要加强会商研究，推动跨部门、跨层级“同标同查”；</w:t>
      </w:r>
      <w:r>
        <w:rPr>
          <w:rFonts w:hint="eastAsia" w:ascii="仿宋_GB2312" w:hAnsi="仿宋_GB2312" w:eastAsia="仿宋_GB2312" w:cs="仿宋_GB2312"/>
          <w:i w:val="0"/>
          <w:iCs w:val="0"/>
          <w:caps w:val="0"/>
          <w:color w:val="000000"/>
          <w:spacing w:val="0"/>
          <w:sz w:val="32"/>
          <w:szCs w:val="32"/>
          <w:highlight w:val="none"/>
          <w:shd w:val="clear" w:color="auto" w:fill="auto"/>
        </w:rPr>
        <w:t>在未明确意见前，不得以存在冲突的检查标准作为判定检查结果的依据。</w:t>
      </w:r>
    </w:p>
    <w:p w14:paraId="3F4AF09C">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b w:val="0"/>
          <w:bCs w:val="0"/>
          <w:color w:val="000000"/>
          <w:sz w:val="32"/>
          <w:szCs w:val="32"/>
          <w:highlight w:val="none"/>
          <w:lang w:val="en-US" w:eastAsia="zh-CN"/>
        </w:rPr>
        <w:t xml:space="preserve">3.4 </w:t>
      </w:r>
      <w:r>
        <w:rPr>
          <w:rFonts w:hint="eastAsia" w:ascii="仿宋_GB2312" w:hAnsi="仿宋_GB2312" w:eastAsia="仿宋_GB2312" w:cs="仿宋_GB2312"/>
          <w:color w:val="000000"/>
          <w:kern w:val="2"/>
          <w:sz w:val="32"/>
          <w:szCs w:val="32"/>
          <w:highlight w:val="none"/>
          <w:lang w:val="en-US" w:eastAsia="zh-CN" w:bidi="ar"/>
        </w:rPr>
        <w:t>科学制定年度检查计划，从源头压减重复或不必要的行政检查。严格限制年度入企检查总量，严控对同一企业实施现场检查的年度频次上限，严控计划外专项检查，严格计划外临时检查。</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实施入企勘验、复查、核查或者办理投诉举报、转办交办线索等实施的行政检查，不受总量和频次上限限制，但明显超过合理数量或者频次的，应当及时跟踪监督。</w:t>
      </w:r>
    </w:p>
    <w:p w14:paraId="56ACCE2A">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i w:val="0"/>
          <w:iCs w:val="0"/>
          <w:caps w:val="0"/>
          <w:color w:val="000000"/>
          <w:spacing w:val="0"/>
          <w:sz w:val="32"/>
          <w:szCs w:val="32"/>
          <w:highlight w:val="none"/>
          <w:shd w:val="clear" w:color="auto" w:fill="auto"/>
          <w:lang w:bidi="ar"/>
        </w:rPr>
      </w:pPr>
      <w:r>
        <w:rPr>
          <w:rFonts w:hint="eastAsia" w:ascii="仿宋_GB2312" w:hAnsi="仿宋_GB2312" w:eastAsia="仿宋_GB2312" w:cs="仿宋_GB2312"/>
          <w:b w:val="0"/>
          <w:bCs w:val="0"/>
          <w:color w:val="000000"/>
          <w:sz w:val="32"/>
          <w:szCs w:val="32"/>
          <w:highlight w:val="none"/>
          <w:lang w:val="en-US" w:eastAsia="zh-CN"/>
        </w:rPr>
        <w:t xml:space="preserve">3.5 </w:t>
      </w:r>
      <w:r>
        <w:rPr>
          <w:rFonts w:hint="eastAsia" w:ascii="仿宋_GB2312" w:hAnsi="仿宋_GB2312" w:eastAsia="仿宋_GB2312" w:cs="仿宋_GB2312"/>
          <w:color w:val="000000"/>
          <w:kern w:val="2"/>
          <w:sz w:val="32"/>
          <w:szCs w:val="32"/>
          <w:highlight w:val="none"/>
          <w:lang w:val="en-US" w:eastAsia="zh-CN" w:bidi="ar"/>
        </w:rPr>
        <w:t>严格规范涉企检查。</w:t>
      </w:r>
      <w:r>
        <w:rPr>
          <w:rFonts w:hint="eastAsia" w:ascii="仿宋_GB2312" w:hAnsi="仿宋_GB2312" w:eastAsia="仿宋_GB2312" w:cs="仿宋_GB2312"/>
          <w:b w:val="0"/>
          <w:bCs w:val="0"/>
          <w:color w:val="000000"/>
          <w:sz w:val="32"/>
          <w:szCs w:val="32"/>
          <w:highlight w:val="none"/>
          <w:lang w:val="en-US" w:eastAsia="zh-CN" w:bidi="ar"/>
        </w:rPr>
        <w:t>严格落实“扫码检查”要求。</w:t>
      </w:r>
      <w:r>
        <w:rPr>
          <w:rFonts w:hint="eastAsia" w:ascii="仿宋_GB2312" w:hAnsi="仿宋_GB2312" w:eastAsia="仿宋_GB2312" w:cs="仿宋_GB2312"/>
          <w:b w:val="0"/>
          <w:bCs w:val="0"/>
          <w:color w:val="000000"/>
          <w:sz w:val="32"/>
          <w:szCs w:val="32"/>
          <w:highlight w:val="none"/>
          <w:u w:val="none"/>
          <w:lang w:val="en-US" w:eastAsia="zh-CN"/>
        </w:rPr>
        <w:t>严格落实“无事不扰”企业清单制度，</w:t>
      </w:r>
      <w:r>
        <w:rPr>
          <w:rFonts w:hint="eastAsia" w:ascii="仿宋_GB2312" w:hAnsi="仿宋_GB2312" w:eastAsia="仿宋_GB2312" w:cs="仿宋_GB2312"/>
          <w:color w:val="000000"/>
          <w:kern w:val="2"/>
          <w:sz w:val="32"/>
          <w:szCs w:val="32"/>
          <w:highlight w:val="none"/>
          <w:lang w:val="en-US" w:eastAsia="zh-CN" w:bidi="ar"/>
        </w:rPr>
        <w:t>对“无事不扰”企业</w:t>
      </w:r>
      <w:r>
        <w:rPr>
          <w:rFonts w:hint="eastAsia" w:ascii="仿宋_GB2312" w:hAnsi="仿宋_GB2312" w:eastAsia="仿宋_GB2312" w:cs="仿宋_GB2312"/>
          <w:b w:val="0"/>
          <w:bCs w:val="0"/>
          <w:color w:val="000000"/>
          <w:sz w:val="32"/>
          <w:szCs w:val="32"/>
          <w:highlight w:val="none"/>
          <w:u w:val="none"/>
          <w:lang w:val="en-US" w:eastAsia="zh-CN"/>
        </w:rPr>
        <w:t>除专项检查、办理投诉举报和转办交办线索及法律法规另有规定外，原则上不主动实施入企检查。</w:t>
      </w:r>
      <w:r>
        <w:rPr>
          <w:rFonts w:hint="eastAsia" w:ascii="仿宋_GB2312" w:hAnsi="仿宋_GB2312" w:eastAsia="仿宋_GB2312" w:cs="仿宋_GB2312"/>
          <w:color w:val="000000"/>
          <w:kern w:val="2"/>
          <w:sz w:val="32"/>
          <w:szCs w:val="32"/>
          <w:highlight w:val="none"/>
          <w:lang w:val="en-US" w:eastAsia="zh-CN" w:bidi="ar"/>
        </w:rPr>
        <w:t>深入推进</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非现场监管，最大限度减少入企检查。</w:t>
      </w:r>
      <w:r>
        <w:rPr>
          <w:rFonts w:hint="eastAsia" w:ascii="仿宋_GB2312" w:hAnsi="仿宋_GB2312" w:eastAsia="仿宋_GB2312" w:cs="仿宋_GB2312"/>
          <w:color w:val="000000"/>
          <w:kern w:val="2"/>
          <w:sz w:val="32"/>
          <w:szCs w:val="32"/>
          <w:highlight w:val="none"/>
          <w:lang w:val="en-US" w:eastAsia="zh-CN" w:bidi="ar"/>
        </w:rPr>
        <w:t xml:space="preserve">建立完善城市管理综合执法大数据平台监测预警功能，对异常数据及时预警调度。 </w:t>
      </w:r>
    </w:p>
    <w:p w14:paraId="2B6E3DC0">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b w:val="0"/>
          <w:bCs w:val="0"/>
          <w:color w:val="000000"/>
          <w:sz w:val="32"/>
          <w:szCs w:val="32"/>
          <w:highlight w:val="none"/>
          <w:lang w:val="en-US" w:eastAsia="zh-CN"/>
        </w:rPr>
        <w:t xml:space="preserve">3.6 </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严控重复检查和多头检查。</w:t>
      </w:r>
      <w:r>
        <w:rPr>
          <w:rFonts w:hint="eastAsia" w:ascii="仿宋_GB2312" w:hAnsi="仿宋_GB2312" w:eastAsia="仿宋_GB2312" w:cs="仿宋_GB2312"/>
          <w:color w:val="000000"/>
          <w:kern w:val="2"/>
          <w:sz w:val="32"/>
          <w:szCs w:val="32"/>
          <w:highlight w:val="none"/>
          <w:lang w:val="en-US" w:eastAsia="zh-CN" w:bidi="ar"/>
        </w:rPr>
        <w:t>按照“能协同尽协同”原则，强化对同一类经营主体的跨部门联合检查，减少重复打扰。</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同一检查主体的多个内设机构针对同类检查对象开展入企检查，原则上合并实施。</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bidi="ar"/>
        </w:rPr>
        <w:t>落实</w:t>
      </w:r>
      <w:r>
        <w:rPr>
          <w:rFonts w:hint="eastAsia" w:ascii="仿宋_GB2312" w:hAnsi="仿宋_GB2312" w:eastAsia="仿宋_GB2312" w:cs="仿宋_GB2312"/>
          <w:color w:val="000000"/>
          <w:kern w:val="2"/>
          <w:sz w:val="32"/>
          <w:szCs w:val="32"/>
          <w:highlight w:val="none"/>
          <w:lang w:val="en-US" w:eastAsia="zh-CN" w:bidi="ar"/>
        </w:rPr>
        <w:t>“一次入企、一表通查”要求，大力推进“综合查一次”，确保“进一次门、查多项事”。</w:t>
      </w:r>
    </w:p>
    <w:p w14:paraId="26409EFC">
      <w:pPr>
        <w:keepNext w:val="0"/>
        <w:keepLines w:val="0"/>
        <w:pageBreakBefore w:val="0"/>
        <w:tabs>
          <w:tab w:val="left" w:pos="320"/>
        </w:tabs>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val="0"/>
          <w:bCs w:val="0"/>
          <w:color w:val="000000"/>
          <w:sz w:val="32"/>
          <w:szCs w:val="32"/>
          <w:highlight w:val="none"/>
          <w:u w:val="none"/>
          <w:lang w:val="en-US" w:eastAsia="zh-CN"/>
        </w:rPr>
        <w:t>3.7 持续深入推行分类分级监管。按照不同领域、不同业态发生违法行为后可能造成的危害后果等情况，对执法事项进行风险评估和分类；按照执法对象是否遵法守法、是否受到行政处罚、行政强制情况，以及行业主管部门的“风险+信用”评价情况等，对执法对象进行分级，依法实施精细化检查措施。</w:t>
      </w:r>
    </w:p>
    <w:p w14:paraId="0EA71555">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p>
    <w:p w14:paraId="70F010FB">
      <w:pPr>
        <w:keepNext w:val="0"/>
        <w:keepLines w:val="0"/>
        <w:pageBreakBefore w:val="0"/>
        <w:tabs>
          <w:tab w:val="left" w:pos="2431"/>
        </w:tabs>
        <w:kinsoku/>
        <w:overflowPunct/>
        <w:topLinePunct w:val="0"/>
        <w:autoSpaceDE/>
        <w:autoSpaceDN/>
        <w:bidi w:val="0"/>
        <w:adjustRightInd/>
        <w:spacing w:line="560" w:lineRule="exact"/>
        <w:rPr>
          <w:rFonts w:hint="default" w:ascii="仿宋_GB2312" w:hAnsi="等线" w:eastAsia="仿宋_GB2312" w:cs="Times New Roman"/>
          <w:b w:val="0"/>
          <w:bCs w:val="0"/>
          <w:strike w:val="0"/>
          <w:dstrike w:val="0"/>
          <w:color w:val="000000"/>
          <w:kern w:val="2"/>
          <w:sz w:val="32"/>
          <w:szCs w:val="32"/>
          <w:highlight w:val="none"/>
          <w:lang w:val="en-US" w:eastAsia="zh-CN" w:bidi="ar-SA"/>
        </w:rPr>
      </w:pPr>
    </w:p>
    <w:p w14:paraId="40A8E0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ascii="黑体" w:hAnsi="黑体" w:eastAsia="黑体" w:cs="Times New Roman"/>
          <w:b w:val="0"/>
          <w:bCs w:val="0"/>
          <w:color w:val="000000"/>
          <w:sz w:val="36"/>
          <w:szCs w:val="36"/>
          <w:highlight w:val="none"/>
        </w:rPr>
      </w:pPr>
      <w:r>
        <w:rPr>
          <w:rFonts w:hint="eastAsia" w:ascii="黑体" w:hAnsi="黑体" w:eastAsia="黑体" w:cs="Times New Roman"/>
          <w:b w:val="0"/>
          <w:bCs w:val="0"/>
          <w:color w:val="000000"/>
          <w:sz w:val="36"/>
          <w:szCs w:val="36"/>
          <w:highlight w:val="none"/>
          <w:lang w:val="en-US" w:eastAsia="zh-CN"/>
        </w:rPr>
        <w:t xml:space="preserve">4 </w:t>
      </w:r>
      <w:r>
        <w:rPr>
          <w:rFonts w:hint="eastAsia" w:ascii="黑体" w:hAnsi="黑体" w:eastAsia="黑体" w:cs="Times New Roman"/>
          <w:b w:val="0"/>
          <w:bCs w:val="0"/>
          <w:color w:val="000000"/>
          <w:sz w:val="36"/>
          <w:szCs w:val="36"/>
          <w:highlight w:val="none"/>
        </w:rPr>
        <w:t>实施</w:t>
      </w:r>
      <w:r>
        <w:rPr>
          <w:rFonts w:hint="eastAsia" w:ascii="黑体" w:hAnsi="黑体" w:eastAsia="黑体" w:cs="Times New Roman"/>
          <w:b w:val="0"/>
          <w:bCs w:val="0"/>
          <w:color w:val="000000"/>
          <w:sz w:val="36"/>
          <w:szCs w:val="36"/>
          <w:highlight w:val="none"/>
          <w:lang w:eastAsia="zh-CN"/>
        </w:rPr>
        <w:t>行政强制</w:t>
      </w:r>
      <w:r>
        <w:rPr>
          <w:rFonts w:hint="eastAsia" w:ascii="黑体" w:hAnsi="黑体" w:eastAsia="黑体" w:cs="Times New Roman"/>
          <w:b w:val="0"/>
          <w:bCs w:val="0"/>
          <w:color w:val="000000"/>
          <w:sz w:val="36"/>
          <w:szCs w:val="36"/>
          <w:highlight w:val="none"/>
        </w:rPr>
        <w:t>裁量的基本规则</w:t>
      </w:r>
    </w:p>
    <w:p w14:paraId="4141D5BC">
      <w:pPr>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4.1 严格依法行使查封、扣押等行政强制措施，以及强制拆除、代履行等行政强制执行。相关法律法规未赋予行政强制措施和行政强制执行的，不得实施。</w:t>
      </w:r>
    </w:p>
    <w:p w14:paraId="70389E5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4.2 行政强制应当由本单位具备行政执法资格并取得行政执法证件的执法人员在法定职权范围内依法实施，不得委托。</w:t>
      </w:r>
    </w:p>
    <w:p w14:paraId="3B5F73C6">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4.3 坚持教育与强制相结合，鼓励运用说服教育、劝导示范、行政指导等非强制性手段，通过非强制性手段可以达到行政管理目的的，不得实施行政强制。</w:t>
      </w:r>
    </w:p>
    <w:p w14:paraId="15FBE373">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4.4 实施行政强制措施，应当符合《中华人民共和国行政强制法》规定的制止违法行为、防止证据损毁、避免危害发生、控制危险扩大等适用条件。违法行为情节显著轻微或者没有明显社会危害的，可以不采取行政强制措施。</w:t>
      </w:r>
    </w:p>
    <w:p w14:paraId="67D0D55D">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实施行政强制执行，应当符合《中华人民共和国行政强制法》规定的适用条件、程序、范围等。</w:t>
      </w:r>
    </w:p>
    <w:p w14:paraId="0925A1CF">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4.5</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实施查封、扣押等行政强制措施，应当限于涉案的场所、设施或者财物，不得查封、扣押与违法行为无关的场所、设施或者财物，不得查封、扣押公民个人及其所扶养家属的生活必需品。</w:t>
      </w:r>
    </w:p>
    <w:p w14:paraId="3B4A4E33">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当事人的场所、设施或者财物已被其他国家机关依法查封的，不得重复查封。</w:t>
      </w:r>
    </w:p>
    <w:p w14:paraId="274377DF">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4.6</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实施行政强制执行，应当保障行政相对人的基本生活。除情况紧急外，不得在夜间或者法定节假日实施行政强制执行；不得对居民生活采取停止供水、供电、供热、供燃气等方式迫使当事人履行相关行政决定。</w:t>
      </w:r>
    </w:p>
    <w:p w14:paraId="6AC131ED">
      <w:pPr>
        <w:keepNext w:val="0"/>
        <w:keepLines w:val="0"/>
        <w:pageBreakBefore w:val="0"/>
        <w:widowControl/>
        <w:suppressLineNumbers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4.7</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严格遵循程序法定原则，实施行政强制措施和行政强制执行，依法遵守《中华人民共和国行政强制法》和相关法律法规规定。</w:t>
      </w:r>
    </w:p>
    <w:p w14:paraId="64089201">
      <w:pPr>
        <w:keepNext w:val="0"/>
        <w:keepLines w:val="0"/>
        <w:pageBreakBefore w:val="0"/>
        <w:widowControl/>
        <w:suppressLineNumbers w:val="0"/>
        <w:kinsoku/>
        <w:overflowPunct/>
        <w:topLinePunct w:val="0"/>
        <w:autoSpaceDE/>
        <w:autoSpaceDN/>
        <w:bidi w:val="0"/>
        <w:adjustRightInd/>
        <w:snapToGrid/>
        <w:spacing w:line="560" w:lineRule="exact"/>
        <w:jc w:val="both"/>
        <w:textAlignment w:val="auto"/>
        <w:rPr>
          <w:rFonts w:hint="default" w:ascii="仿宋_GB2312" w:hAnsi="等线" w:eastAsia="仿宋_GB2312" w:cs="Times New Roman"/>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4.8</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查封、扣押的期限不得超过三十日；情况复杂的，经行政机关负责人批准，可以延长，但是延长期限不得超过三十日；法律、行政法规另有规定的除外。延长查封、扣押的决定应当及时书面告知当事人，并说明理由。对物品需要进行检测、检验、检疫或者技术鉴定的，查封、扣押的期间不包括检测、检验、检疫或者技术鉴定的期间。检测、检验、检疫或者技术鉴定的期间应当明确，并书面告知当事人。</w:t>
      </w:r>
    </w:p>
    <w:p w14:paraId="4866F25D">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黑体" w:hAnsi="黑体" w:eastAsia="黑体" w:cs="Times New Roman"/>
          <w:b w:val="0"/>
          <w:bCs w:val="0"/>
          <w:color w:val="000000"/>
          <w:kern w:val="2"/>
          <w:sz w:val="36"/>
          <w:szCs w:val="36"/>
          <w:highlight w:val="none"/>
          <w:lang w:val="en-US" w:eastAsia="zh-CN" w:bidi="ar-SA"/>
        </w:rPr>
      </w:pPr>
    </w:p>
    <w:p w14:paraId="00522382">
      <w:pPr>
        <w:keepNext w:val="0"/>
        <w:keepLines w:val="0"/>
        <w:pageBreakBefore w:val="0"/>
        <w:widowControl w:val="0"/>
        <w:kinsoku/>
        <w:overflowPunct/>
        <w:topLinePunct w:val="0"/>
        <w:autoSpaceDE/>
        <w:autoSpaceDN/>
        <w:bidi w:val="0"/>
        <w:adjustRightInd/>
        <w:snapToGrid/>
        <w:spacing w:before="0" w:after="0" w:line="560" w:lineRule="exact"/>
        <w:jc w:val="center"/>
        <w:textAlignment w:val="auto"/>
        <w:rPr>
          <w:rFonts w:hint="eastAsia" w:ascii="黑体" w:hAnsi="黑体" w:eastAsia="黑体" w:cs="Times New Roman"/>
          <w:b w:val="0"/>
          <w:bCs w:val="0"/>
          <w:color w:val="000000"/>
          <w:kern w:val="2"/>
          <w:sz w:val="36"/>
          <w:szCs w:val="36"/>
          <w:highlight w:val="none"/>
          <w:lang w:val="en-US" w:eastAsia="zh-CN" w:bidi="ar-SA"/>
        </w:rPr>
      </w:pPr>
      <w:r>
        <w:rPr>
          <w:rFonts w:hint="eastAsia" w:ascii="黑体" w:hAnsi="黑体" w:eastAsia="黑体" w:cs="Times New Roman"/>
          <w:b w:val="0"/>
          <w:bCs w:val="0"/>
          <w:color w:val="000000"/>
          <w:kern w:val="2"/>
          <w:sz w:val="36"/>
          <w:szCs w:val="36"/>
          <w:highlight w:val="none"/>
          <w:lang w:val="en-US" w:eastAsia="zh-CN" w:bidi="ar-SA"/>
        </w:rPr>
        <w:t>5 行政裁量权基准的公示、告知</w:t>
      </w:r>
    </w:p>
    <w:p w14:paraId="011D717A">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各实施部门</w:t>
      </w:r>
      <w:r>
        <w:rPr>
          <w:rFonts w:hint="eastAsia" w:ascii="仿宋_GB2312" w:hAnsi="仿宋_GB2312" w:eastAsia="仿宋_GB2312" w:cs="仿宋_GB2312"/>
          <w:b w:val="0"/>
          <w:bCs w:val="0"/>
          <w:color w:val="000000"/>
          <w:sz w:val="32"/>
          <w:szCs w:val="32"/>
          <w:highlight w:val="none"/>
        </w:rPr>
        <w:t>应当在</w:t>
      </w:r>
      <w:r>
        <w:rPr>
          <w:rFonts w:hint="eastAsia" w:ascii="仿宋_GB2312" w:hAnsi="仿宋_GB2312" w:eastAsia="仿宋_GB2312" w:cs="仿宋_GB2312"/>
          <w:b w:val="0"/>
          <w:bCs w:val="0"/>
          <w:color w:val="000000"/>
          <w:sz w:val="32"/>
          <w:szCs w:val="32"/>
          <w:highlight w:val="none"/>
          <w:lang w:eastAsia="zh-CN"/>
        </w:rPr>
        <w:t>单位门户网站做好行政裁量权基准</w:t>
      </w:r>
      <w:r>
        <w:rPr>
          <w:rFonts w:hint="eastAsia" w:ascii="仿宋_GB2312" w:hAnsi="仿宋_GB2312" w:eastAsia="仿宋_GB2312" w:cs="仿宋_GB2312"/>
          <w:b w:val="0"/>
          <w:bCs w:val="0"/>
          <w:color w:val="000000"/>
          <w:sz w:val="32"/>
          <w:szCs w:val="32"/>
          <w:highlight w:val="none"/>
        </w:rPr>
        <w:t>的公示。</w:t>
      </w:r>
    </w:p>
    <w:p w14:paraId="429FA2F8">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涉及</w:t>
      </w:r>
      <w:r>
        <w:rPr>
          <w:rFonts w:hint="eastAsia" w:ascii="仿宋_GB2312" w:hAnsi="仿宋_GB2312" w:eastAsia="仿宋_GB2312" w:cs="仿宋_GB2312"/>
          <w:b w:val="0"/>
          <w:bCs w:val="0"/>
          <w:color w:val="000000"/>
          <w:sz w:val="32"/>
          <w:szCs w:val="32"/>
          <w:highlight w:val="none"/>
          <w:lang w:eastAsia="zh-CN"/>
        </w:rPr>
        <w:t>行政</w:t>
      </w:r>
      <w:r>
        <w:rPr>
          <w:rFonts w:hint="eastAsia" w:ascii="仿宋_GB2312" w:hAnsi="仿宋_GB2312" w:eastAsia="仿宋_GB2312" w:cs="仿宋_GB2312"/>
          <w:b w:val="0"/>
          <w:bCs w:val="0"/>
          <w:color w:val="000000"/>
          <w:sz w:val="32"/>
          <w:szCs w:val="32"/>
          <w:highlight w:val="none"/>
        </w:rPr>
        <w:t>裁量的案件情节和当事人陈述申辩意见</w:t>
      </w:r>
      <w:r>
        <w:rPr>
          <w:rFonts w:hint="eastAsia" w:ascii="仿宋_GB2312" w:hAnsi="仿宋_GB2312" w:eastAsia="仿宋_GB2312" w:cs="仿宋_GB2312"/>
          <w:b w:val="0"/>
          <w:bCs w:val="0"/>
          <w:color w:val="000000"/>
          <w:sz w:val="32"/>
          <w:szCs w:val="32"/>
          <w:highlight w:val="none"/>
          <w:lang w:eastAsia="zh-CN"/>
        </w:rPr>
        <w:t>及采纳情况</w:t>
      </w:r>
      <w:r>
        <w:rPr>
          <w:rFonts w:hint="eastAsia" w:ascii="仿宋_GB2312" w:hAnsi="仿宋_GB2312" w:eastAsia="仿宋_GB2312" w:cs="仿宋_GB2312"/>
          <w:b w:val="0"/>
          <w:bCs w:val="0"/>
          <w:color w:val="000000"/>
          <w:sz w:val="32"/>
          <w:szCs w:val="32"/>
          <w:highlight w:val="none"/>
        </w:rPr>
        <w:t>，应当在执法案卷材料中详细记录和说明。</w:t>
      </w:r>
      <w:r>
        <w:rPr>
          <w:rFonts w:hint="eastAsia" w:ascii="仿宋_GB2312" w:hAnsi="仿宋_GB2312" w:eastAsia="仿宋_GB2312" w:cs="仿宋_GB2312"/>
          <w:b w:val="0"/>
          <w:bCs w:val="0"/>
          <w:color w:val="000000"/>
          <w:sz w:val="32"/>
          <w:szCs w:val="32"/>
          <w:highlight w:val="none"/>
          <w:lang w:val="en-US" w:eastAsia="zh-CN"/>
        </w:rPr>
        <w:t>行政执法决定书中应当对行政裁量权基准的适用情况予以明确。</w:t>
      </w:r>
    </w:p>
    <w:p w14:paraId="484471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Times New Roman"/>
          <w:b w:val="0"/>
          <w:bCs w:val="0"/>
          <w:color w:val="000000"/>
          <w:sz w:val="36"/>
          <w:szCs w:val="36"/>
          <w:highlight w:val="none"/>
          <w:lang w:val="en-US" w:eastAsia="zh-CN"/>
        </w:rPr>
      </w:pPr>
    </w:p>
    <w:p w14:paraId="0E0C31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Times New Roman"/>
          <w:b w:val="0"/>
          <w:bCs w:val="0"/>
          <w:color w:val="000000"/>
          <w:sz w:val="36"/>
          <w:szCs w:val="36"/>
          <w:highlight w:val="none"/>
          <w:lang w:val="en-US" w:eastAsia="zh-CN"/>
        </w:rPr>
      </w:pPr>
      <w:r>
        <w:rPr>
          <w:rFonts w:hint="eastAsia" w:ascii="黑体" w:hAnsi="黑体" w:eastAsia="黑体" w:cs="Times New Roman"/>
          <w:b w:val="0"/>
          <w:bCs w:val="0"/>
          <w:color w:val="000000"/>
          <w:sz w:val="36"/>
          <w:szCs w:val="36"/>
          <w:highlight w:val="none"/>
          <w:lang w:val="en-US" w:eastAsia="zh-CN"/>
        </w:rPr>
        <w:t>6 实施行政裁量权基准的监督</w:t>
      </w:r>
    </w:p>
    <w:p w14:paraId="5FE0258F">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等线" w:eastAsia="仿宋_GB2312" w:cs="Times New Roman"/>
          <w:b w:val="0"/>
          <w:bCs w:val="0"/>
          <w:color w:val="000000"/>
          <w:kern w:val="2"/>
          <w:sz w:val="32"/>
          <w:szCs w:val="32"/>
          <w:highlight w:val="none"/>
          <w:lang w:val="en-US" w:eastAsia="zh-CN" w:bidi="ar-SA"/>
        </w:rPr>
        <w:t>各实施部门</w:t>
      </w:r>
      <w:r>
        <w:rPr>
          <w:rFonts w:hint="eastAsia" w:ascii="仿宋_GB2312" w:hAnsi="等线" w:eastAsia="仿宋_GB2312" w:cs="Times New Roman"/>
          <w:b w:val="0"/>
          <w:bCs w:val="0"/>
          <w:color w:val="000000"/>
          <w:sz w:val="32"/>
          <w:szCs w:val="32"/>
          <w:highlight w:val="none"/>
        </w:rPr>
        <w:t>应当通过</w:t>
      </w:r>
      <w:r>
        <w:rPr>
          <w:rFonts w:hint="eastAsia" w:ascii="仿宋_GB2312" w:hAnsi="等线" w:eastAsia="仿宋_GB2312" w:cs="Times New Roman"/>
          <w:b w:val="0"/>
          <w:bCs w:val="0"/>
          <w:color w:val="000000"/>
          <w:sz w:val="32"/>
          <w:szCs w:val="32"/>
          <w:highlight w:val="none"/>
          <w:lang w:val="en-US" w:eastAsia="zh-CN"/>
        </w:rPr>
        <w:t>行政执法情况检查、行政执法评议、行政执法案卷评查、</w:t>
      </w:r>
      <w:r>
        <w:rPr>
          <w:rFonts w:hint="eastAsia" w:ascii="仿宋_GB2312" w:hAnsi="等线" w:eastAsia="仿宋_GB2312" w:cs="Times New Roman"/>
          <w:b w:val="0"/>
          <w:bCs w:val="0"/>
          <w:color w:val="000000"/>
          <w:sz w:val="32"/>
          <w:szCs w:val="32"/>
          <w:highlight w:val="none"/>
        </w:rPr>
        <w:t>信访复议案件审核、</w:t>
      </w:r>
      <w:r>
        <w:rPr>
          <w:rFonts w:hint="eastAsia" w:ascii="仿宋_GB2312" w:hAnsi="等线" w:eastAsia="仿宋_GB2312" w:cs="Times New Roman"/>
          <w:b w:val="0"/>
          <w:bCs w:val="0"/>
          <w:color w:val="000000"/>
          <w:kern w:val="2"/>
          <w:sz w:val="32"/>
          <w:szCs w:val="32"/>
          <w:highlight w:val="none"/>
          <w:lang w:val="en-US" w:eastAsia="zh-CN" w:bidi="ar-SA"/>
        </w:rPr>
        <w:t>12345热线举报</w:t>
      </w:r>
      <w:r>
        <w:rPr>
          <w:rFonts w:hint="eastAsia" w:ascii="仿宋_GB2312" w:hAnsi="等线" w:eastAsia="仿宋_GB2312" w:cs="Times New Roman"/>
          <w:b w:val="0"/>
          <w:bCs w:val="0"/>
          <w:color w:val="000000"/>
          <w:sz w:val="32"/>
          <w:szCs w:val="32"/>
          <w:highlight w:val="none"/>
        </w:rPr>
        <w:t>、舆情监测、执法风纪监督等途径，对</w:t>
      </w:r>
      <w:r>
        <w:rPr>
          <w:rFonts w:hint="eastAsia" w:ascii="仿宋_GB2312" w:hAnsi="等线" w:eastAsia="仿宋_GB2312" w:cs="Times New Roman"/>
          <w:b w:val="0"/>
          <w:bCs w:val="0"/>
          <w:color w:val="000000"/>
          <w:sz w:val="32"/>
          <w:szCs w:val="32"/>
          <w:highlight w:val="none"/>
          <w:lang w:eastAsia="zh-CN"/>
        </w:rPr>
        <w:t>行政</w:t>
      </w:r>
      <w:r>
        <w:rPr>
          <w:rFonts w:hint="eastAsia" w:ascii="仿宋_GB2312" w:hAnsi="等线" w:eastAsia="仿宋_GB2312" w:cs="Times New Roman"/>
          <w:b w:val="0"/>
          <w:bCs w:val="0"/>
          <w:color w:val="000000"/>
          <w:sz w:val="32"/>
          <w:szCs w:val="32"/>
          <w:highlight w:val="none"/>
        </w:rPr>
        <w:t>裁量权实施情况进行检查和抽查。对违反</w:t>
      </w:r>
      <w:r>
        <w:rPr>
          <w:rFonts w:hint="eastAsia" w:ascii="仿宋_GB2312" w:hAnsi="等线" w:eastAsia="仿宋_GB2312" w:cs="Times New Roman"/>
          <w:b w:val="0"/>
          <w:bCs w:val="0"/>
          <w:color w:val="000000"/>
          <w:sz w:val="32"/>
          <w:szCs w:val="32"/>
          <w:highlight w:val="none"/>
          <w:lang w:eastAsia="zh-CN"/>
        </w:rPr>
        <w:t>行政</w:t>
      </w:r>
      <w:r>
        <w:rPr>
          <w:rFonts w:hint="eastAsia" w:ascii="仿宋_GB2312" w:hAnsi="等线" w:eastAsia="仿宋_GB2312" w:cs="Times New Roman"/>
          <w:b w:val="0"/>
          <w:bCs w:val="0"/>
          <w:color w:val="000000"/>
          <w:sz w:val="32"/>
          <w:szCs w:val="32"/>
          <w:highlight w:val="none"/>
        </w:rPr>
        <w:t>裁量权规定，造成严重后果的责任人，</w:t>
      </w:r>
      <w:r>
        <w:rPr>
          <w:rFonts w:hint="eastAsia" w:ascii="仿宋_GB2312" w:hAnsi="等线" w:eastAsia="仿宋_GB2312" w:cs="Times New Roman"/>
          <w:b w:val="0"/>
          <w:bCs w:val="0"/>
          <w:color w:val="000000"/>
          <w:sz w:val="32"/>
          <w:szCs w:val="32"/>
          <w:highlight w:val="none"/>
          <w:lang w:eastAsia="zh-CN"/>
        </w:rPr>
        <w:t>依法</w:t>
      </w:r>
      <w:r>
        <w:rPr>
          <w:rFonts w:hint="eastAsia" w:ascii="仿宋_GB2312" w:hAnsi="等线" w:eastAsia="仿宋_GB2312" w:cs="Times New Roman"/>
          <w:b w:val="0"/>
          <w:bCs w:val="0"/>
          <w:color w:val="000000"/>
          <w:sz w:val="32"/>
          <w:szCs w:val="32"/>
          <w:highlight w:val="none"/>
        </w:rPr>
        <w:t>追究</w:t>
      </w:r>
      <w:r>
        <w:rPr>
          <w:rFonts w:hint="eastAsia" w:ascii="仿宋_GB2312" w:hAnsi="等线" w:eastAsia="仿宋_GB2312" w:cs="Times New Roman"/>
          <w:b w:val="0"/>
          <w:bCs w:val="0"/>
          <w:color w:val="000000"/>
          <w:sz w:val="32"/>
          <w:szCs w:val="32"/>
          <w:highlight w:val="none"/>
          <w:lang w:eastAsia="zh-CN"/>
        </w:rPr>
        <w:t>相关</w:t>
      </w:r>
      <w:r>
        <w:rPr>
          <w:rFonts w:hint="eastAsia" w:ascii="仿宋_GB2312" w:hAnsi="等线" w:eastAsia="仿宋_GB2312" w:cs="Times New Roman"/>
          <w:b w:val="0"/>
          <w:bCs w:val="0"/>
          <w:color w:val="000000"/>
          <w:sz w:val="32"/>
          <w:szCs w:val="32"/>
          <w:highlight w:val="none"/>
        </w:rPr>
        <w:t>行政执法责任。</w:t>
      </w:r>
    </w:p>
    <w:p w14:paraId="71B06C59">
      <w:pPr>
        <w:keepNext w:val="0"/>
        <w:keepLines w:val="0"/>
        <w:pageBreakBefore w:val="0"/>
        <w:kinsoku/>
        <w:overflowPunct/>
        <w:topLinePunct w:val="0"/>
        <w:autoSpaceDE/>
        <w:autoSpaceDN/>
        <w:bidi w:val="0"/>
        <w:adjustRightInd/>
        <w:snapToGrid/>
        <w:spacing w:line="560" w:lineRule="exact"/>
        <w:jc w:val="center"/>
        <w:rPr>
          <w:rFonts w:hint="eastAsia" w:ascii="黑体" w:hAnsi="黑体" w:eastAsia="黑体" w:cs="Times New Roman"/>
          <w:b w:val="0"/>
          <w:bCs w:val="0"/>
          <w:color w:val="000000"/>
          <w:sz w:val="32"/>
          <w:szCs w:val="32"/>
          <w:highlight w:val="none"/>
        </w:rPr>
      </w:pPr>
    </w:p>
    <w:p w14:paraId="67EAE5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Times New Roman"/>
          <w:b w:val="0"/>
          <w:bCs w:val="0"/>
          <w:color w:val="000000"/>
          <w:sz w:val="36"/>
          <w:szCs w:val="36"/>
          <w:highlight w:val="none"/>
          <w:lang w:val="en-US" w:eastAsia="zh-CN"/>
        </w:rPr>
      </w:pPr>
      <w:r>
        <w:rPr>
          <w:rFonts w:hint="eastAsia" w:ascii="黑体" w:hAnsi="黑体" w:eastAsia="黑体" w:cs="Times New Roman"/>
          <w:b w:val="0"/>
          <w:bCs w:val="0"/>
          <w:color w:val="000000"/>
          <w:sz w:val="36"/>
          <w:szCs w:val="36"/>
          <w:highlight w:val="none"/>
          <w:lang w:val="en-US" w:eastAsia="zh-CN"/>
        </w:rPr>
        <w:t>7 其他工作要求</w:t>
      </w:r>
    </w:p>
    <w:p w14:paraId="7AF1E8E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7.1 实施行政处罚，适用违法行为发生时的法律法规规章的规定。但是，作出处罚决定时，法律法规规章已被修改或者废止，且新的规定处罚较轻或者不认为是违法的，适用新的规定。</w:t>
      </w:r>
    </w:p>
    <w:p w14:paraId="63B7116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违法行为处于持续状态的，应当适用违法行为终了时有效的规定。</w:t>
      </w:r>
    </w:p>
    <w:p w14:paraId="00AD4F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strike/>
          <w:dstrike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7.2 </w:t>
      </w:r>
      <w:r>
        <w:rPr>
          <w:rFonts w:hint="eastAsia" w:ascii="仿宋_GB2312" w:hAnsi="仿宋_GB2312" w:eastAsia="仿宋_GB2312" w:cs="仿宋_GB2312"/>
          <w:b w:val="0"/>
          <w:bCs w:val="0"/>
          <w:color w:val="000000"/>
          <w:kern w:val="0"/>
          <w:sz w:val="32"/>
          <w:szCs w:val="32"/>
          <w:highlight w:val="none"/>
          <w:lang w:val="en-US" w:eastAsia="zh-CN" w:bidi="ar-SA"/>
        </w:rPr>
        <w:t>对同一违法行为，可以适用多部法律法规规章实施行政处罚的，应当遵循上位法优先适用的原则。同一机关制定的法律、行政法规、地方性法规、自治条例和单行条例、规章，特别规定与一般规定不一致的，适用特别规定；新的规定与旧的规定不一致的，适用新的规定。</w:t>
      </w:r>
    </w:p>
    <w:p w14:paraId="3476F97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同一违法行为违反了不同法律规范，不同法律规范规定的处罚种类不同，可以根据情况同时适用不同的法律规范给予处罚</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但不得给予两次以上罚款的行政处罚。</w:t>
      </w:r>
    </w:p>
    <w:p w14:paraId="750E9FE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pacing w:val="8"/>
          <w:kern w:val="0"/>
          <w:sz w:val="32"/>
          <w:szCs w:val="32"/>
          <w:highlight w:val="none"/>
        </w:rPr>
      </w:pPr>
      <w:r>
        <w:rPr>
          <w:rFonts w:hint="eastAsia" w:ascii="仿宋_GB2312" w:hAnsi="仿宋_GB2312" w:eastAsia="仿宋_GB2312" w:cs="仿宋_GB2312"/>
          <w:b w:val="0"/>
          <w:bCs w:val="0"/>
          <w:color w:val="000000"/>
          <w:kern w:val="2"/>
          <w:sz w:val="32"/>
          <w:szCs w:val="32"/>
          <w:highlight w:val="none"/>
          <w:lang w:val="en-US" w:eastAsia="zh-CN" w:bidi="ar-SA"/>
        </w:rPr>
        <w:t>7.3 同一个违法行为违反多个法律规范应当给予罚款处罚的，按照罚款数额高的规定处罚。</w:t>
      </w:r>
    </w:p>
    <w:p w14:paraId="0BFABF63">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kern w:val="2"/>
          <w:sz w:val="32"/>
          <w:szCs w:val="32"/>
          <w:highlight w:val="none"/>
          <w:lang w:val="en-US" w:eastAsia="zh-CN" w:bidi="ar-SA"/>
        </w:rPr>
        <w:t>7.4</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sz w:val="32"/>
          <w:szCs w:val="32"/>
          <w:highlight w:val="none"/>
        </w:rPr>
        <w:t>各</w:t>
      </w:r>
      <w:r>
        <w:rPr>
          <w:rFonts w:hint="eastAsia" w:ascii="仿宋_GB2312" w:hAnsi="仿宋_GB2312" w:eastAsia="仿宋_GB2312" w:cs="仿宋_GB2312"/>
          <w:b w:val="0"/>
          <w:bCs w:val="0"/>
          <w:color w:val="000000"/>
          <w:sz w:val="32"/>
          <w:szCs w:val="32"/>
          <w:highlight w:val="none"/>
          <w:lang w:eastAsia="zh-CN"/>
        </w:rPr>
        <w:t>实施部门</w:t>
      </w:r>
      <w:r>
        <w:rPr>
          <w:rFonts w:hint="eastAsia" w:ascii="仿宋_GB2312" w:hAnsi="仿宋_GB2312" w:eastAsia="仿宋_GB2312" w:cs="仿宋_GB2312"/>
          <w:b w:val="0"/>
          <w:bCs w:val="0"/>
          <w:color w:val="000000"/>
          <w:sz w:val="32"/>
          <w:szCs w:val="32"/>
          <w:highlight w:val="none"/>
        </w:rPr>
        <w:t>应当</w:t>
      </w:r>
      <w:r>
        <w:rPr>
          <w:rFonts w:hint="eastAsia" w:ascii="仿宋_GB2312" w:hAnsi="仿宋_GB2312" w:eastAsia="仿宋_GB2312" w:cs="仿宋_GB2312"/>
          <w:b w:val="0"/>
          <w:bCs w:val="0"/>
          <w:color w:val="000000"/>
          <w:sz w:val="32"/>
          <w:szCs w:val="32"/>
          <w:highlight w:val="none"/>
          <w:lang w:eastAsia="zh-CN"/>
        </w:rPr>
        <w:t>规范行政裁量权基准适用，加强行政</w:t>
      </w:r>
      <w:r>
        <w:rPr>
          <w:rFonts w:hint="eastAsia" w:ascii="仿宋_GB2312" w:hAnsi="仿宋_GB2312" w:eastAsia="仿宋_GB2312" w:cs="仿宋_GB2312"/>
          <w:b w:val="0"/>
          <w:bCs w:val="0"/>
          <w:color w:val="000000"/>
          <w:sz w:val="32"/>
          <w:szCs w:val="32"/>
          <w:highlight w:val="none"/>
        </w:rPr>
        <w:t>裁量权</w:t>
      </w:r>
      <w:r>
        <w:rPr>
          <w:rFonts w:hint="eastAsia" w:ascii="仿宋_GB2312" w:hAnsi="仿宋_GB2312" w:eastAsia="仿宋_GB2312" w:cs="仿宋_GB2312"/>
          <w:b w:val="0"/>
          <w:bCs w:val="0"/>
          <w:color w:val="000000"/>
          <w:sz w:val="32"/>
          <w:szCs w:val="32"/>
          <w:highlight w:val="none"/>
          <w:lang w:eastAsia="zh-CN"/>
        </w:rPr>
        <w:t>基准</w:t>
      </w:r>
      <w:r>
        <w:rPr>
          <w:rFonts w:hint="eastAsia" w:ascii="仿宋_GB2312" w:hAnsi="仿宋_GB2312" w:eastAsia="仿宋_GB2312" w:cs="仿宋_GB2312"/>
          <w:b w:val="0"/>
          <w:bCs w:val="0"/>
          <w:color w:val="000000"/>
          <w:sz w:val="32"/>
          <w:szCs w:val="32"/>
          <w:highlight w:val="none"/>
        </w:rPr>
        <w:t>实施风险评估，切实保障当事人的陈述申辩权利，加强教育引导和情况反馈。</w:t>
      </w:r>
    </w:p>
    <w:p w14:paraId="0C4C8895">
      <w:pPr>
        <w:keepNext w:val="0"/>
        <w:keepLines w:val="0"/>
        <w:pageBreakBefore w:val="0"/>
        <w:kinsoku/>
        <w:overflowPunct/>
        <w:topLinePunct w:val="0"/>
        <w:autoSpaceDE/>
        <w:autoSpaceDN/>
        <w:bidi w:val="0"/>
        <w:adjustRightInd/>
        <w:snapToGrid/>
        <w:spacing w:line="560" w:lineRule="exact"/>
        <w:ind w:firstLine="640"/>
        <w:rPr>
          <w:rFonts w:hint="eastAsia" w:ascii="仿宋_GB2312" w:hAnsi="仿宋_GB2312" w:eastAsia="仿宋_GB2312" w:cs="仿宋_GB2312"/>
          <w:b w:val="0"/>
          <w:bCs w:val="0"/>
          <w:color w:val="000000"/>
          <w:sz w:val="32"/>
          <w:szCs w:val="32"/>
          <w:highlight w:val="none"/>
          <w:u w:val="single"/>
        </w:rPr>
      </w:pPr>
      <w:r>
        <w:rPr>
          <w:rFonts w:hint="eastAsia" w:ascii="仿宋_GB2312" w:hAnsi="仿宋_GB2312" w:eastAsia="仿宋_GB2312" w:cs="仿宋_GB2312"/>
          <w:b w:val="0"/>
          <w:bCs w:val="0"/>
          <w:color w:val="000000"/>
          <w:kern w:val="2"/>
          <w:sz w:val="32"/>
          <w:szCs w:val="32"/>
          <w:highlight w:val="none"/>
          <w:lang w:val="en-US" w:eastAsia="zh-CN" w:bidi="ar-SA"/>
        </w:rPr>
        <w:t xml:space="preserve">7.5 </w:t>
      </w:r>
      <w:r>
        <w:rPr>
          <w:rFonts w:hint="eastAsia" w:ascii="仿宋_GB2312" w:hAnsi="仿宋_GB2312" w:eastAsia="仿宋_GB2312" w:cs="仿宋_GB2312"/>
          <w:b w:val="0"/>
          <w:bCs w:val="0"/>
          <w:color w:val="000000"/>
          <w:sz w:val="32"/>
          <w:szCs w:val="32"/>
          <w:highlight w:val="none"/>
        </w:rPr>
        <w:t>规范行政裁量权，应当与行政指导、行刑衔接等工作同步推进，不得以罚代管、以罚代刑。</w:t>
      </w:r>
    </w:p>
    <w:p w14:paraId="302D1A5C">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 xml:space="preserve">7.6 </w:t>
      </w:r>
      <w:r>
        <w:rPr>
          <w:rFonts w:hint="eastAsia" w:ascii="仿宋_GB2312" w:hAnsi="仿宋_GB2312" w:eastAsia="仿宋_GB2312" w:cs="仿宋_GB2312"/>
          <w:b w:val="0"/>
          <w:bCs w:val="0"/>
          <w:color w:val="000000"/>
          <w:sz w:val="32"/>
          <w:szCs w:val="32"/>
          <w:highlight w:val="none"/>
        </w:rPr>
        <w:t>违法行为符合本市公共信用信息归集和</w:t>
      </w:r>
      <w:r>
        <w:rPr>
          <w:rFonts w:hint="eastAsia" w:ascii="仿宋_GB2312" w:hAnsi="仿宋_GB2312" w:eastAsia="仿宋_GB2312" w:cs="仿宋_GB2312"/>
          <w:b w:val="0"/>
          <w:bCs w:val="0"/>
          <w:color w:val="000000"/>
          <w:sz w:val="32"/>
          <w:szCs w:val="32"/>
          <w:highlight w:val="none"/>
          <w:lang w:eastAsia="zh-CN"/>
        </w:rPr>
        <w:t>公示</w:t>
      </w:r>
      <w:r>
        <w:rPr>
          <w:rFonts w:hint="eastAsia" w:ascii="仿宋_GB2312" w:hAnsi="仿宋_GB2312" w:eastAsia="仿宋_GB2312" w:cs="仿宋_GB2312"/>
          <w:b w:val="0"/>
          <w:bCs w:val="0"/>
          <w:color w:val="000000"/>
          <w:sz w:val="32"/>
          <w:szCs w:val="32"/>
          <w:highlight w:val="none"/>
        </w:rPr>
        <w:t>条件的，应当将执法情况纳入公共信用信息服务平台，</w:t>
      </w:r>
      <w:r>
        <w:rPr>
          <w:rFonts w:hint="eastAsia" w:ascii="仿宋_GB2312" w:hAnsi="仿宋_GB2312" w:eastAsia="仿宋_GB2312" w:cs="仿宋_GB2312"/>
          <w:b w:val="0"/>
          <w:bCs w:val="0"/>
          <w:color w:val="000000"/>
          <w:sz w:val="32"/>
          <w:szCs w:val="32"/>
          <w:highlight w:val="none"/>
          <w:lang w:val="en-US" w:eastAsia="zh-CN"/>
        </w:rPr>
        <w:t>并按相关要求配合做好信用信息的修复工作。</w:t>
      </w:r>
    </w:p>
    <w:p w14:paraId="39D15058">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7.7 对违法行为的执法情况和执法过程中发现的突出问题，及时向行业主管部门反馈，加强管理与执法协同，推动源头治理。</w:t>
      </w:r>
    </w:p>
    <w:p w14:paraId="642D17A9">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7.8 依托城市管理综合执法大数据平台，实现行政裁量权基准的线上管理和使用。</w:t>
      </w:r>
    </w:p>
    <w:p w14:paraId="2BE041B5">
      <w:pPr>
        <w:keepNext w:val="0"/>
        <w:keepLines w:val="0"/>
        <w:pageBreakBefore w:val="0"/>
        <w:kinsoku/>
        <w:overflowPunct/>
        <w:topLinePunct w:val="0"/>
        <w:autoSpaceDE/>
        <w:autoSpaceDN/>
        <w:bidi w:val="0"/>
        <w:adjustRightInd/>
        <w:snapToGrid/>
        <w:spacing w:line="560" w:lineRule="exact"/>
        <w:ind w:firstLine="640" w:firstLineChars="200"/>
        <w:jc w:val="left"/>
        <w:rPr>
          <w:rFonts w:ascii="仿宋_GB2312" w:hAnsi="等线" w:eastAsia="仿宋_GB2312" w:cs="Times New Roman"/>
          <w:b w:val="0"/>
          <w:bCs w:val="0"/>
          <w:color w:val="000000"/>
          <w:sz w:val="32"/>
          <w:szCs w:val="32"/>
          <w:highlight w:val="none"/>
        </w:rPr>
      </w:pPr>
    </w:p>
    <w:p w14:paraId="747BDD66">
      <w:pPr>
        <w:keepNext w:val="0"/>
        <w:keepLines w:val="0"/>
        <w:pageBreakBefore w:val="0"/>
        <w:numPr>
          <w:ilvl w:val="0"/>
          <w:numId w:val="0"/>
        </w:numPr>
        <w:kinsoku/>
        <w:overflowPunct/>
        <w:topLinePunct w:val="0"/>
        <w:autoSpaceDE/>
        <w:autoSpaceDN/>
        <w:bidi w:val="0"/>
        <w:adjustRightInd/>
        <w:snapToGrid/>
        <w:spacing w:line="560" w:lineRule="exact"/>
        <w:ind w:leftChars="0"/>
        <w:jc w:val="center"/>
        <w:rPr>
          <w:rFonts w:ascii="仿宋_GB2312" w:hAnsi="等线" w:eastAsia="仿宋_GB2312" w:cs="Times New Roman"/>
          <w:b w:val="0"/>
          <w:bCs w:val="0"/>
          <w:color w:val="000000"/>
          <w:sz w:val="32"/>
          <w:szCs w:val="32"/>
          <w:highlight w:val="none"/>
        </w:rPr>
      </w:pPr>
      <w:r>
        <w:rPr>
          <w:rFonts w:hint="eastAsia" w:ascii="黑体" w:hAnsi="黑体" w:eastAsia="黑体" w:cs="Times New Roman"/>
          <w:b w:val="0"/>
          <w:bCs w:val="0"/>
          <w:color w:val="000000"/>
          <w:sz w:val="36"/>
          <w:szCs w:val="36"/>
          <w:highlight w:val="none"/>
          <w:lang w:val="en-US" w:eastAsia="zh-CN"/>
        </w:rPr>
        <w:t xml:space="preserve">8 </w:t>
      </w:r>
      <w:r>
        <w:rPr>
          <w:rFonts w:hint="eastAsia" w:ascii="黑体" w:hAnsi="黑体" w:eastAsia="黑体" w:cs="Times New Roman"/>
          <w:b w:val="0"/>
          <w:bCs w:val="0"/>
          <w:color w:val="000000"/>
          <w:sz w:val="36"/>
          <w:szCs w:val="36"/>
          <w:highlight w:val="none"/>
        </w:rPr>
        <w:t>附则</w:t>
      </w:r>
    </w:p>
    <w:p w14:paraId="12241B1D">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8</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本《基准》</w:t>
      </w:r>
      <w:r>
        <w:rPr>
          <w:rFonts w:hint="eastAsia" w:ascii="仿宋_GB2312" w:hAnsi="仿宋_GB2312" w:eastAsia="仿宋_GB2312" w:cs="仿宋_GB2312"/>
          <w:b w:val="0"/>
          <w:bCs w:val="0"/>
          <w:color w:val="000000"/>
          <w:sz w:val="32"/>
          <w:szCs w:val="32"/>
          <w:highlight w:val="none"/>
          <w:lang w:eastAsia="zh-CN"/>
        </w:rPr>
        <w:t>系数</w:t>
      </w:r>
      <w:r>
        <w:rPr>
          <w:rFonts w:hint="eastAsia" w:ascii="仿宋_GB2312" w:hAnsi="仿宋_GB2312" w:eastAsia="仿宋_GB2312" w:cs="仿宋_GB2312"/>
          <w:b w:val="0"/>
          <w:bCs w:val="0"/>
          <w:color w:val="000000"/>
          <w:sz w:val="32"/>
          <w:szCs w:val="32"/>
          <w:highlight w:val="none"/>
        </w:rPr>
        <w:t>中的“一年度”指前一年的某月某日至当年的某月某日</w:t>
      </w:r>
      <w:r>
        <w:rPr>
          <w:rFonts w:hint="eastAsia" w:ascii="仿宋_GB2312" w:hAnsi="仿宋_GB2312" w:eastAsia="仿宋_GB2312" w:cs="仿宋_GB2312"/>
          <w:b w:val="0"/>
          <w:bCs w:val="0"/>
          <w:color w:val="000000"/>
          <w:sz w:val="32"/>
          <w:szCs w:val="32"/>
          <w:highlight w:val="none"/>
          <w:lang w:val="en-US" w:eastAsia="zh-Hans"/>
        </w:rPr>
        <w:t>的前一天</w:t>
      </w:r>
      <w:r>
        <w:rPr>
          <w:rFonts w:hint="eastAsia" w:ascii="仿宋_GB2312" w:hAnsi="仿宋_GB2312" w:eastAsia="仿宋_GB2312" w:cs="仿宋_GB2312"/>
          <w:b w:val="0"/>
          <w:bCs w:val="0"/>
          <w:color w:val="000000"/>
          <w:sz w:val="32"/>
          <w:szCs w:val="32"/>
          <w:highlight w:val="none"/>
        </w:rPr>
        <w:t>，如“2018年的9月1日至2019年的8月31日”;“书面告诫”指行政告诫书等。</w:t>
      </w:r>
    </w:p>
    <w:p w14:paraId="5F7E01B7">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strike w:val="0"/>
          <w:color w:val="000000"/>
          <w:sz w:val="32"/>
          <w:szCs w:val="32"/>
          <w:highlight w:val="none"/>
        </w:rPr>
      </w:pPr>
      <w:r>
        <w:rPr>
          <w:rFonts w:hint="eastAsia" w:ascii="仿宋_GB2312" w:hAnsi="仿宋_GB2312" w:eastAsia="仿宋_GB2312" w:cs="仿宋_GB2312"/>
          <w:b w:val="0"/>
          <w:bCs w:val="0"/>
          <w:strike w:val="0"/>
          <w:color w:val="000000"/>
          <w:sz w:val="32"/>
          <w:szCs w:val="32"/>
          <w:highlight w:val="none"/>
          <w:lang w:val="en-US" w:eastAsia="zh-CN"/>
        </w:rPr>
        <w:t>8</w:t>
      </w:r>
      <w:r>
        <w:rPr>
          <w:rFonts w:hint="eastAsia" w:ascii="仿宋_GB2312" w:hAnsi="仿宋_GB2312" w:eastAsia="仿宋_GB2312" w:cs="仿宋_GB2312"/>
          <w:b w:val="0"/>
          <w:bCs w:val="0"/>
          <w:strike w:val="0"/>
          <w:color w:val="000000"/>
          <w:sz w:val="32"/>
          <w:szCs w:val="32"/>
          <w:highlight w:val="none"/>
        </w:rPr>
        <w:t>.2</w:t>
      </w:r>
      <w:r>
        <w:rPr>
          <w:rFonts w:hint="eastAsia" w:ascii="仿宋_GB2312" w:hAnsi="仿宋_GB2312" w:eastAsia="仿宋_GB2312" w:cs="仿宋_GB2312"/>
          <w:b w:val="0"/>
          <w:bCs w:val="0"/>
          <w:strike w:val="0"/>
          <w:color w:val="000000"/>
          <w:sz w:val="32"/>
          <w:szCs w:val="32"/>
          <w:highlight w:val="none"/>
          <w:lang w:val="en-US" w:eastAsia="zh-CN"/>
        </w:rPr>
        <w:t xml:space="preserve"> </w:t>
      </w:r>
      <w:r>
        <w:rPr>
          <w:rFonts w:hint="eastAsia" w:ascii="仿宋_GB2312" w:hAnsi="仿宋_GB2312" w:eastAsia="仿宋_GB2312" w:cs="仿宋_GB2312"/>
          <w:b w:val="0"/>
          <w:bCs w:val="0"/>
          <w:strike w:val="0"/>
          <w:color w:val="000000"/>
          <w:sz w:val="32"/>
          <w:szCs w:val="32"/>
          <w:highlight w:val="none"/>
        </w:rPr>
        <w:t>本《基准》区域系数中的“一类严格控制地区”“二类重点管理地区”，主要指天安门周边、长安街沿线</w:t>
      </w:r>
      <w:r>
        <w:rPr>
          <w:rFonts w:hint="eastAsia" w:ascii="仿宋_GB2312" w:hAnsi="仿宋_GB2312" w:eastAsia="仿宋_GB2312" w:cs="仿宋_GB2312"/>
          <w:b w:val="0"/>
          <w:bCs w:val="0"/>
          <w:strike w:val="0"/>
          <w:color w:val="000000"/>
          <w:sz w:val="32"/>
          <w:szCs w:val="32"/>
          <w:highlight w:val="none"/>
          <w:lang w:eastAsia="zh-CN"/>
        </w:rPr>
        <w:t>及周边、</w:t>
      </w:r>
      <w:r>
        <w:rPr>
          <w:rFonts w:hint="eastAsia" w:ascii="仿宋_GB2312" w:hAnsi="仿宋_GB2312" w:eastAsia="仿宋_GB2312" w:cs="仿宋_GB2312"/>
          <w:b w:val="0"/>
          <w:bCs w:val="0"/>
          <w:strike w:val="0"/>
          <w:color w:val="000000"/>
          <w:sz w:val="32"/>
          <w:szCs w:val="32"/>
          <w:highlight w:val="none"/>
        </w:rPr>
        <w:t>主要商业繁华场所周边、重要交通场站枢纽周边、重点旅游景区周边、主要学校医院周边、驻华使馆及</w:t>
      </w:r>
      <w:r>
        <w:rPr>
          <w:rFonts w:hint="eastAsia" w:ascii="仿宋_GB2312" w:hAnsi="仿宋_GB2312" w:eastAsia="仿宋_GB2312" w:cs="仿宋_GB2312"/>
          <w:b w:val="0"/>
          <w:bCs w:val="0"/>
          <w:strike w:val="0"/>
          <w:color w:val="000000"/>
          <w:sz w:val="32"/>
          <w:szCs w:val="32"/>
          <w:highlight w:val="none"/>
          <w:lang w:eastAsia="zh-CN"/>
        </w:rPr>
        <w:t>其他</w:t>
      </w:r>
      <w:r>
        <w:rPr>
          <w:rFonts w:hint="eastAsia" w:ascii="仿宋_GB2312" w:hAnsi="仿宋_GB2312" w:eastAsia="仿宋_GB2312" w:cs="仿宋_GB2312"/>
          <w:b w:val="0"/>
          <w:bCs w:val="0"/>
          <w:strike w:val="0"/>
          <w:color w:val="000000"/>
          <w:sz w:val="32"/>
          <w:szCs w:val="32"/>
          <w:highlight w:val="none"/>
        </w:rPr>
        <w:t>重要涉外区域周边等重点地区，以及重点大街等。</w:t>
      </w:r>
    </w:p>
    <w:p w14:paraId="05F588D7">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strike w:val="0"/>
          <w:color w:val="000000"/>
          <w:sz w:val="32"/>
          <w:szCs w:val="32"/>
          <w:highlight w:val="red"/>
          <w:u w:val="single"/>
        </w:rPr>
      </w:pPr>
      <w:r>
        <w:rPr>
          <w:rFonts w:hint="eastAsia" w:ascii="仿宋_GB2312" w:hAnsi="仿宋_GB2312" w:eastAsia="仿宋_GB2312" w:cs="仿宋_GB2312"/>
          <w:b w:val="0"/>
          <w:bCs w:val="0"/>
          <w:color w:val="000000"/>
          <w:sz w:val="32"/>
          <w:szCs w:val="32"/>
          <w:highlight w:val="none"/>
          <w:lang w:val="en-US" w:eastAsia="zh-CN"/>
        </w:rPr>
        <w:t>8</w:t>
      </w:r>
      <w:r>
        <w:rPr>
          <w:rFonts w:hint="eastAsia" w:ascii="仿宋_GB2312" w:hAnsi="仿宋_GB2312" w:eastAsia="仿宋_GB2312" w:cs="仿宋_GB2312"/>
          <w:b w:val="0"/>
          <w:bCs w:val="0"/>
          <w:color w:val="000000"/>
          <w:sz w:val="32"/>
          <w:szCs w:val="32"/>
          <w:highlight w:val="none"/>
        </w:rPr>
        <w:t>.3</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本《基准》实施中的具体问题，由市城管执法局负责解释。</w:t>
      </w:r>
      <w:r>
        <w:rPr>
          <w:rFonts w:hint="eastAsia" w:ascii="仿宋_GB2312" w:hAnsi="仿宋_GB2312" w:eastAsia="仿宋_GB2312" w:cs="仿宋_GB2312"/>
          <w:b w:val="0"/>
          <w:bCs w:val="0"/>
          <w:strike w:val="0"/>
          <w:color w:val="000000"/>
          <w:sz w:val="32"/>
          <w:szCs w:val="32"/>
          <w:highlight w:val="none"/>
        </w:rPr>
        <w:t>各区</w:t>
      </w:r>
      <w:r>
        <w:rPr>
          <w:rFonts w:hint="eastAsia" w:ascii="仿宋_GB2312" w:hAnsi="仿宋_GB2312" w:eastAsia="仿宋_GB2312" w:cs="仿宋_GB2312"/>
          <w:b w:val="0"/>
          <w:bCs w:val="0"/>
          <w:strike w:val="0"/>
          <w:color w:val="000000"/>
          <w:sz w:val="32"/>
          <w:szCs w:val="32"/>
          <w:highlight w:val="none"/>
          <w:lang w:eastAsia="zh-CN"/>
        </w:rPr>
        <w:t>城市管理综合行政</w:t>
      </w:r>
      <w:r>
        <w:rPr>
          <w:rFonts w:hint="eastAsia" w:ascii="仿宋_GB2312" w:hAnsi="仿宋_GB2312" w:eastAsia="仿宋_GB2312" w:cs="仿宋_GB2312"/>
          <w:b w:val="0"/>
          <w:bCs w:val="0"/>
          <w:strike w:val="0"/>
          <w:color w:val="000000"/>
          <w:sz w:val="32"/>
          <w:szCs w:val="32"/>
          <w:highlight w:val="none"/>
        </w:rPr>
        <w:t>执法</w:t>
      </w:r>
      <w:r>
        <w:rPr>
          <w:rFonts w:hint="eastAsia" w:ascii="仿宋_GB2312" w:hAnsi="仿宋_GB2312" w:eastAsia="仿宋_GB2312" w:cs="仿宋_GB2312"/>
          <w:b w:val="0"/>
          <w:bCs w:val="0"/>
          <w:strike w:val="0"/>
          <w:color w:val="000000"/>
          <w:sz w:val="32"/>
          <w:szCs w:val="32"/>
          <w:highlight w:val="none"/>
          <w:lang w:eastAsia="zh-CN"/>
        </w:rPr>
        <w:t>部门</w:t>
      </w:r>
      <w:r>
        <w:rPr>
          <w:rFonts w:hint="eastAsia" w:ascii="仿宋_GB2312" w:hAnsi="仿宋_GB2312" w:eastAsia="仿宋_GB2312" w:cs="仿宋_GB2312"/>
          <w:b w:val="0"/>
          <w:bCs w:val="0"/>
          <w:strike w:val="0"/>
          <w:color w:val="000000"/>
          <w:sz w:val="32"/>
          <w:szCs w:val="32"/>
          <w:highlight w:val="none"/>
        </w:rPr>
        <w:t>规范行政裁量权</w:t>
      </w:r>
      <w:r>
        <w:rPr>
          <w:rFonts w:hint="eastAsia" w:ascii="仿宋_GB2312" w:hAnsi="仿宋_GB2312" w:eastAsia="仿宋_GB2312" w:cs="仿宋_GB2312"/>
          <w:b w:val="0"/>
          <w:bCs w:val="0"/>
          <w:strike w:val="0"/>
          <w:color w:val="000000"/>
          <w:sz w:val="32"/>
          <w:szCs w:val="32"/>
          <w:highlight w:val="none"/>
          <w:lang w:eastAsia="zh-CN"/>
        </w:rPr>
        <w:t>基准</w:t>
      </w:r>
      <w:r>
        <w:rPr>
          <w:rFonts w:hint="eastAsia" w:ascii="仿宋_GB2312" w:hAnsi="仿宋_GB2312" w:eastAsia="仿宋_GB2312" w:cs="仿宋_GB2312"/>
          <w:b w:val="0"/>
          <w:bCs w:val="0"/>
          <w:strike w:val="0"/>
          <w:color w:val="000000"/>
          <w:sz w:val="32"/>
          <w:szCs w:val="32"/>
          <w:highlight w:val="none"/>
        </w:rPr>
        <w:t>的区域分类管理</w:t>
      </w:r>
      <w:r>
        <w:rPr>
          <w:rFonts w:hint="eastAsia" w:ascii="仿宋_GB2312" w:hAnsi="仿宋_GB2312" w:eastAsia="仿宋_GB2312" w:cs="仿宋_GB2312"/>
          <w:b w:val="0"/>
          <w:bCs w:val="0"/>
          <w:strike w:val="0"/>
          <w:color w:val="000000"/>
          <w:sz w:val="32"/>
          <w:szCs w:val="32"/>
          <w:highlight w:val="none"/>
          <w:lang w:eastAsia="zh-CN"/>
        </w:rPr>
        <w:t>台账</w:t>
      </w:r>
      <w:r>
        <w:rPr>
          <w:rFonts w:hint="eastAsia" w:ascii="仿宋_GB2312" w:hAnsi="仿宋_GB2312" w:eastAsia="仿宋_GB2312" w:cs="仿宋_GB2312"/>
          <w:b w:val="0"/>
          <w:bCs w:val="0"/>
          <w:strike w:val="0"/>
          <w:color w:val="000000"/>
          <w:sz w:val="32"/>
          <w:szCs w:val="32"/>
          <w:highlight w:val="none"/>
        </w:rPr>
        <w:t>，由各区</w:t>
      </w:r>
      <w:r>
        <w:rPr>
          <w:rFonts w:hint="eastAsia" w:ascii="仿宋_GB2312" w:hAnsi="仿宋_GB2312" w:eastAsia="仿宋_GB2312" w:cs="仿宋_GB2312"/>
          <w:b w:val="0"/>
          <w:bCs w:val="0"/>
          <w:strike w:val="0"/>
          <w:color w:val="000000"/>
          <w:sz w:val="32"/>
          <w:szCs w:val="32"/>
          <w:highlight w:val="none"/>
          <w:lang w:eastAsia="zh-CN"/>
        </w:rPr>
        <w:t>城市管理综合行政</w:t>
      </w:r>
      <w:r>
        <w:rPr>
          <w:rFonts w:hint="eastAsia" w:ascii="仿宋_GB2312" w:hAnsi="仿宋_GB2312" w:eastAsia="仿宋_GB2312" w:cs="仿宋_GB2312"/>
          <w:b w:val="0"/>
          <w:bCs w:val="0"/>
          <w:strike w:val="0"/>
          <w:color w:val="000000"/>
          <w:sz w:val="32"/>
          <w:szCs w:val="32"/>
          <w:highlight w:val="none"/>
        </w:rPr>
        <w:t>执法</w:t>
      </w:r>
      <w:r>
        <w:rPr>
          <w:rFonts w:hint="eastAsia" w:ascii="仿宋_GB2312" w:hAnsi="仿宋_GB2312" w:eastAsia="仿宋_GB2312" w:cs="仿宋_GB2312"/>
          <w:b w:val="0"/>
          <w:bCs w:val="0"/>
          <w:strike w:val="0"/>
          <w:color w:val="000000"/>
          <w:sz w:val="32"/>
          <w:szCs w:val="32"/>
          <w:highlight w:val="none"/>
          <w:lang w:eastAsia="zh-CN"/>
        </w:rPr>
        <w:t>部门分别</w:t>
      </w:r>
      <w:r>
        <w:rPr>
          <w:rFonts w:hint="eastAsia" w:ascii="仿宋_GB2312" w:hAnsi="仿宋_GB2312" w:eastAsia="仿宋_GB2312" w:cs="仿宋_GB2312"/>
          <w:b w:val="0"/>
          <w:bCs w:val="0"/>
          <w:strike w:val="0"/>
          <w:color w:val="000000"/>
          <w:sz w:val="32"/>
          <w:szCs w:val="32"/>
          <w:highlight w:val="none"/>
        </w:rPr>
        <w:t>解释。</w:t>
      </w:r>
    </w:p>
    <w:p w14:paraId="097E2D3D">
      <w:pPr>
        <w:keepNext w:val="0"/>
        <w:keepLines w:val="0"/>
        <w:pageBreakBefore w:val="0"/>
        <w:kinsoku/>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8.4</w:t>
      </w:r>
      <w:r>
        <w:rPr>
          <w:rFonts w:hint="default"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eastAsia="zh-CN"/>
        </w:rPr>
        <w:t>市城管执法局根据法律法规规章的颁布、修订、废止，并结合客观情况的变化和基层执法实践的反馈，及时新增或动态调整本《基准》。动态修订并公示的单行法律法规规章的裁量权基准，属于本基准的有效组成部分，一并贯彻执行。</w:t>
      </w:r>
    </w:p>
    <w:p w14:paraId="1B7B2545">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8</w:t>
      </w:r>
      <w:r>
        <w:rPr>
          <w:rFonts w:hint="eastAsia" w:ascii="仿宋_GB2312" w:hAnsi="仿宋_GB2312" w:eastAsia="仿宋_GB2312" w:cs="仿宋_GB2312"/>
          <w:b w:val="0"/>
          <w:bCs w:val="0"/>
          <w:color w:val="000000"/>
          <w:sz w:val="32"/>
          <w:szCs w:val="32"/>
          <w:highlight w:val="none"/>
        </w:rPr>
        <w:t>.5</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本《基准》自</w:t>
      </w:r>
      <w:r>
        <w:rPr>
          <w:rFonts w:hint="eastAsia" w:ascii="仿宋_GB2312" w:hAnsi="仿宋_GB2312" w:eastAsia="仿宋_GB2312" w:cs="仿宋_GB2312"/>
          <w:b w:val="0"/>
          <w:bCs w:val="0"/>
          <w:color w:val="000000"/>
          <w:sz w:val="32"/>
          <w:szCs w:val="32"/>
          <w:highlight w:val="none"/>
          <w:lang w:val="en-US" w:eastAsia="zh-CN"/>
        </w:rPr>
        <w:t>2026</w:t>
      </w:r>
      <w:r>
        <w:rPr>
          <w:rFonts w:hint="eastAsia" w:ascii="仿宋_GB2312" w:hAnsi="仿宋_GB2312" w:eastAsia="仿宋_GB2312" w:cs="仿宋_GB2312"/>
          <w:b w:val="0"/>
          <w:bCs w:val="0"/>
          <w:color w:val="000000"/>
          <w:kern w:val="2"/>
          <w:sz w:val="32"/>
          <w:szCs w:val="32"/>
          <w:highlight w:val="none"/>
          <w:lang w:val="en-US" w:eastAsia="zh-CN" w:bidi="ar-SA"/>
        </w:rPr>
        <w:t>年3月1日</w:t>
      </w:r>
      <w:r>
        <w:rPr>
          <w:rFonts w:hint="eastAsia" w:ascii="仿宋_GB2312" w:hAnsi="仿宋_GB2312" w:eastAsia="仿宋_GB2312" w:cs="仿宋_GB2312"/>
          <w:b w:val="0"/>
          <w:bCs w:val="0"/>
          <w:color w:val="000000"/>
          <w:sz w:val="32"/>
          <w:szCs w:val="32"/>
          <w:highlight w:val="none"/>
        </w:rPr>
        <w:t>起实施，原市城管执法局印发的</w:t>
      </w:r>
      <w:r>
        <w:rPr>
          <w:rFonts w:hint="eastAsia" w:ascii="仿宋_GB2312" w:hAnsi="仿宋_GB2312" w:eastAsia="仿宋_GB2312" w:cs="仿宋_GB2312"/>
          <w:b w:val="0"/>
          <w:bCs w:val="0"/>
          <w:color w:val="000000"/>
          <w:sz w:val="32"/>
          <w:szCs w:val="32"/>
          <w:highlight w:val="none"/>
          <w:lang w:val="en-US" w:eastAsia="zh-CN"/>
        </w:rPr>
        <w:t>行政裁量权基准</w:t>
      </w:r>
      <w:r>
        <w:rPr>
          <w:rFonts w:hint="eastAsia" w:ascii="仿宋_GB2312" w:hAnsi="仿宋_GB2312" w:eastAsia="仿宋_GB2312" w:cs="仿宋_GB2312"/>
          <w:b w:val="0"/>
          <w:bCs w:val="0"/>
          <w:color w:val="000000"/>
          <w:sz w:val="32"/>
          <w:szCs w:val="32"/>
          <w:highlight w:val="none"/>
        </w:rPr>
        <w:t>停止执行；本《基准》与法律法规规章以及</w:t>
      </w:r>
      <w:r>
        <w:rPr>
          <w:rFonts w:hint="eastAsia" w:ascii="仿宋_GB2312" w:hAnsi="仿宋_GB2312" w:eastAsia="仿宋_GB2312" w:cs="仿宋_GB2312"/>
          <w:b w:val="0"/>
          <w:bCs w:val="0"/>
          <w:color w:val="000000"/>
          <w:sz w:val="32"/>
          <w:szCs w:val="32"/>
          <w:highlight w:val="none"/>
          <w:lang w:eastAsia="zh-CN"/>
        </w:rPr>
        <w:t>国家和本市</w:t>
      </w:r>
      <w:r>
        <w:rPr>
          <w:rFonts w:hint="eastAsia" w:ascii="仿宋_GB2312" w:hAnsi="仿宋_GB2312" w:eastAsia="仿宋_GB2312" w:cs="仿宋_GB2312"/>
          <w:b w:val="0"/>
          <w:bCs w:val="0"/>
          <w:color w:val="000000"/>
          <w:sz w:val="32"/>
          <w:szCs w:val="32"/>
          <w:highlight w:val="none"/>
        </w:rPr>
        <w:t>关于</w:t>
      </w:r>
      <w:r>
        <w:rPr>
          <w:rFonts w:hint="eastAsia" w:ascii="仿宋_GB2312" w:hAnsi="仿宋_GB2312" w:eastAsia="仿宋_GB2312" w:cs="仿宋_GB2312"/>
          <w:b w:val="0"/>
          <w:bCs w:val="0"/>
          <w:color w:val="000000"/>
          <w:sz w:val="32"/>
          <w:szCs w:val="32"/>
          <w:highlight w:val="none"/>
          <w:lang w:eastAsia="zh-CN"/>
        </w:rPr>
        <w:t>行政</w:t>
      </w:r>
      <w:r>
        <w:rPr>
          <w:rFonts w:hint="eastAsia" w:ascii="仿宋_GB2312" w:hAnsi="仿宋_GB2312" w:eastAsia="仿宋_GB2312" w:cs="仿宋_GB2312"/>
          <w:b w:val="0"/>
          <w:bCs w:val="0"/>
          <w:color w:val="000000"/>
          <w:sz w:val="32"/>
          <w:szCs w:val="32"/>
          <w:highlight w:val="none"/>
        </w:rPr>
        <w:t>裁量</w:t>
      </w:r>
      <w:r>
        <w:rPr>
          <w:rFonts w:hint="eastAsia" w:ascii="仿宋_GB2312" w:hAnsi="仿宋_GB2312" w:eastAsia="仿宋_GB2312" w:cs="仿宋_GB2312"/>
          <w:b w:val="0"/>
          <w:bCs w:val="0"/>
          <w:color w:val="000000"/>
          <w:sz w:val="32"/>
          <w:szCs w:val="32"/>
          <w:highlight w:val="none"/>
          <w:lang w:eastAsia="zh-CN"/>
        </w:rPr>
        <w:t>权</w:t>
      </w:r>
      <w:r>
        <w:rPr>
          <w:rFonts w:hint="eastAsia" w:ascii="仿宋_GB2312" w:hAnsi="仿宋_GB2312" w:eastAsia="仿宋_GB2312" w:cs="仿宋_GB2312"/>
          <w:b w:val="0"/>
          <w:bCs w:val="0"/>
          <w:color w:val="000000"/>
          <w:sz w:val="32"/>
          <w:szCs w:val="32"/>
          <w:highlight w:val="none"/>
          <w:lang w:val="en-US" w:eastAsia="zh-Hans"/>
        </w:rPr>
        <w:t>等相关</w:t>
      </w:r>
      <w:r>
        <w:rPr>
          <w:rFonts w:hint="eastAsia" w:ascii="仿宋_GB2312" w:hAnsi="仿宋_GB2312" w:eastAsia="仿宋_GB2312" w:cs="仿宋_GB2312"/>
          <w:b w:val="0"/>
          <w:bCs w:val="0"/>
          <w:color w:val="000000"/>
          <w:sz w:val="32"/>
          <w:szCs w:val="32"/>
          <w:highlight w:val="none"/>
        </w:rPr>
        <w:t>规定不一致的，以相关规定为准。</w:t>
      </w:r>
    </w:p>
    <w:p w14:paraId="118BC720">
      <w:pPr>
        <w:keepNext w:val="0"/>
        <w:keepLines w:val="0"/>
        <w:pageBreakBefore w:val="0"/>
        <w:widowControl w:val="0"/>
        <w:tabs>
          <w:tab w:val="left" w:pos="960"/>
        </w:tabs>
        <w:kinsoku/>
        <w:wordWrap/>
        <w:overflowPunct/>
        <w:topLinePunct w:val="0"/>
        <w:autoSpaceDE/>
        <w:autoSpaceDN/>
        <w:bidi w:val="0"/>
        <w:adjustRightInd/>
        <w:snapToGrid/>
        <w:spacing w:line="560" w:lineRule="exact"/>
        <w:ind w:left="130" w:leftChars="62" w:firstLine="308" w:firstLineChars="100"/>
        <w:jc w:val="left"/>
        <w:textAlignment w:val="auto"/>
        <w:rPr>
          <w:rFonts w:hint="eastAsia" w:ascii="仿宋_GB2312" w:hAnsi="仿宋_GB2312" w:eastAsia="仿宋_GB2312" w:cs="仿宋_GB2312"/>
          <w:color w:val="000000"/>
          <w:spacing w:val="-6"/>
          <w:sz w:val="32"/>
          <w:szCs w:val="32"/>
          <w:highlight w:val="none"/>
        </w:rPr>
      </w:pPr>
      <w:r>
        <w:rPr>
          <w:rFonts w:hint="eastAsia" w:ascii="仿宋_GB2312" w:hAnsi="仿宋_GB2312" w:eastAsia="仿宋_GB2312" w:cs="仿宋_GB2312"/>
          <w:color w:val="000000"/>
          <w:spacing w:val="-6"/>
          <w:sz w:val="32"/>
          <w:szCs w:val="32"/>
          <w:highlight w:val="none"/>
          <w:lang w:val="en-US" w:eastAsia="zh-CN"/>
        </w:rPr>
        <w:t>附件: 1</w:t>
      </w:r>
      <w:r>
        <w:rPr>
          <w:rFonts w:hint="eastAsia" w:ascii="仿宋_GB2312" w:hAnsi="仿宋_GB2312" w:eastAsia="仿宋_GB2312" w:cs="仿宋_GB2312"/>
          <w:color w:val="000000"/>
          <w:spacing w:val="-6"/>
          <w:sz w:val="32"/>
          <w:szCs w:val="32"/>
          <w:highlight w:val="none"/>
        </w:rPr>
        <w:t>.北京市</w:t>
      </w:r>
      <w:r>
        <w:rPr>
          <w:rFonts w:hint="eastAsia" w:ascii="仿宋_GB2312" w:hAnsi="仿宋_GB2312" w:eastAsia="仿宋_GB2312" w:cs="仿宋_GB2312"/>
          <w:color w:val="000000"/>
          <w:spacing w:val="-6"/>
          <w:sz w:val="32"/>
          <w:szCs w:val="32"/>
          <w:highlight w:val="none"/>
          <w:lang w:val="en-US" w:eastAsia="zh-CN"/>
        </w:rPr>
        <w:t>城市管理综合行政执法</w:t>
      </w:r>
      <w:r>
        <w:rPr>
          <w:rFonts w:hint="eastAsia" w:ascii="仿宋_GB2312" w:hAnsi="仿宋_GB2312" w:eastAsia="仿宋_GB2312" w:cs="仿宋_GB2312"/>
          <w:color w:val="000000"/>
          <w:spacing w:val="-6"/>
          <w:sz w:val="32"/>
          <w:szCs w:val="32"/>
          <w:highlight w:val="none"/>
          <w:lang w:eastAsia="zh-CN"/>
        </w:rPr>
        <w:t>行政</w:t>
      </w:r>
      <w:r>
        <w:rPr>
          <w:rFonts w:hint="eastAsia" w:ascii="仿宋_GB2312" w:hAnsi="仿宋_GB2312" w:eastAsia="仿宋_GB2312" w:cs="仿宋_GB2312"/>
          <w:color w:val="000000"/>
          <w:spacing w:val="-6"/>
          <w:sz w:val="32"/>
          <w:szCs w:val="32"/>
          <w:highlight w:val="none"/>
        </w:rPr>
        <w:t>处罚裁量基准表</w:t>
      </w:r>
    </w:p>
    <w:p w14:paraId="3C22695F">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560" w:lineRule="exact"/>
        <w:ind w:left="945" w:leftChars="450" w:firstLine="448" w:firstLineChars="14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val="en-US" w:eastAsia="zh-CN"/>
        </w:rPr>
        <w:t>城市管理综合行政执法</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rPr>
        <w:t>处罚裁量区域</w:t>
      </w:r>
    </w:p>
    <w:p w14:paraId="031DCCE5">
      <w:pPr>
        <w:keepNext w:val="0"/>
        <w:keepLines w:val="0"/>
        <w:pageBreakBefore w:val="0"/>
        <w:widowControl/>
        <w:shd w:val="clear" w:color="auto" w:fill="FFFFFF"/>
        <w:kinsoku/>
        <w:overflowPunct/>
        <w:topLinePunct w:val="0"/>
        <w:autoSpaceDE/>
        <w:autoSpaceDN/>
        <w:bidi w:val="0"/>
        <w:adjustRightInd/>
        <w:spacing w:line="560" w:lineRule="exact"/>
        <w:ind w:left="0" w:leftChars="0" w:firstLine="1280" w:firstLineChars="4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分类管理</w:t>
      </w:r>
      <w:r>
        <w:rPr>
          <w:rFonts w:hint="eastAsia" w:ascii="仿宋_GB2312" w:hAnsi="仿宋_GB2312" w:eastAsia="仿宋_GB2312" w:cs="仿宋_GB2312"/>
          <w:color w:val="000000"/>
          <w:sz w:val="32"/>
          <w:szCs w:val="32"/>
          <w:highlight w:val="none"/>
          <w:lang w:eastAsia="zh-CN"/>
        </w:rPr>
        <w:t>台账</w:t>
      </w:r>
    </w:p>
    <w:p w14:paraId="44C17780">
      <w:bookmarkStart w:id="0" w:name="_GoBack"/>
      <w:bookmarkEnd w:id="0"/>
    </w:p>
    <w:p w14:paraId="4CC872E4">
      <w:pPr>
        <w:widowControl/>
        <w:shd w:val="clear" w:color="auto" w:fill="FFFFFF"/>
        <w:spacing w:line="560" w:lineRule="exact"/>
        <w:ind w:left="0" w:leftChars="0" w:firstLine="159" w:firstLineChars="57"/>
        <w:rPr>
          <w:rFonts w:hint="eastAsia" w:ascii="仿宋_GB2312" w:hAnsi="Times New Roman" w:eastAsia="仿宋_GB2312"/>
          <w:snapToGrid w:val="0"/>
          <w:color w:val="auto"/>
          <w:kern w:val="0"/>
          <w:sz w:val="28"/>
          <w:szCs w:val="28"/>
          <w:lang w:val="en-US" w:eastAsia="zh-CN"/>
        </w:rPr>
      </w:pPr>
    </w:p>
    <w:sectPr>
      <w:headerReference r:id="rId3" w:type="default"/>
      <w:footerReference r:id="rId4" w:type="default"/>
      <w:pgSz w:w="11907" w:h="16839"/>
      <w:pgMar w:top="2098" w:right="1474" w:bottom="1985"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6D3D26D"/>
    <w:rsid w:val="17187F06"/>
    <w:rsid w:val="19F62F63"/>
    <w:rsid w:val="1A014439"/>
    <w:rsid w:val="1A453FDE"/>
    <w:rsid w:val="1BFF893D"/>
    <w:rsid w:val="1F2707B6"/>
    <w:rsid w:val="1F4803E6"/>
    <w:rsid w:val="20A03703"/>
    <w:rsid w:val="25506CB3"/>
    <w:rsid w:val="26496B80"/>
    <w:rsid w:val="267C44CD"/>
    <w:rsid w:val="27BF0F7E"/>
    <w:rsid w:val="287B4AC6"/>
    <w:rsid w:val="28D3434B"/>
    <w:rsid w:val="2ACB5137"/>
    <w:rsid w:val="2B7E09D6"/>
    <w:rsid w:val="2C15017B"/>
    <w:rsid w:val="2D954517"/>
    <w:rsid w:val="2FD79A29"/>
    <w:rsid w:val="2FFEF21E"/>
    <w:rsid w:val="32FE1E11"/>
    <w:rsid w:val="333D1186"/>
    <w:rsid w:val="33495AA3"/>
    <w:rsid w:val="33E230A2"/>
    <w:rsid w:val="34E10213"/>
    <w:rsid w:val="36E777BF"/>
    <w:rsid w:val="3BC06239"/>
    <w:rsid w:val="3CA16E92"/>
    <w:rsid w:val="3CDE8892"/>
    <w:rsid w:val="3EEDB004"/>
    <w:rsid w:val="3FCFF7A1"/>
    <w:rsid w:val="3FE5579F"/>
    <w:rsid w:val="417F150D"/>
    <w:rsid w:val="46D8132D"/>
    <w:rsid w:val="48677392"/>
    <w:rsid w:val="49773E04"/>
    <w:rsid w:val="49933C9D"/>
    <w:rsid w:val="49BDDCC9"/>
    <w:rsid w:val="4C843786"/>
    <w:rsid w:val="4DB76BB1"/>
    <w:rsid w:val="4EADBCEC"/>
    <w:rsid w:val="4F6D3A04"/>
    <w:rsid w:val="51FF51CF"/>
    <w:rsid w:val="524B2647"/>
    <w:rsid w:val="52C16284"/>
    <w:rsid w:val="551E2129"/>
    <w:rsid w:val="561476D3"/>
    <w:rsid w:val="597946F1"/>
    <w:rsid w:val="5A381B38"/>
    <w:rsid w:val="5D5A0DFE"/>
    <w:rsid w:val="5DF5EAC0"/>
    <w:rsid w:val="5EFFAA6E"/>
    <w:rsid w:val="5FF35695"/>
    <w:rsid w:val="61BC5FAC"/>
    <w:rsid w:val="62811C83"/>
    <w:rsid w:val="636A59F9"/>
    <w:rsid w:val="63FF7916"/>
    <w:rsid w:val="653F2FC9"/>
    <w:rsid w:val="67034349"/>
    <w:rsid w:val="672B2BDA"/>
    <w:rsid w:val="677023A6"/>
    <w:rsid w:val="689A0C72"/>
    <w:rsid w:val="69147F20"/>
    <w:rsid w:val="6A28043D"/>
    <w:rsid w:val="6C5B64B9"/>
    <w:rsid w:val="6C5DCF0F"/>
    <w:rsid w:val="6CFF58E8"/>
    <w:rsid w:val="6D741DD2"/>
    <w:rsid w:val="6DEE99C9"/>
    <w:rsid w:val="6E0F3D80"/>
    <w:rsid w:val="6FFF59C2"/>
    <w:rsid w:val="71660CC4"/>
    <w:rsid w:val="71BC27C8"/>
    <w:rsid w:val="75AC4151"/>
    <w:rsid w:val="75BB744D"/>
    <w:rsid w:val="76FDAA05"/>
    <w:rsid w:val="77BDF567"/>
    <w:rsid w:val="77CF390F"/>
    <w:rsid w:val="77E93DDE"/>
    <w:rsid w:val="77FF397B"/>
    <w:rsid w:val="799561E4"/>
    <w:rsid w:val="79CF029F"/>
    <w:rsid w:val="7A780CA3"/>
    <w:rsid w:val="7B2C06D3"/>
    <w:rsid w:val="7BA03CC2"/>
    <w:rsid w:val="7BF3A140"/>
    <w:rsid w:val="7C4EE767"/>
    <w:rsid w:val="7DFCB2F6"/>
    <w:rsid w:val="7DFF2BD0"/>
    <w:rsid w:val="7E2A3EB6"/>
    <w:rsid w:val="7E335A81"/>
    <w:rsid w:val="7EB80133"/>
    <w:rsid w:val="7EC7284D"/>
    <w:rsid w:val="7ED7E4A1"/>
    <w:rsid w:val="7ED9FDF2"/>
    <w:rsid w:val="7FAFE12F"/>
    <w:rsid w:val="7FB7537F"/>
    <w:rsid w:val="7FBE31E6"/>
    <w:rsid w:val="7FBF39E1"/>
    <w:rsid w:val="7FF4AAD0"/>
    <w:rsid w:val="7FFE6816"/>
    <w:rsid w:val="7FFF2B37"/>
    <w:rsid w:val="7FFFD408"/>
    <w:rsid w:val="8DEBB08C"/>
    <w:rsid w:val="8FEBDA76"/>
    <w:rsid w:val="A9F9C79B"/>
    <w:rsid w:val="ADBF82E2"/>
    <w:rsid w:val="B5FFA0F5"/>
    <w:rsid w:val="BEBB5410"/>
    <w:rsid w:val="BEF756B4"/>
    <w:rsid w:val="BEFF63D2"/>
    <w:rsid w:val="BF9D5215"/>
    <w:rsid w:val="BFCFED92"/>
    <w:rsid w:val="BFED07B7"/>
    <w:rsid w:val="C1F70337"/>
    <w:rsid w:val="C52B3C43"/>
    <w:rsid w:val="C9EED341"/>
    <w:rsid w:val="D18F783F"/>
    <w:rsid w:val="D39ECC58"/>
    <w:rsid w:val="D9FB70D8"/>
    <w:rsid w:val="DC332B6B"/>
    <w:rsid w:val="DDEA24AC"/>
    <w:rsid w:val="DE8F0F54"/>
    <w:rsid w:val="DF7F5F2F"/>
    <w:rsid w:val="E95E2097"/>
    <w:rsid w:val="EBCA2006"/>
    <w:rsid w:val="ECEE79BD"/>
    <w:rsid w:val="EEDD29DD"/>
    <w:rsid w:val="EF6F5BC9"/>
    <w:rsid w:val="EF7E9431"/>
    <w:rsid w:val="EFA6415D"/>
    <w:rsid w:val="EFBFF7F3"/>
    <w:rsid w:val="F2DD7DF5"/>
    <w:rsid w:val="F77FF561"/>
    <w:rsid w:val="F79F18E8"/>
    <w:rsid w:val="F7DF9BA4"/>
    <w:rsid w:val="F83F40B7"/>
    <w:rsid w:val="FBCD4410"/>
    <w:rsid w:val="FBEB47E5"/>
    <w:rsid w:val="FCE7A319"/>
    <w:rsid w:val="FDDEBAC1"/>
    <w:rsid w:val="FDFF7F83"/>
    <w:rsid w:val="FE78286A"/>
    <w:rsid w:val="FEED9AFB"/>
    <w:rsid w:val="FFA2F7E2"/>
    <w:rsid w:val="FFBB2717"/>
    <w:rsid w:val="FFEE811C"/>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7297</Words>
  <Characters>7682</Characters>
  <Lines>35</Lines>
  <Paragraphs>9</Paragraphs>
  <TotalTime>6</TotalTime>
  <ScaleCrop>false</ScaleCrop>
  <LinksUpToDate>false</LinksUpToDate>
  <CharactersWithSpaces>7828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2021-01-07T19:02:00Z</dcterms:created>
  <dc:creator>李光旭</dc:creator>
  <cp:lastModifiedBy>薛田</cp:lastModifiedBy>
  <cp:lastPrinted>2021-01-07T19:33:00Z</cp:lastPrinted>
  <dcterms:modified xsi:type="dcterms:W3CDTF">2026-03-05T02:07:36Z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812FFD5BE45259CB3964DE68111BE5EE_43</vt:lpwstr>
  </property>
  <property fmtid="{D5CDD505-2E9C-101B-9397-08002B2CF9AE}" pid="4" name="KSOTemplateDocerSaveRecord">
    <vt:lpwstr>eyJoZGlkIjoiMzYwMTZjYjgyYzhkOGZkZWQ1NzllYzgyMjI3ZjEzZTEiLCJ1c2VySWQiOiIyNTc5NTMwMzIifQ==</vt:lpwstr>
  </property>
</Properties>
</file>